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54DD" w:rsidRPr="00E579A8" w:rsidRDefault="007D06DC" w:rsidP="00236D5B">
      <w:pPr>
        <w:spacing w:before="120" w:line="360" w:lineRule="auto"/>
        <w:jc w:val="center"/>
        <w:rPr>
          <w:b/>
          <w:sz w:val="28"/>
          <w:szCs w:val="28"/>
        </w:rPr>
      </w:pPr>
      <w:r w:rsidRPr="007D06DC">
        <w:rPr>
          <w:b/>
          <w:sz w:val="28"/>
          <w:szCs w:val="28"/>
          <w:lang w:val="en-US"/>
        </w:rPr>
        <w:t xml:space="preserve">Global impacts </w:t>
      </w:r>
      <w:r w:rsidR="005B5F46">
        <w:rPr>
          <w:b/>
          <w:sz w:val="28"/>
          <w:szCs w:val="28"/>
          <w:lang w:val="en-US"/>
        </w:rPr>
        <w:t>of</w:t>
      </w:r>
      <w:r w:rsidR="005B5F46" w:rsidRPr="007D06DC">
        <w:rPr>
          <w:b/>
          <w:sz w:val="28"/>
          <w:szCs w:val="28"/>
          <w:lang w:val="en-US"/>
        </w:rPr>
        <w:t xml:space="preserve"> </w:t>
      </w:r>
      <w:r w:rsidR="005B5F46">
        <w:rPr>
          <w:b/>
          <w:sz w:val="28"/>
          <w:szCs w:val="28"/>
          <w:lang w:val="en-US"/>
        </w:rPr>
        <w:t xml:space="preserve">the </w:t>
      </w:r>
      <w:r w:rsidRPr="007D06DC">
        <w:rPr>
          <w:b/>
          <w:sz w:val="28"/>
          <w:szCs w:val="28"/>
          <w:lang w:val="en-US"/>
        </w:rPr>
        <w:t xml:space="preserve">automotive supply chain disruption </w:t>
      </w:r>
      <w:r w:rsidR="005B5F46">
        <w:rPr>
          <w:b/>
          <w:sz w:val="28"/>
          <w:szCs w:val="28"/>
          <w:lang w:val="en-US"/>
        </w:rPr>
        <w:t>following</w:t>
      </w:r>
      <w:r w:rsidR="005B5F46" w:rsidRPr="007D06DC">
        <w:rPr>
          <w:b/>
          <w:sz w:val="28"/>
          <w:szCs w:val="28"/>
          <w:lang w:val="en-US"/>
        </w:rPr>
        <w:t xml:space="preserve"> </w:t>
      </w:r>
      <w:r w:rsidRPr="007D06DC">
        <w:rPr>
          <w:b/>
          <w:sz w:val="28"/>
          <w:szCs w:val="28"/>
          <w:lang w:val="en-US"/>
        </w:rPr>
        <w:t>the Japanese earthquake of 2011</w:t>
      </w:r>
    </w:p>
    <w:p w:rsidR="00C754DD" w:rsidRDefault="00C754DD" w:rsidP="00C754DD">
      <w:pPr>
        <w:spacing w:before="120" w:line="360" w:lineRule="auto"/>
        <w:jc w:val="both"/>
        <w:rPr>
          <w:b/>
          <w:sz w:val="22"/>
          <w:szCs w:val="22"/>
        </w:rPr>
      </w:pPr>
    </w:p>
    <w:p w:rsidR="00236D5B" w:rsidRDefault="005B5EF5" w:rsidP="005B5EF5">
      <w:pPr>
        <w:spacing w:before="120" w:line="360" w:lineRule="auto"/>
        <w:jc w:val="center"/>
      </w:pPr>
      <w:r w:rsidRPr="005B5EF5">
        <w:t>Iñaki Arto, Valeria Andreoni &amp; Jose Manuel Rueda Cantuche</w:t>
      </w:r>
    </w:p>
    <w:p w:rsidR="005B5EF5" w:rsidRPr="005B5EF5" w:rsidRDefault="005B5EF5" w:rsidP="005B5EF5">
      <w:pPr>
        <w:spacing w:before="120" w:line="360" w:lineRule="auto"/>
        <w:jc w:val="center"/>
        <w:rPr>
          <w:b/>
          <w:sz w:val="22"/>
          <w:szCs w:val="22"/>
        </w:rPr>
      </w:pPr>
      <w:bookmarkStart w:id="0" w:name="_GoBack"/>
      <w:bookmarkEnd w:id="0"/>
    </w:p>
    <w:p w:rsidR="00C754DD" w:rsidRDefault="00C754DD" w:rsidP="00CE33BD">
      <w:pPr>
        <w:spacing w:before="120" w:line="360" w:lineRule="auto"/>
        <w:jc w:val="both"/>
        <w:rPr>
          <w:b/>
        </w:rPr>
      </w:pPr>
      <w:r w:rsidRPr="00F0177E">
        <w:rPr>
          <w:b/>
        </w:rPr>
        <w:t>Abstract</w:t>
      </w:r>
    </w:p>
    <w:p w:rsidR="00C754DD" w:rsidRDefault="004F67B3" w:rsidP="00CE33BD">
      <w:pPr>
        <w:spacing w:before="120" w:line="360" w:lineRule="auto"/>
        <w:jc w:val="both"/>
      </w:pPr>
      <w:r w:rsidRPr="004F67B3">
        <w:t xml:space="preserve">This paper provides an input-output method to estimate worldwide economic impacts generated by supply chain disruptions. The method is used to analyse global economic effects due to the disruptions in the automotive industry that followed the Japanese earthquake and the consequent tsunami and nuclear crisis of March 2011. By combining a mixed multi-regional input-output model, the World Input-Output Database (WIOD) and data at the factory level, the study quantifies the economic impacts </w:t>
      </w:r>
      <w:r w:rsidR="00776B3A">
        <w:t xml:space="preserve">of </w:t>
      </w:r>
      <w:r w:rsidRPr="004F67B3">
        <w:t>the disruption</w:t>
      </w:r>
      <w:r w:rsidR="00776B3A">
        <w:t>s</w:t>
      </w:r>
      <w:r w:rsidRPr="004F67B3">
        <w:t xml:space="preserve"> broken down by countr</w:t>
      </w:r>
      <w:r w:rsidR="00776B3A">
        <w:t>y</w:t>
      </w:r>
      <w:r w:rsidRPr="004F67B3">
        <w:t xml:space="preserve"> and industr</w:t>
      </w:r>
      <w:r w:rsidR="00776B3A">
        <w:t>y</w:t>
      </w:r>
      <w:r w:rsidRPr="004F67B3">
        <w:t xml:space="preserve">. The results show that the global economic effect (in terms of value added) of this disruption amounted to US$139 billion. The most affected </w:t>
      </w:r>
      <w:r w:rsidR="00776B3A">
        <w:t>(groups of) countries</w:t>
      </w:r>
      <w:r w:rsidRPr="004F67B3">
        <w:t xml:space="preserve"> were Japan (39%), the United States (25%), China (8%) and the European Union (7%). The most </w:t>
      </w:r>
      <w:r w:rsidR="00776B3A">
        <w:t>strongly affec</w:t>
      </w:r>
      <w:r w:rsidRPr="004F67B3">
        <w:t>ted industries were transport equipment (37%), other business activities (10%), basic and fabricated metals (8%), wholesale trade (7%), and financial intermediation (4%).</w:t>
      </w:r>
    </w:p>
    <w:p w:rsidR="004F67B3" w:rsidRPr="004F67B3" w:rsidRDefault="004F67B3" w:rsidP="00CE33BD">
      <w:pPr>
        <w:spacing w:before="120" w:line="360" w:lineRule="auto"/>
        <w:jc w:val="both"/>
      </w:pPr>
    </w:p>
    <w:p w:rsidR="00C754DD" w:rsidRPr="00E36312" w:rsidRDefault="00C754DD" w:rsidP="00CE33BD">
      <w:pPr>
        <w:pStyle w:val="Heading2"/>
        <w:spacing w:line="360" w:lineRule="auto"/>
        <w:rPr>
          <w:b w:val="0"/>
          <w:i w:val="0"/>
          <w:szCs w:val="24"/>
        </w:rPr>
      </w:pPr>
      <w:r w:rsidRPr="00E36312">
        <w:rPr>
          <w:i w:val="0"/>
          <w:szCs w:val="24"/>
        </w:rPr>
        <w:t>Keywords:</w:t>
      </w:r>
      <w:r w:rsidRPr="00E36312">
        <w:rPr>
          <w:b w:val="0"/>
          <w:szCs w:val="24"/>
        </w:rPr>
        <w:t xml:space="preserve"> </w:t>
      </w:r>
      <w:r>
        <w:rPr>
          <w:b w:val="0"/>
          <w:i w:val="0"/>
          <w:szCs w:val="24"/>
        </w:rPr>
        <w:t>Natural disasters; Transport e</w:t>
      </w:r>
      <w:r w:rsidRPr="00F00A0F">
        <w:rPr>
          <w:b w:val="0"/>
          <w:i w:val="0"/>
          <w:szCs w:val="24"/>
        </w:rPr>
        <w:t>quipment</w:t>
      </w:r>
      <w:r>
        <w:rPr>
          <w:b w:val="0"/>
          <w:i w:val="0"/>
          <w:szCs w:val="24"/>
        </w:rPr>
        <w:t xml:space="preserve"> industry</w:t>
      </w:r>
      <w:r w:rsidR="00776B3A">
        <w:rPr>
          <w:b w:val="0"/>
          <w:i w:val="0"/>
          <w:szCs w:val="24"/>
        </w:rPr>
        <w:t>;</w:t>
      </w:r>
      <w:r>
        <w:rPr>
          <w:b w:val="0"/>
          <w:i w:val="0"/>
          <w:szCs w:val="24"/>
        </w:rPr>
        <w:t xml:space="preserve"> Supply-chain disruptions</w:t>
      </w:r>
      <w:r w:rsidR="00776B3A">
        <w:rPr>
          <w:b w:val="0"/>
          <w:i w:val="0"/>
          <w:szCs w:val="24"/>
        </w:rPr>
        <w:t>;</w:t>
      </w:r>
      <w:r>
        <w:rPr>
          <w:b w:val="0"/>
          <w:i w:val="0"/>
          <w:szCs w:val="24"/>
        </w:rPr>
        <w:t xml:space="preserve"> </w:t>
      </w:r>
      <w:r w:rsidR="006908F3">
        <w:rPr>
          <w:b w:val="0"/>
          <w:i w:val="0"/>
          <w:szCs w:val="24"/>
        </w:rPr>
        <w:t>M</w:t>
      </w:r>
      <w:r w:rsidR="003E03AD">
        <w:rPr>
          <w:b w:val="0"/>
          <w:i w:val="0"/>
          <w:szCs w:val="24"/>
        </w:rPr>
        <w:t>ulti</w:t>
      </w:r>
      <w:r w:rsidR="006B2C7D">
        <w:rPr>
          <w:b w:val="0"/>
          <w:i w:val="0"/>
          <w:szCs w:val="24"/>
        </w:rPr>
        <w:t>-</w:t>
      </w:r>
      <w:r>
        <w:rPr>
          <w:b w:val="0"/>
          <w:i w:val="0"/>
          <w:szCs w:val="24"/>
        </w:rPr>
        <w:t xml:space="preserve"> regional input-</w:t>
      </w:r>
      <w:r w:rsidRPr="00E36312">
        <w:rPr>
          <w:b w:val="0"/>
          <w:i w:val="0"/>
          <w:szCs w:val="24"/>
        </w:rPr>
        <w:t>output</w:t>
      </w:r>
      <w:r w:rsidR="00776B3A">
        <w:rPr>
          <w:b w:val="0"/>
          <w:i w:val="0"/>
          <w:szCs w:val="24"/>
        </w:rPr>
        <w:t xml:space="preserve"> tables;</w:t>
      </w:r>
      <w:r w:rsidRPr="00E36312">
        <w:rPr>
          <w:b w:val="0"/>
          <w:i w:val="0"/>
          <w:szCs w:val="24"/>
        </w:rPr>
        <w:t xml:space="preserve"> Japan</w:t>
      </w:r>
    </w:p>
    <w:p w:rsidR="00C754DD" w:rsidRPr="00E36312" w:rsidRDefault="00C754DD" w:rsidP="00CE33BD">
      <w:pPr>
        <w:spacing w:before="120" w:line="360" w:lineRule="auto"/>
        <w:jc w:val="both"/>
        <w:rPr>
          <w:b/>
          <w:sz w:val="22"/>
          <w:szCs w:val="22"/>
        </w:rPr>
      </w:pPr>
    </w:p>
    <w:p w:rsidR="00C754DD" w:rsidRPr="00E36312" w:rsidRDefault="006B187E" w:rsidP="00CE33BD">
      <w:pPr>
        <w:spacing w:before="120" w:line="360" w:lineRule="auto"/>
        <w:jc w:val="both"/>
        <w:rPr>
          <w:b/>
          <w:lang w:val="en-US"/>
        </w:rPr>
      </w:pPr>
      <w:r>
        <w:rPr>
          <w:b/>
          <w:lang w:val="en-US"/>
        </w:rPr>
        <w:br w:type="page"/>
      </w:r>
      <w:r w:rsidR="00C754DD">
        <w:rPr>
          <w:b/>
          <w:lang w:val="en-US"/>
        </w:rPr>
        <w:lastRenderedPageBreak/>
        <w:t xml:space="preserve">1. </w:t>
      </w:r>
      <w:r w:rsidR="00C754DD" w:rsidRPr="00E36312">
        <w:rPr>
          <w:b/>
          <w:lang w:val="en-US"/>
        </w:rPr>
        <w:t>Introduction</w:t>
      </w:r>
    </w:p>
    <w:p w:rsidR="00C754DD" w:rsidRDefault="00C754DD" w:rsidP="00CE33BD">
      <w:pPr>
        <w:spacing w:line="360" w:lineRule="auto"/>
        <w:jc w:val="both"/>
      </w:pPr>
      <w:r w:rsidRPr="00042D79">
        <w:rPr>
          <w:lang w:val="en-US"/>
        </w:rPr>
        <w:t xml:space="preserve">The earthquake </w:t>
      </w:r>
      <w:r w:rsidR="005B5F46">
        <w:rPr>
          <w:lang w:val="en-US"/>
        </w:rPr>
        <w:t xml:space="preserve">measuring nine </w:t>
      </w:r>
      <w:r w:rsidR="005B5F46" w:rsidRPr="00042D79">
        <w:rPr>
          <w:lang w:val="en-US"/>
        </w:rPr>
        <w:t>degree</w:t>
      </w:r>
      <w:r w:rsidR="005B5F46">
        <w:rPr>
          <w:lang w:val="en-US"/>
        </w:rPr>
        <w:t>s on the</w:t>
      </w:r>
      <w:r w:rsidR="005B5F46" w:rsidRPr="00042D79">
        <w:rPr>
          <w:lang w:val="en-US"/>
        </w:rPr>
        <w:t xml:space="preserve"> Richter</w:t>
      </w:r>
      <w:r w:rsidR="005B5F46">
        <w:rPr>
          <w:lang w:val="en-US"/>
        </w:rPr>
        <w:t xml:space="preserve"> </w:t>
      </w:r>
      <w:r w:rsidR="005B5F46" w:rsidRPr="00042D79">
        <w:rPr>
          <w:lang w:val="en-US"/>
        </w:rPr>
        <w:t xml:space="preserve">scale </w:t>
      </w:r>
      <w:r w:rsidRPr="00042D79">
        <w:rPr>
          <w:lang w:val="en-US"/>
        </w:rPr>
        <w:t xml:space="preserve">that </w:t>
      </w:r>
      <w:r>
        <w:rPr>
          <w:lang w:val="en-US"/>
        </w:rPr>
        <w:t>struck</w:t>
      </w:r>
      <w:r w:rsidRPr="00042D79">
        <w:rPr>
          <w:lang w:val="en-US"/>
        </w:rPr>
        <w:t xml:space="preserve"> Japan on the 11</w:t>
      </w:r>
      <w:r w:rsidRPr="00042D79">
        <w:rPr>
          <w:vertAlign w:val="superscript"/>
          <w:lang w:val="en-US"/>
        </w:rPr>
        <w:t>th</w:t>
      </w:r>
      <w:r w:rsidRPr="00042D79">
        <w:rPr>
          <w:lang w:val="en-US"/>
        </w:rPr>
        <w:t xml:space="preserve"> March 2011</w:t>
      </w:r>
      <w:r>
        <w:rPr>
          <w:lang w:val="en-US"/>
        </w:rPr>
        <w:t xml:space="preserve">, </w:t>
      </w:r>
      <w:r w:rsidRPr="00042D79">
        <w:rPr>
          <w:lang w:val="en-US"/>
        </w:rPr>
        <w:t xml:space="preserve">the tsunami </w:t>
      </w:r>
      <w:r>
        <w:rPr>
          <w:lang w:val="en-US"/>
        </w:rPr>
        <w:t xml:space="preserve">that followed </w:t>
      </w:r>
      <w:r w:rsidRPr="00042D79">
        <w:rPr>
          <w:lang w:val="en-US"/>
        </w:rPr>
        <w:t xml:space="preserve">and </w:t>
      </w:r>
      <w:r>
        <w:rPr>
          <w:lang w:val="en-US"/>
        </w:rPr>
        <w:t xml:space="preserve">the subsequent </w:t>
      </w:r>
      <w:r w:rsidRPr="00042D79">
        <w:rPr>
          <w:lang w:val="en-US"/>
        </w:rPr>
        <w:t>nuclear cris</w:t>
      </w:r>
      <w:r>
        <w:rPr>
          <w:lang w:val="en-US"/>
        </w:rPr>
        <w:t>i</w:t>
      </w:r>
      <w:r w:rsidRPr="00042D79">
        <w:rPr>
          <w:lang w:val="en-US"/>
        </w:rPr>
        <w:t xml:space="preserve">s </w:t>
      </w:r>
      <w:r w:rsidR="005B5F46">
        <w:rPr>
          <w:lang w:val="en-US"/>
        </w:rPr>
        <w:t>significantly</w:t>
      </w:r>
      <w:r w:rsidR="005B5F46" w:rsidRPr="00042D79">
        <w:rPr>
          <w:lang w:val="en-US"/>
        </w:rPr>
        <w:t xml:space="preserve"> </w:t>
      </w:r>
      <w:r w:rsidRPr="00042D79">
        <w:rPr>
          <w:lang w:val="en-US"/>
        </w:rPr>
        <w:t xml:space="preserve">affected the Japanese </w:t>
      </w:r>
      <w:r>
        <w:rPr>
          <w:lang w:val="en-US"/>
        </w:rPr>
        <w:t xml:space="preserve">and global </w:t>
      </w:r>
      <w:r w:rsidR="008419BC">
        <w:rPr>
          <w:lang w:val="en-US"/>
        </w:rPr>
        <w:t>economies</w:t>
      </w:r>
      <w:r w:rsidRPr="00042D79">
        <w:rPr>
          <w:lang w:val="en-US"/>
        </w:rPr>
        <w:t xml:space="preserve">. </w:t>
      </w:r>
      <w:r w:rsidR="00BD4B42">
        <w:rPr>
          <w:lang w:val="en-US"/>
        </w:rPr>
        <w:t>The Cabinet Office of Japan estimated that r</w:t>
      </w:r>
      <w:r w:rsidR="00BD4B42" w:rsidRPr="00BD4B42">
        <w:rPr>
          <w:lang w:val="en-US"/>
        </w:rPr>
        <w:t>ebuilding of infrastructure, housing and other</w:t>
      </w:r>
      <w:r w:rsidR="00BD4B42">
        <w:rPr>
          <w:lang w:val="en-US"/>
        </w:rPr>
        <w:t xml:space="preserve"> Japanese</w:t>
      </w:r>
      <w:r w:rsidR="00BD4B42" w:rsidRPr="00BD4B42">
        <w:rPr>
          <w:lang w:val="en-US"/>
        </w:rPr>
        <w:t xml:space="preserve"> facilities ravaged by the earthquake and tsunami will cost around ¥16.9 trillion</w:t>
      </w:r>
      <w:r w:rsidR="00BD4B42">
        <w:rPr>
          <w:lang w:val="en-US"/>
        </w:rPr>
        <w:t xml:space="preserve"> (US$210 billion, 3.8% of Japan’s GDP)</w:t>
      </w:r>
      <w:r w:rsidR="00776B3A">
        <w:rPr>
          <w:lang w:val="en-US"/>
        </w:rPr>
        <w:t>. This amount does</w:t>
      </w:r>
      <w:r w:rsidR="00BD4B42" w:rsidRPr="00BD4B42">
        <w:rPr>
          <w:lang w:val="en-US"/>
        </w:rPr>
        <w:t xml:space="preserve"> not includ</w:t>
      </w:r>
      <w:r w:rsidR="00776B3A">
        <w:rPr>
          <w:lang w:val="en-US"/>
        </w:rPr>
        <w:t>e the</w:t>
      </w:r>
      <w:r w:rsidR="00BD4B42" w:rsidRPr="00BD4B42">
        <w:rPr>
          <w:lang w:val="en-US"/>
        </w:rPr>
        <w:t xml:space="preserve"> damage from the nuclear</w:t>
      </w:r>
      <w:r w:rsidR="00776B3A">
        <w:rPr>
          <w:lang w:val="en-US"/>
        </w:rPr>
        <w:t xml:space="preserve"> crisis</w:t>
      </w:r>
      <w:r w:rsidR="00BD4B42">
        <w:rPr>
          <w:lang w:val="en-US"/>
        </w:rPr>
        <w:t xml:space="preserve"> </w:t>
      </w:r>
      <w:r w:rsidR="00BD4B42">
        <w:rPr>
          <w:lang w:val="en-US"/>
        </w:rPr>
        <w:fldChar w:fldCharType="begin"/>
      </w:r>
      <w:r w:rsidR="00BD4B42">
        <w:rPr>
          <w:lang w:val="en-US"/>
        </w:rPr>
        <w:instrText xml:space="preserve"> ADDIN ZOTERO_ITEM CSL_CITATION {"citationID":"2lj4sf13gh","properties":{"formattedCitation":"(Ranghieri and Ishiwatari, 2012)","plainCitation":"(Ranghieri and Ishiwatari, 2012)"},"citationItems":[{"id":2812,"uris":["http://zotero.org/groups/271383/items/B6CN6XQT"],"uri":["http://zotero.org/groups/271383/items/B6CN6XQT"],"itemData":{"id":2812,"type":"report","title":"Learning from Megadisasters : Lessons from the Great East Japan Earthquake","publisher":"World Bank","publisher-place":"Washington DC","event-place":"Washington DC","URL":"http://hdl.handle.net/10986/18864","author":[{"family":"Ranghieri","given":"F."},{"family":"Ishiwatari","given":"M."}],"issued":{"date-parts":[["2012"]]}}}],"schema":"https://github.com/citation-style-language/schema/raw/master/csl-citation.json"} </w:instrText>
      </w:r>
      <w:r w:rsidR="00BD4B42">
        <w:rPr>
          <w:lang w:val="en-US"/>
        </w:rPr>
        <w:fldChar w:fldCharType="separate"/>
      </w:r>
      <w:r w:rsidR="005B3396" w:rsidRPr="005B3396">
        <w:t>(Ranghieri and Ishiwatari, 2012)</w:t>
      </w:r>
      <w:r w:rsidR="00BD4B42">
        <w:rPr>
          <w:lang w:val="en-US"/>
        </w:rPr>
        <w:fldChar w:fldCharType="end"/>
      </w:r>
      <w:r w:rsidRPr="00315270">
        <w:rPr>
          <w:lang w:val="en-US"/>
        </w:rPr>
        <w:t xml:space="preserve">. </w:t>
      </w:r>
      <w:r>
        <w:t xml:space="preserve">In addition, </w:t>
      </w:r>
      <w:r w:rsidRPr="00042D79">
        <w:rPr>
          <w:lang w:val="en-US"/>
        </w:rPr>
        <w:t xml:space="preserve">the structural damage </w:t>
      </w:r>
      <w:r w:rsidR="005B5F46">
        <w:rPr>
          <w:lang w:val="en-US"/>
        </w:rPr>
        <w:t xml:space="preserve">coupled with electricity shortages </w:t>
      </w:r>
      <w:r w:rsidRPr="00042D79">
        <w:rPr>
          <w:lang w:val="en-US"/>
        </w:rPr>
        <w:t>reduced Japanese production capacities</w:t>
      </w:r>
      <w:r w:rsidR="008A30CE">
        <w:rPr>
          <w:lang w:val="en-US"/>
        </w:rPr>
        <w:t xml:space="preserve">, affecting </w:t>
      </w:r>
      <w:r w:rsidRPr="00042D79">
        <w:rPr>
          <w:lang w:val="en-US"/>
        </w:rPr>
        <w:t xml:space="preserve">the </w:t>
      </w:r>
      <w:r w:rsidR="008A30CE">
        <w:rPr>
          <w:lang w:val="en-US"/>
        </w:rPr>
        <w:t>international production chain and</w:t>
      </w:r>
      <w:r w:rsidRPr="00042D79">
        <w:rPr>
          <w:lang w:val="en-US"/>
        </w:rPr>
        <w:t xml:space="preserve"> extending the economic impacts largely beyond </w:t>
      </w:r>
      <w:r w:rsidR="005C21B0">
        <w:rPr>
          <w:lang w:val="en-US"/>
        </w:rPr>
        <w:t xml:space="preserve">the </w:t>
      </w:r>
      <w:r w:rsidRPr="00042D79">
        <w:rPr>
          <w:lang w:val="en-US"/>
        </w:rPr>
        <w:t>national borders.</w:t>
      </w:r>
    </w:p>
    <w:p w:rsidR="00C754DD" w:rsidRPr="00844BD4" w:rsidRDefault="00721623" w:rsidP="00CE33BD">
      <w:pPr>
        <w:spacing w:line="360" w:lineRule="auto"/>
        <w:ind w:firstLine="567"/>
        <w:jc w:val="both"/>
        <w:rPr>
          <w:color w:val="000000"/>
        </w:rPr>
      </w:pPr>
      <w:r w:rsidRPr="00844BD4">
        <w:t xml:space="preserve">The impacts </w:t>
      </w:r>
      <w:r w:rsidR="005176E0" w:rsidRPr="00844BD4">
        <w:t xml:space="preserve">of natural disasters </w:t>
      </w:r>
      <w:r w:rsidRPr="00844BD4">
        <w:t xml:space="preserve">on manufacturing industries may result in a production bottleneck </w:t>
      </w:r>
      <w:r w:rsidR="00D53F90" w:rsidRPr="00844BD4">
        <w:t>affecting other sector</w:t>
      </w:r>
      <w:r w:rsidR="005176E0" w:rsidRPr="00844BD4">
        <w:t>s</w:t>
      </w:r>
      <w:r w:rsidR="00D53F90" w:rsidRPr="00844BD4">
        <w:t xml:space="preserve"> and countries </w:t>
      </w:r>
      <w:r w:rsidRPr="00844BD4">
        <w:t xml:space="preserve">via </w:t>
      </w:r>
      <w:r w:rsidR="00D53F90" w:rsidRPr="00844BD4">
        <w:t xml:space="preserve">the reduction </w:t>
      </w:r>
      <w:r w:rsidR="005176E0" w:rsidRPr="00844BD4">
        <w:t xml:space="preserve">in </w:t>
      </w:r>
      <w:r w:rsidR="00D53F90" w:rsidRPr="00844BD4">
        <w:t xml:space="preserve">the </w:t>
      </w:r>
      <w:r w:rsidRPr="00844BD4">
        <w:t xml:space="preserve">demand </w:t>
      </w:r>
      <w:r w:rsidR="00150E35" w:rsidRPr="00844BD4">
        <w:t xml:space="preserve">for </w:t>
      </w:r>
      <w:r w:rsidR="00D53F90" w:rsidRPr="00844BD4">
        <w:t>intermediate inputs</w:t>
      </w:r>
      <w:r w:rsidRPr="00844BD4">
        <w:t xml:space="preserve"> </w:t>
      </w:r>
      <w:r w:rsidR="00D53F90" w:rsidRPr="00844BD4">
        <w:t>or</w:t>
      </w:r>
      <w:r w:rsidR="005C21B0">
        <w:t xml:space="preserve"> by</w:t>
      </w:r>
      <w:r w:rsidR="00D53F90" w:rsidRPr="00844BD4">
        <w:t xml:space="preserve"> the reduction </w:t>
      </w:r>
      <w:r w:rsidR="005176E0" w:rsidRPr="00844BD4">
        <w:t xml:space="preserve">in </w:t>
      </w:r>
      <w:r w:rsidR="00D53F90" w:rsidRPr="00844BD4">
        <w:t xml:space="preserve">the supply of intermediate outputs </w:t>
      </w:r>
      <w:r w:rsidR="00687C52">
        <w:fldChar w:fldCharType="begin"/>
      </w:r>
      <w:r w:rsidR="00687C52">
        <w:instrText xml:space="preserve"> ADDIN ZOTERO_ITEM CSL_CITATION {"citationID":"j1tcltc1m","properties":{"formattedCitation":"(Okuyama and Sahin, 2009)","plainCitation":"(Okuyama and Sahin, 2009)"},"citationItems":[{"id":2817,"uris":["http://zotero.org/groups/271383/items/NXUSG2T7"],"uri":["http://zotero.org/groups/271383/items/NXUSG2T7"],"itemData":{"id":2817,"type":"report","title":"Impact Estimation of Disasters: A Global Aggregate for 1960 to 2007","publisher":"Social Science Research Network","publisher-place":"Rochester, NY","genre":"SSRN Scholarly Paper","source":"papers.ssrn.com","event-place":"Rochester, NY","abstract":"This paper aims to estimate the global aggregate of disaster impacts during 1960 to 2007 using Social Accounting Matrix (SAM) methodology. The authors selected 184 major disasters in terms of the size of economic damages, based on the data available from the International Emergency Disasters and MunichRe (NatCat) databases for natural catastrophes. They estimate the losses and total impacts including the higher-order effects of these disasters using social accounting matrices constructed for this study. Although the aggregate damages based on the data amount to US$742 billion, the aggregate losses and total impacts are estimated at US$360 billion and US$678 billion, respectively. The results show a growing trend of economic impacts over time in absolute value. However, once the data and estimates are normalized using global gross domestic product, the historical trend of total impacts becomes statistically insignificant. The visual observation confirms the inverted 'U' curve distribution between total impact and income level, while statistical analyses indicate negative linear relationships between them for climatological, geophysical, and especially hydrological events.","URL":"http://papers.ssrn.com/abstract=1421704","number":"ID 1421704","shortTitle":"Impact Estimation of Disasters","author":[{"family":"Okuyama","given":"Yasuhide"},{"family":"Sahin","given":"Sebnem"}],"issued":{"date-parts":[["2009",6,1]]},"accessed":{"date-parts":[["2014",8,13]]}}}],"schema":"https://github.com/citation-style-language/schema/raw/master/csl-citation.json"} </w:instrText>
      </w:r>
      <w:r w:rsidR="00687C52">
        <w:fldChar w:fldCharType="separate"/>
      </w:r>
      <w:r w:rsidR="005B3396" w:rsidRPr="005B3396">
        <w:t>(Okuyama and Sahin, 2009)</w:t>
      </w:r>
      <w:r w:rsidR="00687C52">
        <w:fldChar w:fldCharType="end"/>
      </w:r>
      <w:r w:rsidRPr="00844BD4">
        <w:t>.</w:t>
      </w:r>
      <w:r w:rsidR="007B706C" w:rsidRPr="00844BD4">
        <w:t xml:space="preserve"> This was the case f</w:t>
      </w:r>
      <w:r w:rsidR="00776B3A">
        <w:t>or</w:t>
      </w:r>
      <w:r w:rsidR="007B706C" w:rsidRPr="00844BD4">
        <w:t xml:space="preserve"> the Japanese transport equipment industry (TEI) in the aftermath of the earthquake. </w:t>
      </w:r>
      <w:r w:rsidR="007B706C" w:rsidRPr="00844BD4">
        <w:rPr>
          <w:lang w:val="en-US"/>
        </w:rPr>
        <w:t xml:space="preserve">According to </w:t>
      </w:r>
      <w:r w:rsidR="00C7572B" w:rsidRPr="00844BD4">
        <w:rPr>
          <w:lang w:val="en-US"/>
        </w:rPr>
        <w:t xml:space="preserve">the </w:t>
      </w:r>
      <w:r w:rsidR="007B706C" w:rsidRPr="00844BD4">
        <w:rPr>
          <w:lang w:val="en-US"/>
        </w:rPr>
        <w:t>data provided by the Japanese Ministry of Economy, Trade and Industry</w:t>
      </w:r>
      <w:r w:rsidR="004232E8" w:rsidRPr="00844BD4">
        <w:rPr>
          <w:lang w:val="en-US"/>
        </w:rPr>
        <w:t>,</w:t>
      </w:r>
      <w:r w:rsidR="007B706C" w:rsidRPr="00844BD4">
        <w:rPr>
          <w:lang w:val="en-US"/>
        </w:rPr>
        <w:t xml:space="preserve"> </w:t>
      </w:r>
      <w:r w:rsidR="007B706C" w:rsidRPr="00844BD4">
        <w:t>the production of the</w:t>
      </w:r>
      <w:r w:rsidR="004232E8" w:rsidRPr="00844BD4">
        <w:t xml:space="preserve"> Japanese</w:t>
      </w:r>
      <w:r w:rsidR="007B706C" w:rsidRPr="00844BD4">
        <w:t xml:space="preserve"> TEI decreased by 50%</w:t>
      </w:r>
      <w:r w:rsidR="00776B3A">
        <w:t xml:space="preserve"> </w:t>
      </w:r>
      <w:r w:rsidR="00776B3A" w:rsidRPr="00844BD4">
        <w:rPr>
          <w:lang w:val="en-US"/>
        </w:rPr>
        <w:t xml:space="preserve">between </w:t>
      </w:r>
      <w:r w:rsidR="00776B3A" w:rsidRPr="00844BD4">
        <w:t>February 2011 and April 2011,</w:t>
      </w:r>
      <w:r w:rsidR="007B706C" w:rsidRPr="00844BD4">
        <w:t xml:space="preserve"> </w:t>
      </w:r>
      <w:r w:rsidR="00C7572B" w:rsidRPr="00844BD4">
        <w:t xml:space="preserve">thus </w:t>
      </w:r>
      <w:r w:rsidR="008A30CE" w:rsidRPr="00844BD4">
        <w:t>generating</w:t>
      </w:r>
      <w:r w:rsidR="00C754DD" w:rsidRPr="00844BD4">
        <w:t xml:space="preserve"> </w:t>
      </w:r>
      <w:r w:rsidR="00224C98" w:rsidRPr="00844BD4">
        <w:t xml:space="preserve">reactions worldwide. </w:t>
      </w:r>
      <w:r w:rsidR="00EB636A">
        <w:t>The</w:t>
      </w:r>
      <w:r w:rsidR="00EB636A" w:rsidRPr="00844BD4">
        <w:t xml:space="preserve"> </w:t>
      </w:r>
      <w:r w:rsidR="006D12D6" w:rsidRPr="00844BD4">
        <w:t xml:space="preserve">impacts </w:t>
      </w:r>
      <w:r w:rsidR="009D7E42" w:rsidRPr="00844BD4">
        <w:t>due to the disruption of the supply chain of key components produced by the</w:t>
      </w:r>
      <w:r w:rsidR="006D12D6" w:rsidRPr="00844BD4">
        <w:t xml:space="preserve"> Japanese </w:t>
      </w:r>
      <w:r w:rsidR="009D7E42" w:rsidRPr="00844BD4">
        <w:t>TEI</w:t>
      </w:r>
      <w:r w:rsidR="00EB636A" w:rsidRPr="00EB636A">
        <w:t xml:space="preserve"> </w:t>
      </w:r>
      <w:r w:rsidR="00EB636A" w:rsidRPr="00844BD4">
        <w:t>were especially relevant in this case</w:t>
      </w:r>
      <w:r w:rsidR="006D12D6" w:rsidRPr="00844BD4">
        <w:t>.</w:t>
      </w:r>
      <w:r w:rsidR="008419BC" w:rsidRPr="00844BD4">
        <w:t xml:space="preserve"> </w:t>
      </w:r>
      <w:r w:rsidR="009D7E42" w:rsidRPr="00844BD4">
        <w:t>On the one hand, Japan holds a strategic and leadership role in the global TEI, especially as a supplier of key</w:t>
      </w:r>
      <w:r w:rsidR="005176E0" w:rsidRPr="00844BD4">
        <w:t xml:space="preserve"> </w:t>
      </w:r>
      <w:r w:rsidR="009D7E42" w:rsidRPr="00844BD4">
        <w:t xml:space="preserve">parts for motor vehicle </w:t>
      </w:r>
      <w:r w:rsidR="002B546E" w:rsidRPr="00844BD4">
        <w:t>factories</w:t>
      </w:r>
      <w:r w:rsidR="009D7E42" w:rsidRPr="00844BD4">
        <w:t xml:space="preserve"> located worldwide. Some of these components are very specific and cannot be supplied by any other company in the short term. On the other hand, the automotive industry is characterized by the just-in-time production strategy, aimed at reducing inventory co</w:t>
      </w:r>
      <w:r w:rsidR="005176E0" w:rsidRPr="00844BD4">
        <w:t>s</w:t>
      </w:r>
      <w:r w:rsidR="009D7E42" w:rsidRPr="00844BD4">
        <w:t>ts by lowering stock</w:t>
      </w:r>
      <w:r w:rsidR="00776B3A">
        <w:t>s</w:t>
      </w:r>
      <w:r w:rsidR="009D7E42" w:rsidRPr="00844BD4">
        <w:t xml:space="preserve"> of components. Thus, the possibility of using inventories to overcome supply disruptions </w:t>
      </w:r>
      <w:r w:rsidR="00776B3A">
        <w:t>wa</w:t>
      </w:r>
      <w:r w:rsidR="005176E0" w:rsidRPr="00844BD4">
        <w:t>s</w:t>
      </w:r>
      <w:r w:rsidR="009D7E42" w:rsidRPr="00844BD4">
        <w:t xml:space="preserve"> rather limited. As a consequence, t</w:t>
      </w:r>
      <w:r w:rsidR="008419BC" w:rsidRPr="00844BD4">
        <w:t>he reduction in Japanese exports of</w:t>
      </w:r>
      <w:r w:rsidR="00BC790C" w:rsidRPr="00844BD4">
        <w:t xml:space="preserve"> key components for the automotive industry</w:t>
      </w:r>
      <w:r w:rsidR="008419BC" w:rsidRPr="00844BD4">
        <w:t xml:space="preserve"> generated drops in the global production of vehicles</w:t>
      </w:r>
      <w:r w:rsidR="009B4A06">
        <w:t>;</w:t>
      </w:r>
      <w:r w:rsidR="008419BC" w:rsidRPr="00844BD4">
        <w:t xml:space="preserve"> </w:t>
      </w:r>
      <w:r w:rsidR="009B4A06" w:rsidRPr="00844BD4">
        <w:t xml:space="preserve">for example, </w:t>
      </w:r>
      <w:r w:rsidR="00C754DD" w:rsidRPr="00844BD4">
        <w:t xml:space="preserve">Toyota, Honda, Opel, Nissan and General Motors froze their production </w:t>
      </w:r>
      <w:r w:rsidR="00776B3A" w:rsidRPr="00844BD4">
        <w:t>immediately after the earthquake,</w:t>
      </w:r>
      <w:r w:rsidR="00776B3A">
        <w:t xml:space="preserve"> </w:t>
      </w:r>
      <w:r w:rsidR="00C754DD" w:rsidRPr="00844BD4">
        <w:t xml:space="preserve">with losses of </w:t>
      </w:r>
      <w:r w:rsidR="00D54F1A" w:rsidRPr="00844BD4">
        <w:t>US$</w:t>
      </w:r>
      <w:r w:rsidR="00C754DD" w:rsidRPr="00844BD4">
        <w:t>72 million a day</w:t>
      </w:r>
      <w:r w:rsidR="00687C52">
        <w:t xml:space="preserve"> </w:t>
      </w:r>
      <w:r w:rsidR="00687C52">
        <w:fldChar w:fldCharType="begin"/>
      </w:r>
      <w:r w:rsidR="00687C52">
        <w:instrText xml:space="preserve"> ADDIN ZOTERO_ITEM CSL_CITATION {"citationID":"26g53mipqi","properties":{"formattedCitation":"(Autonews, 2011)","plainCitation":"(Autonews, 2011)"},"citationItems":[{"id":2841,"uris":["http://zotero.org/groups/271383/items/PKTRX662"],"uri":["http://zotero.org/groups/271383/items/PKTRX662"],"itemData":{"id":2841,"type":"webpage","title":"Opel, Renault production hit by shortage of Japanese parts","container-title":"Automotive News","abstract":"Opel and Renault warned they would have to reduce production after Japan's earthquake last week led to shutdowns of car parts factories in the country. Opel plans temporary production stops at a plant in Spain, due to the lack of an electronic item which had not arrived from Japan.","URL":"http://www.autonews.com/article/20110318/COPY01/303189860/opel-renault-production-hit-by-shortage-of-japanese-parts","author":[{"family":"Autonews","given":"From wire"}],"issued":{"date-parts":[["2011"]]},"accessed":{"date-parts":[["2014",8,13]]}}}],"schema":"https://github.com/citation-style-language/schema/raw/master/csl-citation.json"} </w:instrText>
      </w:r>
      <w:r w:rsidR="00687C52">
        <w:fldChar w:fldCharType="separate"/>
      </w:r>
      <w:r w:rsidR="005B3396" w:rsidRPr="005B3396">
        <w:t>(Autonews, 2011)</w:t>
      </w:r>
      <w:r w:rsidR="00687C52">
        <w:fldChar w:fldCharType="end"/>
      </w:r>
      <w:r w:rsidR="00C754DD" w:rsidRPr="00844BD4">
        <w:t xml:space="preserve">. According to IHS Global Insight, a global consulting firm, around 2.8 million </w:t>
      </w:r>
      <w:r w:rsidR="00CE33BD" w:rsidRPr="00844BD4">
        <w:t>vehicles (</w:t>
      </w:r>
      <w:r w:rsidR="00926091" w:rsidRPr="00844BD4">
        <w:t>equivalent to 4.7% of world car production in 2010)</w:t>
      </w:r>
      <w:r w:rsidR="00926091">
        <w:t xml:space="preserve"> </w:t>
      </w:r>
      <w:r w:rsidR="00150E35" w:rsidRPr="00844BD4">
        <w:t>were foreseen for production but</w:t>
      </w:r>
      <w:r w:rsidR="00776B3A">
        <w:t xml:space="preserve"> were</w:t>
      </w:r>
      <w:r w:rsidR="00150E35" w:rsidRPr="00844BD4">
        <w:t xml:space="preserve"> in fact not produced</w:t>
      </w:r>
      <w:r w:rsidR="00926091">
        <w:t>.</w:t>
      </w:r>
      <w:r w:rsidR="00C754DD" w:rsidRPr="00844BD4">
        <w:t xml:space="preserve"> 1 million</w:t>
      </w:r>
      <w:r w:rsidR="00926091">
        <w:t xml:space="preserve"> of these </w:t>
      </w:r>
      <w:r w:rsidR="00C754DD" w:rsidRPr="00844BD4">
        <w:t xml:space="preserve">vehicles </w:t>
      </w:r>
      <w:r w:rsidR="00926091">
        <w:t xml:space="preserve">should have been </w:t>
      </w:r>
      <w:r w:rsidR="00C754DD" w:rsidRPr="00844BD4">
        <w:t xml:space="preserve">produced </w:t>
      </w:r>
      <w:r w:rsidR="00C754DD" w:rsidRPr="00DE0063">
        <w:t xml:space="preserve">outside Japan </w:t>
      </w:r>
      <w:r w:rsidR="00DE0063" w:rsidRPr="00DD32B3">
        <w:fldChar w:fldCharType="begin"/>
      </w:r>
      <w:r w:rsidR="00DE0063" w:rsidRPr="00DD32B3">
        <w:instrText xml:space="preserve"> ADDIN ZOTERO_ITEM CSL_CITATION {"citationID":"242nfsa6rs","properties":{"formattedCitation":"(Robinet, 2011)","plainCitation":"(Robinet, 2011)"},"citationItems":[{"id":2815,"uris":["http://zotero.org/groups/271383/items/IB4T5ZHG"],"uri":["http://zotero.org/groups/271383/items/IB4T5ZHG"],"itemData":{"id":2815,"type":"webpage","title":"Japan Disaster Output Impacts Update","URL":"http://www.oesa.org/Doc-Vault/Knowledge-Center/Archived-Docs/Japan-Earthquake-Information/IHS-Japan-Disaster-Output-Impact-Update-June-10.pdf","author":[{"family":"Robinet","given":"M."}],"issued":{"date-parts":[["2011"]]}}}],"schema":"https://github.com/citation-style-language/schema/raw/master/csl-citation.json"} </w:instrText>
      </w:r>
      <w:r w:rsidR="00DE0063" w:rsidRPr="00DD32B3">
        <w:fldChar w:fldCharType="separate"/>
      </w:r>
      <w:r w:rsidR="005B3396" w:rsidRPr="005B3396">
        <w:t>(Robinet, 2011)</w:t>
      </w:r>
      <w:r w:rsidR="00DE0063" w:rsidRPr="00DD32B3">
        <w:fldChar w:fldCharType="end"/>
      </w:r>
      <w:r w:rsidR="00C754DD" w:rsidRPr="007D773F">
        <w:t>.</w:t>
      </w:r>
    </w:p>
    <w:p w:rsidR="004232E8" w:rsidRPr="00844BD4" w:rsidRDefault="00C754DD" w:rsidP="00CE33BD">
      <w:pPr>
        <w:spacing w:line="360" w:lineRule="auto"/>
        <w:ind w:firstLine="567"/>
        <w:jc w:val="both"/>
        <w:rPr>
          <w:lang w:val="en-US"/>
        </w:rPr>
      </w:pPr>
      <w:r w:rsidRPr="00844BD4">
        <w:rPr>
          <w:color w:val="000000"/>
        </w:rPr>
        <w:t>The</w:t>
      </w:r>
      <w:r w:rsidR="00D11BF0">
        <w:rPr>
          <w:color w:val="000000"/>
        </w:rPr>
        <w:t xml:space="preserve"> impact of the disruption on the supply chain was</w:t>
      </w:r>
      <w:r w:rsidR="00D11BF0" w:rsidRPr="00844BD4">
        <w:rPr>
          <w:color w:val="000000"/>
        </w:rPr>
        <w:t xml:space="preserve"> </w:t>
      </w:r>
      <w:r w:rsidRPr="00844BD4">
        <w:rPr>
          <w:color w:val="000000"/>
        </w:rPr>
        <w:t xml:space="preserve">transmitted </w:t>
      </w:r>
      <w:r w:rsidRPr="00844BD4">
        <w:t xml:space="preserve">to other </w:t>
      </w:r>
      <w:r w:rsidR="005118CE" w:rsidRPr="00844BD4">
        <w:t xml:space="preserve">upstream </w:t>
      </w:r>
      <w:r w:rsidRPr="00844BD4">
        <w:t xml:space="preserve">industries connected to </w:t>
      </w:r>
      <w:r w:rsidR="00D11BF0">
        <w:t>the TEI</w:t>
      </w:r>
      <w:r w:rsidR="00926091">
        <w:t>,</w:t>
      </w:r>
      <w:r w:rsidRPr="00844BD4">
        <w:t xml:space="preserve"> such as the </w:t>
      </w:r>
      <w:r w:rsidR="00926091">
        <w:t>produc</w:t>
      </w:r>
      <w:r w:rsidRPr="00844BD4">
        <w:t xml:space="preserve">tion of basic metals, fabricated metals and </w:t>
      </w:r>
      <w:r w:rsidRPr="00844BD4">
        <w:lastRenderedPageBreak/>
        <w:t>rubbers and plastics. This</w:t>
      </w:r>
      <w:r w:rsidRPr="00844BD4">
        <w:rPr>
          <w:lang w:val="en-US"/>
        </w:rPr>
        <w:t xml:space="preserve"> domino effect </w:t>
      </w:r>
      <w:r w:rsidR="006F16E1" w:rsidRPr="00844BD4">
        <w:rPr>
          <w:lang w:val="en-US"/>
        </w:rPr>
        <w:t xml:space="preserve">spread </w:t>
      </w:r>
      <w:r w:rsidRPr="00844BD4">
        <w:rPr>
          <w:lang w:val="en-US"/>
        </w:rPr>
        <w:t xml:space="preserve">rapidly around </w:t>
      </w:r>
      <w:r w:rsidR="001F7EDC" w:rsidRPr="00844BD4">
        <w:rPr>
          <w:lang w:val="en-US"/>
        </w:rPr>
        <w:t>the world</w:t>
      </w:r>
      <w:r w:rsidR="0099627B" w:rsidRPr="00844BD4">
        <w:rPr>
          <w:lang w:val="en-US"/>
        </w:rPr>
        <w:t xml:space="preserve">, </w:t>
      </w:r>
      <w:r w:rsidR="006F16E1" w:rsidRPr="00844BD4">
        <w:rPr>
          <w:lang w:val="en-US"/>
        </w:rPr>
        <w:t>highlighting</w:t>
      </w:r>
      <w:r w:rsidR="0099627B" w:rsidRPr="00844BD4">
        <w:rPr>
          <w:lang w:val="en-US"/>
        </w:rPr>
        <w:t xml:space="preserve"> the vulnerability of </w:t>
      </w:r>
      <w:r w:rsidR="006F16E1" w:rsidRPr="00844BD4">
        <w:rPr>
          <w:lang w:val="en-US"/>
        </w:rPr>
        <w:t xml:space="preserve">the </w:t>
      </w:r>
      <w:r w:rsidR="0099627B" w:rsidRPr="00844BD4">
        <w:rPr>
          <w:lang w:val="en-US"/>
        </w:rPr>
        <w:t>global economy to supply disruptions due to natural disasters</w:t>
      </w:r>
      <w:r w:rsidR="004232E8" w:rsidRPr="00844BD4">
        <w:rPr>
          <w:lang w:val="en-US"/>
        </w:rPr>
        <w:t>.</w:t>
      </w:r>
    </w:p>
    <w:p w:rsidR="001F7EDC" w:rsidRPr="00844BD4" w:rsidRDefault="008A30CE" w:rsidP="00CE33BD">
      <w:pPr>
        <w:spacing w:line="360" w:lineRule="auto"/>
        <w:ind w:firstLine="567"/>
        <w:jc w:val="both"/>
        <w:rPr>
          <w:lang w:val="en-US"/>
        </w:rPr>
      </w:pPr>
      <w:r w:rsidRPr="00844BD4">
        <w:rPr>
          <w:lang w:val="en-US"/>
        </w:rPr>
        <w:t>T</w:t>
      </w:r>
      <w:r w:rsidR="00C754DD" w:rsidRPr="00844BD4">
        <w:rPr>
          <w:lang w:val="en-US"/>
        </w:rPr>
        <w:t>he complex and increasing connection</w:t>
      </w:r>
      <w:r w:rsidR="00926091">
        <w:rPr>
          <w:lang w:val="en-US"/>
        </w:rPr>
        <w:t>s</w:t>
      </w:r>
      <w:r w:rsidR="00C754DD" w:rsidRPr="00844BD4">
        <w:rPr>
          <w:lang w:val="en-US"/>
        </w:rPr>
        <w:t xml:space="preserve"> that currently exists among countries and production</w:t>
      </w:r>
      <w:r w:rsidR="000D7C9B" w:rsidRPr="00844BD4">
        <w:rPr>
          <w:lang w:val="en-US"/>
        </w:rPr>
        <w:t xml:space="preserve"> chain</w:t>
      </w:r>
      <w:r w:rsidR="00C754DD" w:rsidRPr="00844BD4">
        <w:rPr>
          <w:lang w:val="en-US"/>
        </w:rPr>
        <w:t>s make</w:t>
      </w:r>
      <w:r w:rsidR="00BC790C" w:rsidRPr="00844BD4">
        <w:rPr>
          <w:lang w:val="en-US"/>
        </w:rPr>
        <w:t xml:space="preserve"> it</w:t>
      </w:r>
      <w:r w:rsidR="00C754DD" w:rsidRPr="00844BD4">
        <w:rPr>
          <w:lang w:val="en-US"/>
        </w:rPr>
        <w:t xml:space="preserve"> difficult to quantify the </w:t>
      </w:r>
      <w:r w:rsidR="007073AE" w:rsidRPr="00844BD4">
        <w:rPr>
          <w:lang w:val="en-US"/>
        </w:rPr>
        <w:t xml:space="preserve">global </w:t>
      </w:r>
      <w:r w:rsidR="00C754DD" w:rsidRPr="00844BD4">
        <w:rPr>
          <w:lang w:val="en-US"/>
        </w:rPr>
        <w:t xml:space="preserve">impacts generated by unexpected events. </w:t>
      </w:r>
      <w:r w:rsidR="00C754DD" w:rsidRPr="00844BD4">
        <w:t xml:space="preserve">The lack of up-to-date international databases able to capture the trade relationships between countries and sectors, and the consequent limited use of </w:t>
      </w:r>
      <w:r w:rsidR="003E03AD" w:rsidRPr="00844BD4">
        <w:t>multi</w:t>
      </w:r>
      <w:r w:rsidR="006B2C7D" w:rsidRPr="00844BD4">
        <w:t>-</w:t>
      </w:r>
      <w:r w:rsidR="00C754DD" w:rsidRPr="00844BD4">
        <w:t xml:space="preserve">regional models have so far </w:t>
      </w:r>
      <w:r w:rsidR="000D7C9B" w:rsidRPr="00844BD4">
        <w:t xml:space="preserve">made it </w:t>
      </w:r>
      <w:r w:rsidR="00C754DD" w:rsidRPr="00844BD4">
        <w:t>very difficult to carry out any kind of estimation of the cascading effects resulting from disruptions in the international supply-</w:t>
      </w:r>
      <w:r w:rsidR="00F44341" w:rsidRPr="00844BD4">
        <w:t xml:space="preserve">demand </w:t>
      </w:r>
      <w:r w:rsidR="00C754DD" w:rsidRPr="00844BD4">
        <w:t xml:space="preserve">chain. </w:t>
      </w:r>
      <w:r w:rsidR="00C754DD" w:rsidRPr="00844BD4">
        <w:rPr>
          <w:lang w:val="en-US"/>
        </w:rPr>
        <w:t xml:space="preserve">For this reason, most of the </w:t>
      </w:r>
      <w:r w:rsidR="00150E35" w:rsidRPr="00844BD4">
        <w:rPr>
          <w:lang w:val="en-US"/>
        </w:rPr>
        <w:t xml:space="preserve">studies </w:t>
      </w:r>
      <w:r w:rsidR="000D7C9B" w:rsidRPr="00844BD4">
        <w:rPr>
          <w:lang w:val="en-US"/>
        </w:rPr>
        <w:t xml:space="preserve">published </w:t>
      </w:r>
      <w:r w:rsidR="001F7EDC" w:rsidRPr="00844BD4">
        <w:rPr>
          <w:lang w:val="en-US"/>
        </w:rPr>
        <w:t>on the econom</w:t>
      </w:r>
      <w:r w:rsidR="002B546E" w:rsidRPr="00844BD4">
        <w:rPr>
          <w:lang w:val="en-US"/>
        </w:rPr>
        <w:t>y-wide</w:t>
      </w:r>
      <w:r w:rsidR="001F7EDC" w:rsidRPr="00844BD4">
        <w:rPr>
          <w:lang w:val="en-US"/>
        </w:rPr>
        <w:t xml:space="preserve"> impact</w:t>
      </w:r>
      <w:r w:rsidR="002B546E" w:rsidRPr="00844BD4">
        <w:rPr>
          <w:lang w:val="en-US"/>
        </w:rPr>
        <w:t>s</w:t>
      </w:r>
      <w:r w:rsidR="001F7EDC" w:rsidRPr="00844BD4">
        <w:rPr>
          <w:lang w:val="en-US"/>
        </w:rPr>
        <w:t xml:space="preserve"> of the Japanese disaster</w:t>
      </w:r>
      <w:r w:rsidR="00C754DD" w:rsidRPr="00844BD4">
        <w:rPr>
          <w:lang w:val="en-US"/>
        </w:rPr>
        <w:t xml:space="preserve"> </w:t>
      </w:r>
      <w:r w:rsidR="000D7C9B" w:rsidRPr="00844BD4">
        <w:rPr>
          <w:lang w:val="en-US"/>
        </w:rPr>
        <w:t xml:space="preserve">only </w:t>
      </w:r>
      <w:r w:rsidR="00C754DD" w:rsidRPr="00844BD4">
        <w:rPr>
          <w:lang w:val="en-US"/>
        </w:rPr>
        <w:t xml:space="preserve">account for the </w:t>
      </w:r>
      <w:r w:rsidR="006141A4" w:rsidRPr="00844BD4">
        <w:rPr>
          <w:lang w:val="en-US"/>
        </w:rPr>
        <w:t>impacts in Japan (e.g.</w:t>
      </w:r>
      <w:r w:rsidR="00687C52">
        <w:rPr>
          <w:lang w:val="en-US"/>
        </w:rPr>
        <w:t xml:space="preserve"> </w:t>
      </w:r>
      <w:r w:rsidR="00687C52">
        <w:rPr>
          <w:lang w:val="en-US"/>
        </w:rPr>
        <w:fldChar w:fldCharType="begin"/>
      </w:r>
      <w:r w:rsidR="00687C52">
        <w:rPr>
          <w:lang w:val="en-US"/>
        </w:rPr>
        <w:instrText xml:space="preserve"> ADDIN ZOTERO_ITEM CSL_CITATION {"citationID":"15e47r467l","properties":{"formattedCitation":"(Kajitani et al., 2013)","plainCitation":"(Kajitani et al., 2013)"},"citationItems":[{"id":2796,"uris":["http://zotero.org/groups/271383/items/F34FS34A"],"uri":["http://zotero.org/groups/271383/items/F34FS34A"],"itemData":{"id":2796,"type":"article-journal","title":"Economic Impacts of the 2011 Tohoku-Oki Earthquake and Tsunami","container-title":"Earthquake Spectra","page":"S457-S478","volume":"29","issue":"S1","source":"earthquakespectra.org (Atypon)","abstract":"This paper provides an overview of economic impacts in the first year after the 2011 Tohoku-oki earthquake, tsunami, and nuclear accident—at an estimated ¥16.9 trillion (US$211 billion) in direct damage, the costliest natural disaster on record. Documented costs to date include ¥2.9 trillion in insurance payouts and ¥17.7 trillion in response and recovery budgets by the national government that will be financed largely by tax increases and bonds. In the regions with physical damage, fisheries and agriculture, among other sectors, were very hard hit. The disaster also caused measurable economic impacts well beyond the damage regions, including losses in gross domestic product (GDP), in manufacturing from supply-chain disruptions, and in retail trade and tourism due to restrained consumption and radiation fears. Reduced capacity for generating electricity has led to substantial energy conservation nationwide. Results from applying a loss estimation model demonstrated good agreement with observed post-disaster economic activity.","DOI":"10.1193/1.4000108","ISSN":"8755-2930","journalAbbreviation":"Earthquake Spectra","author":[{"family":"Kajitani","given":"Yoshio"},{"family":"Chang","given":"Stephanie E."},{"family":"Tatano","given":"Hirokazu"}],"issued":{"date-parts":[["2013",3,1]]},"accessed":{"date-parts":[["2014",8,13]]}}}],"schema":"https://github.com/citation-style-language/schema/raw/master/csl-citation.json"} </w:instrText>
      </w:r>
      <w:r w:rsidR="00687C52">
        <w:rPr>
          <w:lang w:val="en-US"/>
        </w:rPr>
        <w:fldChar w:fldCharType="separate"/>
      </w:r>
      <w:r w:rsidR="005B3396" w:rsidRPr="005B3396">
        <w:t>Kajitani et al., 2013)</w:t>
      </w:r>
      <w:r w:rsidR="00687C52">
        <w:rPr>
          <w:lang w:val="en-US"/>
        </w:rPr>
        <w:fldChar w:fldCharType="end"/>
      </w:r>
      <w:r w:rsidR="00C754DD" w:rsidRPr="00844BD4">
        <w:rPr>
          <w:lang w:val="en-US"/>
        </w:rPr>
        <w:t xml:space="preserve">. </w:t>
      </w:r>
      <w:r w:rsidRPr="00844BD4">
        <w:rPr>
          <w:lang w:val="en-US"/>
        </w:rPr>
        <w:t xml:space="preserve">Thus, </w:t>
      </w:r>
      <w:r w:rsidR="001F7EDC" w:rsidRPr="00844BD4">
        <w:rPr>
          <w:lang w:val="en-US"/>
        </w:rPr>
        <w:t xml:space="preserve">large uncertainties still exist in the quantification </w:t>
      </w:r>
      <w:r w:rsidR="004555E3">
        <w:rPr>
          <w:lang w:val="en-US"/>
        </w:rPr>
        <w:t>of its worldwide economic effect</w:t>
      </w:r>
      <w:r w:rsidR="001F7EDC" w:rsidRPr="00844BD4">
        <w:rPr>
          <w:lang w:val="en-US"/>
        </w:rPr>
        <w:t>.</w:t>
      </w:r>
    </w:p>
    <w:p w:rsidR="00C754DD" w:rsidRPr="00844BD4" w:rsidRDefault="00C754DD" w:rsidP="00CE33BD">
      <w:pPr>
        <w:spacing w:line="360" w:lineRule="auto"/>
        <w:ind w:firstLine="567"/>
        <w:jc w:val="both"/>
      </w:pPr>
      <w:r w:rsidRPr="00844BD4">
        <w:t>In an increasing</w:t>
      </w:r>
      <w:r w:rsidR="00405C37" w:rsidRPr="00844BD4">
        <w:t>ly</w:t>
      </w:r>
      <w:r w:rsidRPr="00844BD4">
        <w:t xml:space="preserve"> interconnected world, however, the quantification of the global economic impacts</w:t>
      </w:r>
      <w:r w:rsidR="00B96103" w:rsidRPr="00844BD4">
        <w:t xml:space="preserve"> of unexpected </w:t>
      </w:r>
      <w:r w:rsidR="000D7C9B" w:rsidRPr="00844BD4">
        <w:t xml:space="preserve">local </w:t>
      </w:r>
      <w:r w:rsidR="00B96103" w:rsidRPr="00844BD4">
        <w:t>events</w:t>
      </w:r>
      <w:r w:rsidRPr="00844BD4">
        <w:t xml:space="preserve"> and the identification of </w:t>
      </w:r>
      <w:r w:rsidR="00053F57" w:rsidRPr="00844BD4">
        <w:t>how they</w:t>
      </w:r>
      <w:r w:rsidRPr="00844BD4">
        <w:t xml:space="preserve"> transfer </w:t>
      </w:r>
      <w:r w:rsidR="00B96103" w:rsidRPr="00844BD4">
        <w:t>to other regions</w:t>
      </w:r>
      <w:r w:rsidR="001F7EDC" w:rsidRPr="00844BD4">
        <w:t xml:space="preserve"> </w:t>
      </w:r>
      <w:r w:rsidRPr="00844BD4">
        <w:t>become of primary importance in order to reduce</w:t>
      </w:r>
      <w:r w:rsidR="001F7EDC" w:rsidRPr="00844BD4">
        <w:t xml:space="preserve"> the vulnerability of modern economies to natural disasters</w:t>
      </w:r>
      <w:r w:rsidRPr="00844BD4">
        <w:t>. In particular, the increasing frequency and magnitude of natural disasters and extreme events, generated by global warming and environmental stress, m</w:t>
      </w:r>
      <w:r w:rsidR="00B96103" w:rsidRPr="00844BD4">
        <w:t>ake</w:t>
      </w:r>
      <w:r w:rsidRPr="00844BD4">
        <w:t xml:space="preserve"> risk management </w:t>
      </w:r>
      <w:r w:rsidR="00B96103" w:rsidRPr="00844BD4">
        <w:t>and recover</w:t>
      </w:r>
      <w:r w:rsidR="00053F57" w:rsidRPr="00844BD4">
        <w:t>y</w:t>
      </w:r>
      <w:r w:rsidR="00B96103" w:rsidRPr="00844BD4">
        <w:t xml:space="preserve"> </w:t>
      </w:r>
      <w:r w:rsidRPr="00844BD4">
        <w:t xml:space="preserve">strategies </w:t>
      </w:r>
      <w:r w:rsidR="00053F57" w:rsidRPr="00844BD4">
        <w:t>a priority</w:t>
      </w:r>
      <w:r w:rsidRPr="00844BD4">
        <w:t xml:space="preserve"> both at national and international level </w:t>
      </w:r>
      <w:r w:rsidR="00687C52">
        <w:fldChar w:fldCharType="begin"/>
      </w:r>
      <w:r w:rsidR="00687C52">
        <w:instrText xml:space="preserve"> ADDIN ZOTERO_ITEM CSL_CITATION {"citationID":"6sokcbbu6","properties":{"formattedCitation":"(Mirza, 2003)","plainCitation":"(Mirza, 2003)"},"citationItems":[{"id":2805,"uris":["http://zotero.org/groups/271383/items/JGM4J3U7"],"uri":["http://zotero.org/groups/271383/items/JGM4J3U7"],"itemData":{"id":2805,"type":"article-journal","title":"Climate change and extreme weather events: can developing countries adapt?","container-title":"Climate Policy","page":"233-248","volume":"3","issue":"3","source":"ScienceDirect","abstract":"Developing countries are vulnerable to extremes of normal climatic variability, and climate change is likely to increase the frequency and magnitude of some extreme weather events and disasters. Adaptation to climate change is dependent on current adaptive capacity and the development models that are being pursued by developing countries. Various frameworks are available for vulnerability and adaptation (V&amp;amp;A) assessments, and they have both advantages and limitations. Investments in developing countries are more focused on recovery from a disaster than on the creation of adaptive capacity. Extreme climatic events create a spiral of debt burden on developing countries. Increased capacity to manage extreme weather events can reduce the magnitude of economic, social and human damage and eventually, investments, in terms of borrowing money from the lending agencies. Vulnerability to extreme weather events, disaster management and adaptation must be part of long-term sustainable development planning in developing countries. Lending agencies and donors need to reform their investment policies in developing countries to focus more on capacity building instead of just investing in recovery operations and infrastructure development.","DOI":"10.1016/S1469-3062(03)00052-4","ISSN":"1469-3062","shortTitle":"Climate change and extreme weather events","journalAbbreviation":"Climate Policy","author":[{"family":"Mirza","given":"M. Monirul Qader"}],"issued":{"date-parts":[["2003",9]]},"accessed":{"date-parts":[["2014",8,13]]}}}],"schema":"https://github.com/citation-style-language/schema/raw/master/csl-citation.json"} </w:instrText>
      </w:r>
      <w:r w:rsidR="00687C52">
        <w:fldChar w:fldCharType="separate"/>
      </w:r>
      <w:r w:rsidR="005B3396" w:rsidRPr="005B3396">
        <w:t>(Mirza, 2003)</w:t>
      </w:r>
      <w:r w:rsidR="00687C52">
        <w:fldChar w:fldCharType="end"/>
      </w:r>
      <w:r w:rsidRPr="00844BD4">
        <w:t>. For these reasons,</w:t>
      </w:r>
      <w:r w:rsidRPr="00844BD4">
        <w:rPr>
          <w:lang w:val="en-US"/>
        </w:rPr>
        <w:t xml:space="preserve"> there is an urgent </w:t>
      </w:r>
      <w:r w:rsidR="00B96103" w:rsidRPr="00844BD4">
        <w:rPr>
          <w:lang w:val="en-US"/>
        </w:rPr>
        <w:t>need</w:t>
      </w:r>
      <w:r w:rsidRPr="00844BD4">
        <w:rPr>
          <w:lang w:val="en-US"/>
        </w:rPr>
        <w:t xml:space="preserve"> </w:t>
      </w:r>
      <w:r w:rsidR="00B96103" w:rsidRPr="00844BD4">
        <w:rPr>
          <w:lang w:val="en-US"/>
        </w:rPr>
        <w:t>for</w:t>
      </w:r>
      <w:r w:rsidRPr="00844BD4">
        <w:rPr>
          <w:lang w:val="en-US"/>
        </w:rPr>
        <w:t xml:space="preserve"> </w:t>
      </w:r>
      <w:r w:rsidR="003E03AD" w:rsidRPr="00844BD4">
        <w:rPr>
          <w:lang w:val="en-US"/>
        </w:rPr>
        <w:t>multi</w:t>
      </w:r>
      <w:r w:rsidRPr="00844BD4">
        <w:rPr>
          <w:lang w:val="en-US"/>
        </w:rPr>
        <w:t>-regional models and databases able to include a fully-fledged description of international trade and supply chains.</w:t>
      </w:r>
      <w:r w:rsidRPr="00844BD4">
        <w:t xml:space="preserve"> </w:t>
      </w:r>
    </w:p>
    <w:p w:rsidR="00C754DD" w:rsidRPr="00844BD4" w:rsidRDefault="00C754DD" w:rsidP="00CE33BD">
      <w:pPr>
        <w:spacing w:line="360" w:lineRule="auto"/>
        <w:ind w:firstLine="567"/>
        <w:jc w:val="both"/>
        <w:rPr>
          <w:lang w:val="en-US"/>
        </w:rPr>
      </w:pPr>
      <w:r w:rsidRPr="00844BD4">
        <w:rPr>
          <w:lang w:val="en-US"/>
        </w:rPr>
        <w:t>In this paper, a</w:t>
      </w:r>
      <w:r w:rsidR="008A30CE" w:rsidRPr="00844BD4">
        <w:rPr>
          <w:lang w:val="en-US"/>
        </w:rPr>
        <w:t xml:space="preserve"> mixed</w:t>
      </w:r>
      <w:r w:rsidRPr="00844BD4">
        <w:rPr>
          <w:lang w:val="en-US"/>
        </w:rPr>
        <w:t xml:space="preserve"> </w:t>
      </w:r>
      <w:r w:rsidR="003E03AD" w:rsidRPr="00844BD4">
        <w:rPr>
          <w:lang w:val="en-US"/>
        </w:rPr>
        <w:t>multi</w:t>
      </w:r>
      <w:r w:rsidRPr="00844BD4">
        <w:rPr>
          <w:lang w:val="en-US"/>
        </w:rPr>
        <w:t>-</w:t>
      </w:r>
      <w:r w:rsidR="002B546E" w:rsidRPr="00844BD4">
        <w:rPr>
          <w:lang w:val="en-US"/>
        </w:rPr>
        <w:t>r</w:t>
      </w:r>
      <w:r w:rsidRPr="00844BD4">
        <w:rPr>
          <w:lang w:val="en-US"/>
        </w:rPr>
        <w:t xml:space="preserve">egional </w:t>
      </w:r>
      <w:r w:rsidR="002B546E" w:rsidRPr="00844BD4">
        <w:rPr>
          <w:lang w:val="en-US"/>
        </w:rPr>
        <w:t>i</w:t>
      </w:r>
      <w:r w:rsidRPr="00844BD4">
        <w:rPr>
          <w:lang w:val="en-US"/>
        </w:rPr>
        <w:t>nput</w:t>
      </w:r>
      <w:r w:rsidR="00053F57" w:rsidRPr="00844BD4">
        <w:rPr>
          <w:lang w:val="en-US"/>
        </w:rPr>
        <w:t>-</w:t>
      </w:r>
      <w:r w:rsidR="002B546E" w:rsidRPr="00844BD4">
        <w:rPr>
          <w:lang w:val="en-US"/>
        </w:rPr>
        <w:t>o</w:t>
      </w:r>
      <w:r w:rsidRPr="00844BD4">
        <w:rPr>
          <w:lang w:val="en-US"/>
        </w:rPr>
        <w:t>utput model (</w:t>
      </w:r>
      <w:r w:rsidR="003E03AD" w:rsidRPr="00844BD4">
        <w:rPr>
          <w:lang w:val="en-US"/>
        </w:rPr>
        <w:t>MRIO</w:t>
      </w:r>
      <w:r w:rsidRPr="00844BD4">
        <w:rPr>
          <w:lang w:val="en-US"/>
        </w:rPr>
        <w:t>)</w:t>
      </w:r>
      <w:r w:rsidR="00F44341" w:rsidRPr="00844BD4">
        <w:rPr>
          <w:lang w:val="en-US"/>
        </w:rPr>
        <w:t>,</w:t>
      </w:r>
      <w:r w:rsidRPr="00844BD4">
        <w:rPr>
          <w:lang w:val="en-US"/>
        </w:rPr>
        <w:t xml:space="preserve"> </w:t>
      </w:r>
      <w:r w:rsidR="008A30CE" w:rsidRPr="00844BD4">
        <w:rPr>
          <w:lang w:val="en-US"/>
        </w:rPr>
        <w:t xml:space="preserve">the </w:t>
      </w:r>
      <w:r w:rsidR="00B96103" w:rsidRPr="00844BD4">
        <w:rPr>
          <w:lang w:val="en-US"/>
        </w:rPr>
        <w:t>EU-funded World Input-Output Database (WIOD)</w:t>
      </w:r>
      <w:r w:rsidR="00F44341" w:rsidRPr="00844BD4">
        <w:rPr>
          <w:lang w:val="en-US"/>
        </w:rPr>
        <w:t xml:space="preserve"> and data at the factory level</w:t>
      </w:r>
      <w:r w:rsidR="00B96103" w:rsidRPr="00844BD4">
        <w:rPr>
          <w:lang w:val="en-US"/>
        </w:rPr>
        <w:t xml:space="preserve"> </w:t>
      </w:r>
      <w:r w:rsidRPr="00844BD4">
        <w:rPr>
          <w:lang w:val="en-US"/>
        </w:rPr>
        <w:t xml:space="preserve">are used to quantify </w:t>
      </w:r>
      <w:r w:rsidRPr="00844BD4">
        <w:t>the worldwide economic impacts generated by</w:t>
      </w:r>
      <w:r w:rsidR="00A642F2" w:rsidRPr="00844BD4">
        <w:t xml:space="preserve"> the</w:t>
      </w:r>
      <w:r w:rsidRPr="00844BD4">
        <w:t xml:space="preserve"> disruption in the international supply</w:t>
      </w:r>
      <w:r w:rsidR="00053F57" w:rsidRPr="00844BD4">
        <w:t xml:space="preserve"> chain</w:t>
      </w:r>
      <w:r w:rsidRPr="00844BD4">
        <w:t xml:space="preserve"> of</w:t>
      </w:r>
      <w:r w:rsidR="00A642F2" w:rsidRPr="00844BD4">
        <w:t xml:space="preserve"> the</w:t>
      </w:r>
      <w:r w:rsidRPr="00844BD4">
        <w:t xml:space="preserve"> </w:t>
      </w:r>
      <w:r w:rsidR="00F44341" w:rsidRPr="00844BD4">
        <w:t>TEI</w:t>
      </w:r>
      <w:r w:rsidRPr="00844BD4">
        <w:t xml:space="preserve"> generated by</w:t>
      </w:r>
      <w:r w:rsidR="00A642F2" w:rsidRPr="00844BD4">
        <w:t xml:space="preserve"> the</w:t>
      </w:r>
      <w:r w:rsidRPr="00844BD4">
        <w:t xml:space="preserve"> Japanese disaster of March 2011. The paper is structured as follows: </w:t>
      </w:r>
      <w:r w:rsidR="00053F57" w:rsidRPr="00844BD4">
        <w:t>S</w:t>
      </w:r>
      <w:r w:rsidRPr="00844BD4">
        <w:t xml:space="preserve">ection 2 </w:t>
      </w:r>
      <w:r w:rsidR="00053F57" w:rsidRPr="00844BD4">
        <w:t xml:space="preserve">describes </w:t>
      </w:r>
      <w:r w:rsidRPr="00844BD4">
        <w:t>the</w:t>
      </w:r>
      <w:r w:rsidR="008A30CE" w:rsidRPr="00844BD4">
        <w:t xml:space="preserve"> mixed</w:t>
      </w:r>
      <w:r w:rsidRPr="00844BD4">
        <w:t xml:space="preserve"> </w:t>
      </w:r>
      <w:r w:rsidR="003E03AD" w:rsidRPr="00844BD4">
        <w:t>MRIO</w:t>
      </w:r>
      <w:r w:rsidRPr="00844BD4">
        <w:t xml:space="preserve"> model used </w:t>
      </w:r>
      <w:r w:rsidR="002B546E" w:rsidRPr="00844BD4">
        <w:t>in this paper</w:t>
      </w:r>
      <w:r w:rsidR="00405C37" w:rsidRPr="00844BD4">
        <w:t xml:space="preserve"> and the</w:t>
      </w:r>
      <w:r w:rsidRPr="00844BD4">
        <w:t xml:space="preserve"> data sources</w:t>
      </w:r>
      <w:r w:rsidR="002B546E" w:rsidRPr="00844BD4">
        <w:t xml:space="preserve">, </w:t>
      </w:r>
      <w:r w:rsidR="00053F57" w:rsidRPr="00844BD4">
        <w:t>S</w:t>
      </w:r>
      <w:r w:rsidRPr="00844BD4">
        <w:t xml:space="preserve">ection </w:t>
      </w:r>
      <w:r w:rsidR="00405C37" w:rsidRPr="00844BD4">
        <w:t xml:space="preserve">3 </w:t>
      </w:r>
      <w:r w:rsidRPr="00844BD4">
        <w:t xml:space="preserve">presents the results and </w:t>
      </w:r>
      <w:r w:rsidR="00053F57" w:rsidRPr="00844BD4">
        <w:t>S</w:t>
      </w:r>
      <w:r w:rsidRPr="00844BD4">
        <w:t xml:space="preserve">ection </w:t>
      </w:r>
      <w:r w:rsidR="00405C37" w:rsidRPr="00844BD4">
        <w:t xml:space="preserve">4 </w:t>
      </w:r>
      <w:r w:rsidR="00155BD7" w:rsidRPr="00844BD4">
        <w:t>covers the discussion</w:t>
      </w:r>
      <w:r w:rsidRPr="00844BD4">
        <w:t xml:space="preserve">. </w:t>
      </w:r>
    </w:p>
    <w:p w:rsidR="00E87EB6" w:rsidRPr="00844BD4" w:rsidRDefault="00E87EB6" w:rsidP="00CE33BD">
      <w:pPr>
        <w:spacing w:line="360" w:lineRule="auto"/>
      </w:pPr>
    </w:p>
    <w:p w:rsidR="00236D5B" w:rsidRDefault="00236D5B" w:rsidP="00CE33BD">
      <w:pPr>
        <w:pStyle w:val="Heading1"/>
        <w:spacing w:before="0" w:after="0" w:line="360" w:lineRule="auto"/>
      </w:pPr>
    </w:p>
    <w:p w:rsidR="00E87EB6" w:rsidRPr="00844BD4" w:rsidRDefault="00E87EB6" w:rsidP="00CE33BD">
      <w:pPr>
        <w:pStyle w:val="Heading1"/>
        <w:spacing w:before="0" w:after="0" w:line="360" w:lineRule="auto"/>
      </w:pPr>
      <w:r w:rsidRPr="00844BD4">
        <w:t>2. Methodology and data</w:t>
      </w:r>
    </w:p>
    <w:p w:rsidR="00E87EB6" w:rsidRPr="00844BD4" w:rsidRDefault="00E87EB6" w:rsidP="00CE33BD">
      <w:pPr>
        <w:spacing w:line="360" w:lineRule="auto"/>
      </w:pPr>
    </w:p>
    <w:p w:rsidR="00E87EB6" w:rsidRPr="00844BD4" w:rsidRDefault="00E87EB6" w:rsidP="00CE33BD">
      <w:pPr>
        <w:pStyle w:val="Heading1"/>
        <w:spacing w:before="0" w:after="0" w:line="360" w:lineRule="auto"/>
      </w:pPr>
      <w:r w:rsidRPr="00844BD4">
        <w:t>2.1 Methodology</w:t>
      </w:r>
    </w:p>
    <w:p w:rsidR="0053067C" w:rsidRPr="00844BD4" w:rsidRDefault="00E87EB6" w:rsidP="00CE33BD">
      <w:pPr>
        <w:spacing w:line="360" w:lineRule="auto"/>
        <w:jc w:val="both"/>
      </w:pPr>
      <w:r w:rsidRPr="00844BD4">
        <w:t xml:space="preserve">A vast variety of </w:t>
      </w:r>
      <w:r w:rsidR="00155BD7" w:rsidRPr="00844BD4">
        <w:t>i</w:t>
      </w:r>
      <w:r w:rsidR="00155AA9" w:rsidRPr="00844BD4">
        <w:t>nput-</w:t>
      </w:r>
      <w:r w:rsidR="00C7572B" w:rsidRPr="00844BD4">
        <w:t>output</w:t>
      </w:r>
      <w:r w:rsidR="00155AA9" w:rsidRPr="00844BD4">
        <w:t xml:space="preserve"> (</w:t>
      </w:r>
      <w:r w:rsidRPr="00844BD4">
        <w:t>IO</w:t>
      </w:r>
      <w:r w:rsidR="00155AA9" w:rsidRPr="00844BD4">
        <w:t>)</w:t>
      </w:r>
      <w:r w:rsidRPr="00844BD4">
        <w:t xml:space="preserve"> models have been used to estimate the economic impacts generated by unexpected events such as</w:t>
      </w:r>
      <w:r w:rsidR="00D901FD" w:rsidRPr="00844BD4">
        <w:t xml:space="preserve"> disasters or</w:t>
      </w:r>
      <w:r w:rsidRPr="00844BD4">
        <w:t xml:space="preserve"> natural catastrophes </w:t>
      </w:r>
      <w:r w:rsidR="00687C52" w:rsidRPr="003B26BE">
        <w:fldChar w:fldCharType="begin"/>
      </w:r>
      <w:r w:rsidR="009C19BA" w:rsidRPr="00AF6A0B">
        <w:instrText xml:space="preserve"> ADDIN ZOTERO_ITEM CSL_CITATION {"citationID":"3khrsthh8","properties":{"formattedCitation":"(Hallegatte, 2008; Okuyama and Santos, 2014; Okuyama, 2010, 2004; Okuyama et al., 2004, 1999; Rose and Wei, 2013; Santos and Haimes, 2004; Veen and Logtmeijer, 2005)","plainCitation":"(Hallegatte, 2008; Okuyama and Santos, 2014; Okuyama, 2010, 2004; Okuyama et al., 2004, 1999; Rose and Wei, 2013; Santos and Haimes, 2004; Veen and Logtmeijer, 2005)"},"citationItems":[{"id":2789,"uris":["http://zotero.org/groups/271383/items/RREDVNHP"],"uri":["http://zotero.org/groups/271383/items/RREDVNHP"],"itemData":{"id":2789,"type":"article-journal","title":"An adaptive regional input-output model and its application to the assessment of the economic cost of Katrina","container-title":"Risk Analysis: An Official Publication of the Society for Risk Analysis","page":"779-799","volume":"28","issue":"3","source":"NCBI PubMed","abstract":"This article proposes a new modeling framework to investigate the consequences of natural disasters and the following reconstruction phase. Based on input-output tables, its originalities are (1) the taking into account of sector production capacities and of both forward and backward propagations within the economic system; and (2) the introduction of adaptive behaviors. The model is used to simulate the response of the economy of Louisiana to the landfall of Katrina. The model is found consistent with available data, and provides two important insights. First, economic processes exacerbate direct losses, and total costs are estimated at $149 billion, for direct losses equal to $107 billion. When exploring the impacts of other possible disasters, it is found that total losses due to a disaster affecting Louisiana increase nonlinearly with respect to direct losses when the latter exceed $50 billion. When direct losses exceed $200 billion, for instance, total losses are twice as large as direct losses. For risk management, therefore, direct losses are insufficient measures of disaster consequences. Second, positive and negative backward propagation mechanisms are essential for the assessment of disaster consequences, and the taking into account of production capacities is necessary to avoid overestimating the positive effects of reconstruction. A systematic sensitivity analysis shows that, among all parameters, the overproduction capacity in the construction sector and the adaptation characteristic time are the most important.","DOI":"10.1111/j.1539-6924.2008.01046.x","ISSN":"1539-6924","note":"PMID: 18643833","journalAbbreviation":"Risk Anal.","language":"eng","author":[{"family":"Hallegatte","given":"Stéphane"}],"issued":{"date-parts":[["2008",6]]},"PMID":"18643833"}},{"id":2820,"uris":["http://zotero.org/groups/271383/items/GS6TKVT8"],"uri":["http://zotero.org/groups/271383/items/GS6TKVT8"],"itemData":{"id":2820,"type":"article-journal","title":"Disaster Impact and Input–Output Analysis","container-title":"Economic Systems Research","page":"1-12","volume":"26","issue":"1","source":"Taylor and Francis+NEJM","abstract":"Macroeconomics models, such as the input–output model, the social accounting matrix, and the computable general equilibrium model, have been used for impact analysis of catastrophic disasters for some time. While the use of such models to disaster situation, which may quite differ from the ordinary economic setting, has been critiqued (for recent example, see Albala-Bertrand, 2013), there are still valuable reasons for the use of such models. In particular, such models can be used in order to quickly provide a ballpark estimate of the system-wide impact for recovery plan and finance and/or to evaluate disaster countermeasures in the pre-event period. This paper presents how these methodologies have evolved to incorporate with disaster-specific feature and discusses how far they still need to go from the current stage. This paper also serves as a preface to this special issue, which encompasses several papers devoted to the use of macroeconomic data and models to assess economic losses from disasters.","DOI":"10.1080/09535314.2013.871505","ISSN":"0953-5314","author":[{"family":"Okuyama","given":"Yasuhide"},{"family":"Santos","given":"Joost R."}],"issued":{"date-parts":[["2014"]]},"accessed":{"date-parts":[["2014",8,13]]}}},{"id":2810,"uris":["http://zotero.org/groups/271383/items/HCIMPMMK"],"uri":["http://zotero.org/groups/271383/items/HCIMPMMK"],"itemData":{"id":2810,"type":"article-journal","title":"Globalization and Localization of Disaster Impacts: An Empirical Examination","container-title":"CESifo Forum","collection-title":"CESifo Forum","page":"56-66","volume":"11","issue":"2","abstract":"No abstract is available for this item.","journalAbbreviation":"CESifo Forum","author":[{"family":"Okuyama","given":"Y."}],"issued":{"date-parts":[["2010"]]}}},{"id":2809,"uris":["http://zotero.org/groups/271383/items/ZWVBRQ8J"],"uri":["http://zotero.org/groups/271383/items/ZWVBRQ8J"],"itemData":{"id":2809,"type":"article-journal","title":"Modeling spatial economic impacts of an earthquake: input-output approaches","container-title":"Disaster Prevention and Management","page":"297-306","volume":"13","issue":"4","source":"Emerald Publishing","DOI":"10.1108/09653560410556519","ISSN":"0965-3562","shortTitle":"Modeling spatial economic impacts of an earthquake","author":[{"family":"Okuyama","given":"Yasuhide"}],"issued":{"date-parts":[["2004",9,1]]},"accessed":{"date-parts":[["2014",8,13]]}}},{"id":2811,"uris":["http://zotero.org/groups/271383/items/W45BUFJV"],"uri":["http://zotero.org/groups/271383/items/W45BUFJV"],"itemData":{"id":2811,"type":"chapter","title":"Measuring Economic Impacts of Disasters: Interregional Input-Output Analysis Using Sequential Interindustry Model","container-title":"Modeling Spatial and Economic Impacts of Disasters","collection-title":"Advances in Spatial Science","publisher":"Springer Berlin Heidelberg","page":"77-101","source":"link.springer.com","abstract":"The damages and losses by disasters, such as earthquakes, floods, tornadoes, and other major natural disasters, or man-made disasters, have significant and intense impacts on a region’s economy. In addition, the impacts from the damages will spread over time, and will bring serious economic effects to other regions in a long run. Furthermore, the impacts of disasters are very complex, including not only the negative effects from damages and losses, but also the positive economic effects from the recovery and reconstruction activities. Most economic models and techniques cannot confront these significant changes in a relatively short time period, since they assume incremental, and/or predictable changes in systems over time. And, the unexpected nature of these events, especially in the case of earthquakes, creates a further complication of measuring the indirect impacts (Okuyama et al., 2002). At the same time, most available data for the direct damages and losses and of the recovery processes are engineering oriented, i. e., physical damages and disruption of lifelines and their repair and restoration, and the dimension and unit of these data are quite different from the economic counterpart—very detailed and short time span in engineering data while aggregated and longer time span in economic models. Consequently, these differences pose great challenges in order to model economic impacts of disasters.","URL":"http://link.springer.com/chapter/10.1007/978-3-540-24787-6_5","ISBN":"978-3-642-05985-8, 978-3-540-24787-6","shortTitle":"Measuring Economic Impacts of Disasters","language":"en","author":[{"family":"Okuyama","given":"Yasuhide"},{"family":"Hewings","given":"Geoffrey J. D."},{"family":"Sonis","given":"Michael"}],"editor":[{"family":"Okuyama","given":"Dr Yasuhide"},{"family":"Chang","given":"Professor Stephanie E."}],"issued":{"date-parts":[["2004",1,1]]},"accessed":{"date-parts":[["2014",8,13]]}}},{"id":2814,"uris":["http://zotero.org/groups/271383/items/367XFQ6G"],"uri":["http://zotero.org/groups/271383/items/367XFQ6G"],"itemData":{"id":2814,"type":"chapter","title":"Economic Impacts of an Unscheduled, Disruptive Event: A Miyazawa Multiplier Analysis","container-title":"Understanding and Interpreting Economic Structure","collection-title":"Advances in Spatial Science","publisher":"Springer Berlin Heidelberg","page":"113-143","source":"link.springer.com","abstract":"The damages and losses from unscheduled events, such as earthquakes, flood, and other major natural disasters, have significant and intense impacts on a region’s economy. The demand for the estimation of the economic impacts of recovery and reconstruction as well as of damages per se may become immediate after such events. Most analytical models of urban and regional economies, however, cannot confront these unscheduled and significant changes, since, at best, they assume incremental changes in systems over time. The consequences associated with the event, moreover, will have many aspects including damages on demand and supply sides, for example, since the event may affect a wide range of regional activities in different ways. The difficulties with impact analysis of unscheduled events are, therefore, 1) disentangling the consequences stemming directly and indirectly from the event; 2) deriving possibly different assessments at each spatial level — cities, region, or nation — (Hewings and Mahidhara, 1996), and 3) evaluating the reaction of households which are poorly understood (West and Lenze, 1994).","URL":"http://link.springer.com/chapter/10.1007/978-3-662-03947-2_6","ISBN":"978-3-642-08533-8, 978-3-662-03947-2","shortTitle":"Economic Impacts of an Unscheduled, Disruptive Event","language":"en","author":[{"family":"Okuyama","given":"Yasuhide"},{"family":"Sonis","given":"Michael"},{"family":"Hewings","given":"Geoffrey J. D."}],"editor":[{"family":"Hewings","given":"Prof Geoffrey J. D."},{"family":"Sonis","given":"Prof Michael"},{"family":"Madden","given":"Prof Moss"},{"family":"Kimura","given":"Prof Yoshio"}],"issued":{"date-parts":[["1999",1,1]]},"accessed":{"date-parts":[["2014",8,13]]}}},{"id":2825,"uris":["http://zotero.org/groups/271383/items/HTZ9MEPN"],"uri":["http://zotero.org/groups/271383/items/HTZ9MEPN"],"itemData":{"id":2825,"type":"article-journal","title":"Estimating the Economic Consequences of a Port Shutdown: The Special Role of Resilience","container-title":"Economic Systems Research","page":"212-232","volume":"25","issue":"2","source":"Taylor and Francis+NEJM","abstract":"This paper develops a methodology for the estimation of the total economic consequences of a seaport disruption, factoring in the major types of resilience. The foundation of the methodology is a combination of demand-driven and supply-driven input–output analyses. Resilience is included through a series of ad hoc adjustments based on various formal models and expert judgment. Moreover, we have designed the methodology in a manner that overcomes the major shortcomings of the supply-driven approach. We apply the methodology to a 90-day disruption at the twin seaports of Beaumont and Port Arthur, Texas, which is a major port area that includes a petrochemical manufacturing complex. We find that regional gross output could decline by as much as $13 billion at the port region level, but that resilience can reduce these impacts by nearly 70%.","DOI":"10.1080/09535314.2012.731379","ISSN":"0953-5314","shortTitle":"Estimating the Economic Consequences of a Port Shutdown","author":[{"family":"Rose","given":"Adam"},{"family":"Wei","given":"Dan"}],"issued":{"date-parts":[["2013"]]},"accessed":{"date-parts":[["2014",8,13]]}}},{"id":2828,"uris":["http://zotero.org/groups/271383/items/MMCZBGEH"],"uri":["http://zotero.org/groups/271383/items/MMCZBGEH"],"itemData":{"id":2828,"type":"article-journal","title":"Modeling the demand reduction input-output (I-O) inoperability due to terrorism of interconnected infrastructures","container-title":"Risk Analysis: An Official Publication of the Society for Risk Analysis","page":"1437-1451","volume":"24","issue":"6","source":"NCBI PubMed","abstract":"Interdependency analysis in the context of this article is a process of assessing and managing risks inherent in a system of interconnected entities (e.g., infrastructures or industry sectors). Invoking the principles of input-output (I-O) and decomposition analysis, the article offers a framework for describing how terrorism-induced perturbations can propagate due to interconnectedness. Data published by the Bureau of Economic Analysis Division of the U.S. Department of Commerce is utilized to present applications to serve as test beds for the proposed framework. Specifically, a case study estimating the economic impact of airline demand perturbations to national-level U.S. sectors is made possible using I-O matrices. A ranking of the affected sectors according to their vulnerability to perturbations originating from a primary sector (e.g., air transportation) can serve as important input to risk management. For example, limited resources can be prioritized for the \"top-n\" sectors that are perceived to suffer the greatest economic losses due to terrorism. In addition, regional decomposition via location quotients enables the analysis of local-level terrorism events. The Regional I-O Multiplier System II (RIMS II) Division of the U.S. Department of Commerce is the agency responsible for releasing the regional multipliers for various geographical resolutions (economic areas, states, and counties). A regional-level case study demonstrates a process of estimating the economic impact of transportation-related scenarios on industry sectors within Economic Area 010 (the New York metropolitan region and vicinities).","DOI":"10.1111/j.0272-4332.2004.00540.x","ISSN":"0272-4332","note":"PMID: 15660602","journalAbbreviation":"Risk Anal.","language":"eng","author":[{"family":"Santos","given":"Joost R."},{"family":"Haimes","given":"Yacov Y."}],"issued":{"date-parts":[["2004",12]]},"PMID":"15660602"}},{"id":2838,"uris":["http://zotero.org/groups/271383/items/BXQZM93P"],"uri":["http://zotero.org/groups/271383/items/BXQZM93P"],"itemData":{"id":2838,"type":"article-journal","title":"Economic Hotspots: Visualizing Vulnerability to Flooding","container-title":"Natural Hazards","page":"65-80","volume":"36","issue":"1-2","source":"link.springer.com","abstract":"We simulate a large-scale flooding in the province of South-Holland in the economic centre of the Netherlands. In traditional research, damage due to flooding is computed with a unit loss method coupling land use information to depth-damage functions. Normally only direct costs are incorporated as an estimate of damage to infrastructure, property and business disruption. We extend this damage concept with the indirect economic effects on the rest of the regional and national economy on basis of a bi-regional input output table.We broaden this damage estimation to the concept of vulnerability. Vulnerability is defined as a function of dependence, redundancy and susceptibility. Susceptibility is the probability and extent of flooding. Dependency is the degree to which an activity relates to other economic activities in the rest of the country. Input–output multipliers form representations of this dependency. Redundancy is the ability of an economic activity to respond to a disaster by deferring, using substitutes or relocating. We measure redundancy as the degree of centrality of an economic activity in a network. The more central an activity is, the less it encounters possibilities to transfer production and the more vulnerable it is for flooding. Vulnerability of economic activities is then visualized in a GIS. Kernel density estimation is applied to generalize point information on inundated firms to sectoral information in space. We apply spatial interpolation techniques for the whole of the province of South-Holland. Combining information of sectoral data on dependency and redundancy, we are able to create maps of economic hotspots. Our simulation of a flood in the centre of Holland reveals the vulnerability of a densely populated delta.","DOI":"10.1007/s11069-004-4542-y","ISSN":"0921-030X, 1573-0840","shortTitle":"Economic Hotspots","journalAbbreviation":"Nat Hazards","language":"en","author":[{"family":"Veen","given":"Anne Van Der"},{"family":"Logtmeijer","given":"Christiaan"}],"issued":{"date-parts":[["2005",9,1]]},"accessed":{"date-parts":[["2014",8,13]]}}}],"schema":"https://github.com/citation-style-language/schema/raw/master/csl-citation.json"} </w:instrText>
      </w:r>
      <w:r w:rsidR="00687C52" w:rsidRPr="003B26BE">
        <w:fldChar w:fldCharType="separate"/>
      </w:r>
      <w:r w:rsidR="005B3396" w:rsidRPr="003B26BE">
        <w:t>(</w:t>
      </w:r>
      <w:r w:rsidR="00AF6A0B" w:rsidRPr="003B26BE">
        <w:t>Okuyama et al., 1999, 2004;</w:t>
      </w:r>
      <w:r w:rsidR="00AF6A0B" w:rsidRPr="00AF6A0B">
        <w:t xml:space="preserve"> Okuyama, 2004, 2010; Santos and Haimes, 2004; Veen and Logtmeijer, 2005; </w:t>
      </w:r>
      <w:r w:rsidR="005B3396" w:rsidRPr="00AF6A0B">
        <w:t xml:space="preserve">Hallegatte, 2008; </w:t>
      </w:r>
      <w:r w:rsidR="00AF6A0B" w:rsidRPr="00AF6A0B">
        <w:t xml:space="preserve">Rose and Wei, 2013; </w:t>
      </w:r>
      <w:r w:rsidR="005B3396" w:rsidRPr="00AF6A0B">
        <w:t>Okuyama and Santos, 2014)</w:t>
      </w:r>
      <w:r w:rsidR="00687C52" w:rsidRPr="003B26BE">
        <w:fldChar w:fldCharType="end"/>
      </w:r>
      <w:r w:rsidRPr="00844BD4">
        <w:t>, energy constraints</w:t>
      </w:r>
      <w:r w:rsidR="009C19BA">
        <w:t xml:space="preserve"> </w:t>
      </w:r>
      <w:r w:rsidR="009C19BA">
        <w:fldChar w:fldCharType="begin"/>
      </w:r>
      <w:r w:rsidR="009C19BA">
        <w:instrText xml:space="preserve"> ADDIN ZOTERO_ITEM CSL_CITATION {"citationID":"13rbd9upa4","properties":{"formattedCitation":"(Arbex and Perobelli, 2010; Kerschner et al., 2009)","plainCitation":"(Arbex and Perobelli, 2010; Kerschner et al., 2009)"},"citationItems":[{"id":2565,"uris":["http://zotero.org/groups/271383/items/45ZIMDXC"],"uri":["http://zotero.org/groups/271383/items/45ZIMDXC"],"itemData":{"id":2565,"type":"article-journal","title":"Solow meets Leontief: Economic growth and energy consumption","container-title":"Energy Economics","page":"43-53","volume":"32","issue":"1","source":"ScienceDirect","abstract":"This paper proposes a methodology that integrates a growth model with an input–output model to analyze the impacts of economic growth on the consumption of energy. The integration between the models is carried out by calibrating the growth module, which incorporates energetic inputs (renewable and nonrenewable) in the production function, and implementing shocks by the supply side (capital, labor, renewable and nonrenewable energy) in the input–output model. This allows us to verify the pattern of energy consumption for each sector in the input–output matrix. We apply this methodology to study the energy consumption of eleven economic sectors in Brazil, using data from the Brazilian National Accounts and Input–Output Matrix (IBGE) and the National Energy Report (BEN). We conduct experiments involving changes in technological progress growth rate, extraction and regeneration rates of both renewable and nonrenewable resources and population growth to analyze the impact of changes in the parameters of the model on the sectoral output growth rate and, consequently, on the consumption of energy in each economic sector.","DOI":"10.1016/j.eneco.2009.05.004","ISSN":"0140-9883","shortTitle":"Solow meets Leontief","journalAbbreviation":"Energy Economics","author":[{"family":"Arbex","given":"Marcelo"},{"family":"Perobelli","given":"Fernando S."}],"issued":{"date-parts":[["2010",1]]},"accessed":{"date-parts":[["2014",8,13]]}}},{"id":1959,"uris":["http://zotero.org/groups/271383/items/BQKG5S2M"],"uri":["http://zotero.org/groups/271383/items/BQKG5S2M"],"itemData":{"id":1959,"type":"article-journal","title":"Petróleo y carbón: del cenit del petróleo al cenit del carbón.","container-title":"Ecología Política","page":"23-36","volume":"39, Cambio Climático y Energías Renovables","abstract":"El agotamiento de los combustibles fósiles sigue siendo\nrepresentado por la duración de las reservas recuperables.\nSe dice por ejemplo que todavía tendremos petróleo para\n40 años y carbón incluso para 122 años. Sin embargo, en\neste artículo se argumenta que nuestro sistema económico\nestá basado en un flujo creciente de estos recursos de una\ndeterminada «calidad». La dinámica de agotamiento de los\nyacimientos existentes y el menor contenido energético del\npetróleo restante hacen que para mantener estos flujos energéticos,\nen el caso de petróleo, será necesario descubrir nuevos\nyacimientos equivalentes a los de Arabia Saudí cada dos\naños, lo cual es muy altamente improbable. Por el contrario,\nes muy probable que el techo máximo de extracciones de\npetróleo (cenit del petróleo) ya se haya alcanzado en 2008 y\nque fuese una de las causas de la crisis financiera. Por tanto,\ndar una fecha de agotamiento, como hace por ejemplo el\nportal de energía de la UE, es totalmente inadecuado pues el\ncenit del petróleo supone un reto mucho más inmediato.\nHabitualmente se presenta al carbón como un posible\nsustituto del petróleo. En este artículo mostramos que el\ncarbón no tiene ni las características de calidad ni las de\ncantidad para cumplir tal papel. Estos argumentos se pueden\nampliar para todos los combustibles fósiles. Sin embargo,\nestas observaciones pueden tener como resultado positivo\nque habrá mucho menos emisiones de CO2 que las que\npredicen los escenarios del IPCC.","author":[{"family":"Kerschner","given":"Christian"},{"family":"Bermejo","given":"Roberto"},{"family":"Arto","given":"Iñaki"}],"issued":{"date-parts":[["2009"]]}}}],"schema":"https://github.com/citation-style-language/schema/raw/master/csl-citation.json"} </w:instrText>
      </w:r>
      <w:r w:rsidR="009C19BA">
        <w:fldChar w:fldCharType="separate"/>
      </w:r>
      <w:r w:rsidR="005B3396" w:rsidRPr="005B3396">
        <w:t>(</w:t>
      </w:r>
      <w:r w:rsidR="003B26BE" w:rsidRPr="005B3396">
        <w:t>Kerschner et al., 2009</w:t>
      </w:r>
      <w:r w:rsidR="003B26BE">
        <w:t xml:space="preserve">; </w:t>
      </w:r>
      <w:r w:rsidR="005B3396" w:rsidRPr="005B3396">
        <w:t>Arbex and Perobelli, 2010)</w:t>
      </w:r>
      <w:r w:rsidR="009C19BA">
        <w:fldChar w:fldCharType="end"/>
      </w:r>
      <w:r w:rsidRPr="00844BD4">
        <w:t xml:space="preserve"> or financial cris</w:t>
      </w:r>
      <w:r w:rsidR="001941AD" w:rsidRPr="00844BD4">
        <w:t>e</w:t>
      </w:r>
      <w:r w:rsidRPr="00844BD4">
        <w:t>s</w:t>
      </w:r>
      <w:r w:rsidR="009C19BA">
        <w:t xml:space="preserve"> </w:t>
      </w:r>
      <w:r w:rsidR="009C19BA">
        <w:fldChar w:fldCharType="begin"/>
      </w:r>
      <w:r w:rsidR="009C19BA">
        <w:instrText xml:space="preserve"> ADDIN ZOTERO_ITEM CSL_CITATION {"citationID":"m9297j2j8","properties":{"formattedCitation":"(Yuan et al., 2010)","plainCitation":"(Yuan et al., 2010)"},"citationItems":[{"id":2836,"uris":["http://zotero.org/groups/271383/items/XH5Q47PE"],"uri":["http://zotero.org/groups/271383/items/XH5Q47PE"],"itemData":{"id":2836,"type":"article-journal","title":"The impact on chinese economic growth and energy consumption of the Global Financial Crisis: An input–output analysis","container-title":"Energy","collection-title":"Demand Response Resources: the US and International Experience Demand Response Resources: the US and International Experience","page":"1805-1812","volume":"35","issue":"4","source":"ScienceDirect","abstract":"The dependence on foreign trade increased sharply in china, and therefore Chinese economy is obviously export-oriented. The Global Financial Crisis will impact the Chinese economic growth violently. Chinese government has recently adopted some effective measures to fight against the Global Financial Crisis. The most important measure is the 4 trillion Yuan ($586 billion) stimulus plan which was announced on November 9, 2008. This paper discusses the influence on energy consumption and economic growth of Global Financial Crisis and the stimulus plan against it by input–output analysis. The results show that the fall of exports caused by the Global Financial Crisis will lead to a decrease of 7.33% in GDP (Gross Domestic Production) and a reduction of 9.21% in energy consumption; the stimulus plan against the Global Financial Crisis will lead to an increase of 4.43% in economic growth and an increase of 1.83% in energy consumption; In the Global Financial Crisis, energy consumption per unit GDP will fall in China.","DOI":"10.1016/j.energy.2009.12.035","ISSN":"0360-5442","shortTitle":"The impact on chinese economic growth and energy consumption of the Global Financial Crisis","journalAbbreviation":"Energy","author":[{"family":"Yuan","given":"Chaoqing"},{"family":"Liu","given":"Sifeng"},{"family":"Xie","given":"Naiming"}],"issued":{"date-parts":[["2010",4]]},"accessed":{"date-parts":[["2014",8,13]]}}}],"schema":"https://github.com/citation-style-language/schema/raw/master/csl-citation.json"} </w:instrText>
      </w:r>
      <w:r w:rsidR="009C19BA">
        <w:fldChar w:fldCharType="separate"/>
      </w:r>
      <w:r w:rsidR="005B3396" w:rsidRPr="005B3396">
        <w:t>(Yuan et al., 2010)</w:t>
      </w:r>
      <w:r w:rsidR="009C19BA">
        <w:fldChar w:fldCharType="end"/>
      </w:r>
      <w:r w:rsidRPr="00844BD4">
        <w:t xml:space="preserve">. Moreover, a plurality of </w:t>
      </w:r>
      <w:r w:rsidR="00155BD7" w:rsidRPr="00844BD4">
        <w:t>IO</w:t>
      </w:r>
      <w:r w:rsidRPr="00844BD4">
        <w:t xml:space="preserve"> risk-based models, for example the inoperability input-output model (IIM) and its derivative (DIIM), ha</w:t>
      </w:r>
      <w:r w:rsidR="001941AD" w:rsidRPr="00844BD4">
        <w:t>s</w:t>
      </w:r>
      <w:r w:rsidRPr="00844BD4">
        <w:t xml:space="preserve"> also been used to analyse the recovery of sectors and evaluate risk management strategies </w:t>
      </w:r>
      <w:r w:rsidR="009C19BA">
        <w:fldChar w:fldCharType="begin"/>
      </w:r>
      <w:r w:rsidR="009C19BA">
        <w:instrText xml:space="preserve"> ADDIN ZOTERO_ITEM CSL_CITATION {"citationID":"2o2rl4acdc","properties":{"formattedCitation":"(Barker and Santos, 2010; Haimes and Jiang, 2001; Jiang and Haimes, 2004; Lian and Haimes, 2006; Santos and Haimes, 2004)","plainCitation":"(Barker and Santos, 2010; Haimes and Jiang, 2001; Jiang and Haimes, 2004; Lian and Haimes, 2006; Santos and Haimes, 2004)"},"citationItems":[{"id":2784,"uris":["http://zotero.org/groups/271383/items/GRJ4AFQN"],"uri":["http://zotero.org/groups/271383/items/GRJ4AFQN"],"itemData":{"id":2784,"type":"article-journal","title":"Measuring the efficacy of inventory with a dynamic input–output model","container-title":"International Journal of Production Economics","collection-title":"Improving Disaster Supply Chain Management – Key supply chain factors for humanitarian relief","page":"130-143","volume":"126","issue":"1","source":"ScienceDirect","abstract":"This paper extends the recently developed dynamic inoperability input–output model (DIIM) for assessing productivity degradations due to disasters. Inventory policies are formulated and incorporated within the DIIM to evaluate the impact of inventories on the resilience of disrupted interdependent systems. The Inventory DIIM can provide practical insights to preparedness decision making through explicit tradeoff analysis of multiple objectives, including inventory costs and economic loss reductions. The model is demonstrated in several illustrative examples to depict various nuances of inventory policies. The paper then culminates in a case study that utilizes input–output and inventory accounts from the Bureau of Economic Analysis.","DOI":"10.1016/j.ijpe.2009.08.011","ISSN":"0925-5273","journalAbbreviation":"International Journal of Production Economics","author":[{"family":"Barker","given":"Kash"},{"family":"Santos","given":"Joost R."}],"issued":{"date-parts":[["2010",7]]},"accessed":{"date-parts":[["2014",8,13]]}}},{"id":2786,"uris":["http://zotero.org/groups/271383/items/CM2E746U"],"uri":["http://zotero.org/groups/271383/items/CM2E746U"],"itemData":{"id":2786,"type":"article-journal","title":"Leontief-Based Model of Risk in Complex Interconnected Infrastructures","container-title":"Journal of Infrastructure Systems","page":"1-12","volume":"7","issue":"1","source":"ASCE","abstract":"Wassily Leontief received the 1973 Nobel Price in Economics for developing what came to be known as the Leontief input-output model of the economy. Leontief's model enables understanding the interconnectedness among the various sectors of an economy and forecasting the effect on one segment of a change in another. A Leontief-based infrastructure input-output model is developed here to enable an accounting of the intraconnectedness within each critical infrastructure as well as the interconnectedness among them. The linear input/output model is then generalized into a generic risk model with the former as the first-order approximation. A preliminary study of the dynamics of risk of inoperability is discussed, using a Leontief-based dynamic model. Several examples are presented to illustrate the theory and its applications.","DOI":"10.1061/(ASCE)1076-0342(2001)7:1(1)","ISSN":"1076-0342","author":[{"family":"Haimes","given":"Y."},{"family":"Jiang","given":"P."}],"issued":{"date-parts":[["2001"]]},"accessed":{"date-parts":[["2014",8,13]]}}},{"id":2791,"uris":["http://zotero.org/groups/271383/items/T9UM36RI"],"uri":["http://zotero.org/groups/271383/items/T9UM36RI"],"itemData":{"id":2791,"type":"article-journal","title":"Risk management for Leontief-based interdependent systems","container-title":"Risk Analysis: An Official Publication of the Society for Risk Analysis","page":"1215-1229","volume":"24","issue":"5","source":"NCBI PubMed","abstract":"When stricken by a terrorist attack, a war, or a natural disaster, an economic unit or a critical infrastructure may suffer significant loss of productivity. More importantly, due to interdependency or interconnectedness, this initial loss may propagate into other systems and eventually lead to much greater derivative loss. This belongs to what is known as a cascading effect. It is demonstrated in this article that the cascading effect and the derivative loss can be significantly reduced by effective risk management. This is accomplished by deliberately distributing the initial inoperability to other systems so that the total loss (or inoperability) is minimized. The optimal distribution strategy is found by a linear programming technique. The same risk management can also be applied to situations where objectives need to be prioritized. A case study featuring 12 economic sectors illustrates the theory. The result suggests that using the same amount of resources, minimizing risk (inoperability) of infrastructures will generally give rise to highest payoff, whereas overlooking it may result in greatest total loss. The framework developed in this work uses a steady-state approach that applies primarily to managing situations where the attack is catastrophic resulting in very long recovery time.","DOI":"10.1111/j.0272-4332.2004.00520.x","ISSN":"0272-4332","note":"PMID: 15563289","journalAbbreviation":"Risk Anal.","language":"eng","author":[{"family":"Jiang","given":"Pu"},{"family":"Haimes","given":"Yacov Y."}],"issued":{"date-parts":[["2004",10]]},"PMID":"15563289"}},{"id":2801,"uris":["http://zotero.org/groups/271383/items/CQN7EXCG"],"uri":["http://zotero.org/groups/271383/items/CQN7EXCG"],"itemData":{"id":2801,"type":"article-journal","title":"Managing the risk of terrorism to interdependent infrastructure systems through the dynamic inoperability input–output model","container-title":"Systems Engineering","page":"241-258","volume":"9","issue":"3","source":"Wiley Online Library","abstract":"This paper discusses the Dynamic Input–Output Inoperability Model (DIIM), which is an extension to the static Inoperability Input–Output Model (IIM). Based on Wassily Leontief's Input–Output (I–O) model, both the IIM and the DIIM analyze how the system of interdependent sectors can be adversely affected as a result of initial perturbations to other sectors through willful attacks or natural disasters. To model the industry/sector interdependencies, the DIIM uses the national and regional commodity-transaction data from the Bureau of Economic Analysis (BEA) and the Regional Input–Output Multiplier System (RIMS II). In contrast to most traditional dynamic I–O models, the DIIM introduces industry resilience coefficients to measure the efficacy of sectors' risk management options. The DIIM also incorporates the stochastic properties of a recovery through the Brownian motion, representing short-term uncertainties. The paper uses two metrics to assess the consequences to the economic sectors of attacks. The DIIM methodology is demonstrated in detail through a two-by-two economy system. This is followed by an analysis of a terrorist attack scenario, using the DIIM and the BEA/RIMS II commodity-flow data of the 59 sectors in Virginia. © 2006 Wiley Periodicals, Inc. Syst Eng 9: 241–258, 2006. DOI 10.1002/sys.20051","DOI":"10.1002/sys.20051","ISSN":"1520-6858","journalAbbreviation":"Syst. Engin.","language":"en","author":[{"family":"Lian","given":"Chenyang"},{"family":"Haimes","given":"Yacov Y."}],"issued":{"date-parts":[["2006",9,1]]},"accessed":{"date-parts":[["2014",8,13]]}}},{"id":2828,"uris":["http://zotero.org/groups/271383/items/MMCZBGEH"],"uri":["http://zotero.org/groups/271383/items/MMCZBGEH"],"itemData":{"id":2828,"type":"article-journal","title":"Modeling the demand reduction input-output (I-O) inoperability due to terrorism of interconnected infrastructures","container-title":"Risk Analysis: An Official Publication of the Society for Risk Analysis","page":"1437-1451","volume":"24","issue":"6","source":"NCBI PubMed","abstract":"Interdependency analysis in the context of this article is a process of assessing and managing risks inherent in a system of interconnected entities (e.g., infrastructures or industry sectors). Invoking the principles of input-output (I-O) and decomposition analysis, the article offers a framework for describing how terrorism-induced perturbations can propagate due to interconnectedness. Data published by the Bureau of Economic Analysis Division of the U.S. Department of Commerce is utilized to present applications to serve as test beds for the proposed framework. Specifically, a case study estimating the economic impact of airline demand perturbations to national-level U.S. sectors is made possible using I-O matrices. A ranking of the affected sectors according to their vulnerability to perturbations originating from a primary sector (e.g., air transportation) can serve as important input to risk management. For example, limited resources can be prioritized for the \"top-n\" sectors that are perceived to suffer the greatest economic losses due to terrorism. In addition, regional decomposition via location quotients enables the analysis of local-level terrorism events. The Regional I-O Multiplier System II (RIMS II) Division of the U.S. Department of Commerce is the agency responsible for releasing the regional multipliers for various geographical resolutions (economic areas, states, and counties). A regional-level case study demonstrates a process of estimating the economic impact of transportation-related scenarios on industry sectors within Economic Area 010 (the New York metropolitan region and vicinities).","DOI":"10.1111/j.0272-4332.2004.00540.x","ISSN":"0272-4332","note":"PMID: 15660602","journalAbbreviation":"Risk Anal.","language":"eng","author":[{"family":"Santos","given":"Joost R."},{"family":"Haimes","given":"Yacov Y."}],"issued":{"date-parts":[["2004",12]]},"PMID":"15660602"}}],"schema":"https://github.com/citation-style-language/schema/raw/master/csl-citation.json"} </w:instrText>
      </w:r>
      <w:r w:rsidR="009C19BA">
        <w:fldChar w:fldCharType="separate"/>
      </w:r>
      <w:r w:rsidR="005B3396" w:rsidRPr="005B3396">
        <w:t>(</w:t>
      </w:r>
      <w:r w:rsidR="003B26BE" w:rsidRPr="005B3396">
        <w:t>Haimes and Jiang, 2001;</w:t>
      </w:r>
      <w:r w:rsidR="003B26BE" w:rsidRPr="003B26BE">
        <w:t xml:space="preserve"> </w:t>
      </w:r>
      <w:r w:rsidR="003B26BE" w:rsidRPr="005B3396">
        <w:t>Jiang and Haimes, 2004;</w:t>
      </w:r>
      <w:r w:rsidR="003B26BE">
        <w:t xml:space="preserve"> </w:t>
      </w:r>
      <w:r w:rsidR="003B26BE" w:rsidRPr="005B3396">
        <w:t>Santos and Haimes, 2004</w:t>
      </w:r>
      <w:r w:rsidR="003B26BE">
        <w:t>;</w:t>
      </w:r>
      <w:r w:rsidR="003B26BE" w:rsidRPr="003B26BE">
        <w:t xml:space="preserve"> </w:t>
      </w:r>
      <w:r w:rsidR="003B26BE" w:rsidRPr="005B3396">
        <w:t>Lian and Haimes, 2006</w:t>
      </w:r>
      <w:r w:rsidR="003B26BE">
        <w:t xml:space="preserve">; </w:t>
      </w:r>
      <w:r w:rsidR="005B3396" w:rsidRPr="005B3396">
        <w:t>Barker and Santos, 2010)</w:t>
      </w:r>
      <w:r w:rsidR="009C19BA">
        <w:fldChar w:fldCharType="end"/>
      </w:r>
      <w:r w:rsidRPr="00844BD4">
        <w:t>. However,</w:t>
      </w:r>
      <w:r w:rsidR="006141A4" w:rsidRPr="00844BD4">
        <w:t xml:space="preserve"> although some of these studies have estimated the inter</w:t>
      </w:r>
      <w:r w:rsidR="003E03AD" w:rsidRPr="00844BD4">
        <w:t>-</w:t>
      </w:r>
      <w:r w:rsidR="006141A4" w:rsidRPr="00844BD4">
        <w:t>regional impacts of disasters</w:t>
      </w:r>
      <w:r w:rsidR="009C19BA">
        <w:t xml:space="preserve"> </w:t>
      </w:r>
      <w:r w:rsidR="009C19BA">
        <w:fldChar w:fldCharType="begin"/>
      </w:r>
      <w:r w:rsidR="009C19BA">
        <w:instrText xml:space="preserve"> ADDIN ZOTERO_ITEM CSL_CITATION {"citationID":"120hqo87e0","properties":{"formattedCitation":"(Jonkeren and Giannopoulos, 2014; Okuyama, 2010; Okuyama et al., 1999; Yamano et al., 2007)","plainCitation":"(Jonkeren and Giannopoulos, 2014; Okuyama, 2010; Okuyama et al., 1999; Yamano et al., 2007)"},"citationItems":[{"id":2793,"uris":["http://zotero.org/groups/271383/items/6DEDVFSP"],"uri":["http://zotero.org/groups/271383/items/6DEDVFSP"],"itemData":{"id":2793,"type":"article-journal","title":"Analysing Critical Infrastructure Failure with a Resilience Inoperability Input–Output Model","container-title":"Economic Systems Research","page":"39-59","volume":"26","issue":"1","source":"Taylor and Francis+NEJM","abstract":"Over the past few years much effort has been made in modelling economic losses resulting from critical infrastructure failure. It has appeared that including resilience measures in the modelling approach, which may mute the losses considerably, is a challenging task. At the same time it is necessary because it prevents the modeller from generating overestimates. This study presents two directions to improve the modelling of (economic) resilience for which the state-of-the art with respect to dynamic inoperability input–output modelling is taken as a starting point. Firstly, the new model allows for a different recovery path than the traditionally assumed ‘concave up decreasing curve’ describes for a disrupted infrastructure or economic sector in the aftermath of a disaster. In this paper, we explain how the recovery path may depend on the type of disaster. Secondly, the model refines the aspect of ‘inventory’ as a resilience measure. Inventory is interpreted in a broad sense here: it can be any resilience measures which enable an infrastructure or economic sector to continue its supply despite being disrupted. The model is applied to both a simple two-sector illustrative example and a severe winter storm scenario in Europe using economic data from the World Input–Output Database to show its practical usefulness.","DOI":"10.1080/09535314.2013.872604","ISSN":"0953-5314","author":[{"family":"Jonkeren","given":"Olaf"},{"family":"Giannopoulos","given":"Georgios"}],"issued":{"date-parts":[["2014"]]},"accessed":{"date-parts":[["2014",8,13]]}}},{"id":2810,"uris":["http://zotero.org/groups/271383/items/HCIMPMMK"],"uri":["http://zotero.org/groups/271383/items/HCIMPMMK"],"itemData":{"id":2810,"type":"article-journal","title":"Globalization and Localization of Disaster Impacts: An Empirical Examination","container-title":"CESifo Forum","collection-title":"CESifo Forum","page":"56-66","volume":"11","issue":"2","abstract":"No abstract is available for this item.","journalAbbreviation":"CESifo Forum","author":[{"family":"Okuyama","given":"Y."}],"issued":{"date-parts":[["2010"]]}}},{"id":2814,"uris":["http://zotero.org/groups/271383/items/367XFQ6G"],"uri":["http://zotero.org/groups/271383/items/367XFQ6G"],"itemData":{"id":2814,"type":"chapter","title":"Economic Impacts of an Unscheduled, Disruptive Event: A Miyazawa Multiplier Analysis","container-title":"Understanding and Interpreting Economic Structure","collection-title":"Advances in Spatial Science","publisher":"Springer Berlin Heidelberg","page":"113-143","source":"link.springer.com","abstract":"The damages and losses from unscheduled events, such as earthquakes, flood, and other major natural disasters, have significant and intense impacts on a region’s economy. The demand for the estimation of the economic impacts of recovery and reconstruction as well as of damages per se may become immediate after such events. Most analytical models of urban and regional economies, however, cannot confront these unscheduled and significant changes, since, at best, they assume incremental changes in systems over time. The consequences associated with the event, moreover, will have many aspects including damages on demand and supply sides, for example, since the event may affect a wide range of regional activities in different ways. The difficulties with impact analysis of unscheduled events are, therefore, 1) disentangling the consequences stemming directly and indirectly from the event; 2) deriving possibly different assessments at each spatial level — cities, region, or nation — (Hewings and Mahidhara, 1996), and 3) evaluating the reaction of households which are poorly understood (West and Lenze, 1994).","URL":"http://link.springer.com/chapter/10.1007/978-3-662-03947-2_6","ISBN":"978-3-642-08533-8, 978-3-662-03947-2","shortTitle":"Economic Impacts of an Unscheduled, Disruptive Event","language":"en","author":[{"family":"Okuyama","given":"Yasuhide"},{"family":"Sonis","given":"Michael"},{"family":"Hewings","given":"Geoffrey J. D."}],"editor":[{"family":"Hewings","given":"Prof Geoffrey J. D."},{"family":"Sonis","given":"Prof Michael"},{"family":"Madden","given":"Prof Moss"},{"family":"Kimura","given":"Prof Yoshio"}],"issued":{"date-parts":[["1999",1,1]]},"accessed":{"date-parts":[["2014",8,13]]}}},{"id":2833,"uris":["http://zotero.org/groups/271383/items/FMHI6B6X"],"uri":["http://zotero.org/groups/271383/items/FMHI6B6X"],"itemData":{"id":2833,"type":"article-journal","title":"Modeling the Regional Economic Loss of Natural Disasters: The Search for Economic Hotspots","container-title":"Economic Systems Research","page":"163-181","volume":"19","issue":"2","source":"Taylor and Francis+NEJM","abstract":"Abstract This paper examines the economic impacts of natural disasters using the originally estimated finer geographical scale production datasets and the redefined interregional input–output table. For more effective estimates of direct losses of the disasters, the precise geographical information of industrial distribution is required, because most economic data are published according to political boundaries that may be too aggregated to be the practical information for disaster preventions and retrofit policies. The direct losses are captured by the output data at the district level (500-meter square) by sector and the population density. The map of economic hotspots is obtained after estimating the economic importance of each district. The numerical examples clearly show that the advantages of finer geographical scale datasets and the total economic losses are not proportional to the distributions of population and industrial activities. In other words, the disaster prevention and retrofit policies have to consider the higher-order effects to reduce the total economic loss.","DOI":"10.1080/09535310701330191","ISSN":"0953-5314","shortTitle":"Modeling the Regional Economic Loss of Natural Disasters","author":[{"family":"Yamano","given":"Norihiko"},{"family":"Kajitani","given":"Yoshio"},{"family":"Shumuta","given":"Yoshiharu"}],"issued":{"date-parts":[["2007"]]},"accessed":{"date-parts":[["2014",8,13]]}}}],"schema":"https://github.com/citation-style-language/schema/raw/master/csl-citation.json"} </w:instrText>
      </w:r>
      <w:r w:rsidR="009C19BA">
        <w:fldChar w:fldCharType="separate"/>
      </w:r>
      <w:r w:rsidR="005B3396" w:rsidRPr="005B3396">
        <w:t>(</w:t>
      </w:r>
      <w:r w:rsidR="003B26BE" w:rsidRPr="003B26BE">
        <w:t xml:space="preserve"> </w:t>
      </w:r>
      <w:r w:rsidR="003B26BE">
        <w:t xml:space="preserve">Okuyama et al., 1999; Yamano et al., 2007; Okuyama, 2010; </w:t>
      </w:r>
      <w:r w:rsidR="005B3396" w:rsidRPr="005B3396">
        <w:t>Jonkeren and Giannopoulos, 2014)</w:t>
      </w:r>
      <w:r w:rsidR="009C19BA">
        <w:fldChar w:fldCharType="end"/>
      </w:r>
      <w:r w:rsidR="006141A4" w:rsidRPr="00844BD4">
        <w:t>,</w:t>
      </w:r>
      <w:r w:rsidRPr="00844BD4">
        <w:t xml:space="preserve"> most of </w:t>
      </w:r>
      <w:r w:rsidR="006141A4" w:rsidRPr="00844BD4">
        <w:t>them</w:t>
      </w:r>
      <w:r w:rsidRPr="00844BD4">
        <w:t xml:space="preserve"> </w:t>
      </w:r>
      <w:r w:rsidR="000724CB">
        <w:t xml:space="preserve">have </w:t>
      </w:r>
      <w:r w:rsidRPr="00844BD4">
        <w:t xml:space="preserve">a single country/regional perspective </w:t>
      </w:r>
      <w:r w:rsidR="001941AD" w:rsidRPr="00844BD4">
        <w:t>and do not</w:t>
      </w:r>
      <w:r w:rsidRPr="00844BD4">
        <w:t xml:space="preserve"> includ</w:t>
      </w:r>
      <w:r w:rsidR="001941AD" w:rsidRPr="00844BD4">
        <w:t>e</w:t>
      </w:r>
      <w:r w:rsidRPr="00844BD4">
        <w:t xml:space="preserve"> the intra-country/regional impacts produced by the existing links through international trade.</w:t>
      </w:r>
      <w:r w:rsidR="0053067C" w:rsidRPr="00844BD4">
        <w:t xml:space="preserve"> Moreover, despite the increasing number of international supply chain disruptions due to major natural disasters</w:t>
      </w:r>
      <w:r w:rsidR="00625B21" w:rsidRPr="00844BD4">
        <w:t xml:space="preserve"> (e.g. </w:t>
      </w:r>
      <w:r w:rsidR="001941AD" w:rsidRPr="00844BD4">
        <w:t xml:space="preserve">the </w:t>
      </w:r>
      <w:r w:rsidR="00625B21" w:rsidRPr="00844BD4">
        <w:t>2011 Japan</w:t>
      </w:r>
      <w:r w:rsidR="001941AD" w:rsidRPr="00844BD4">
        <w:t>ese</w:t>
      </w:r>
      <w:r w:rsidR="00625B21" w:rsidRPr="00844BD4">
        <w:t xml:space="preserve"> earthquake </w:t>
      </w:r>
      <w:r w:rsidR="00A65722">
        <w:t>or</w:t>
      </w:r>
      <w:r w:rsidR="00155BD7" w:rsidRPr="00844BD4">
        <w:t xml:space="preserve"> </w:t>
      </w:r>
      <w:r w:rsidR="001941AD" w:rsidRPr="00844BD4">
        <w:t xml:space="preserve">the </w:t>
      </w:r>
      <w:r w:rsidR="00155BD7" w:rsidRPr="00844BD4">
        <w:t>Thai floods of 2011</w:t>
      </w:r>
      <w:r w:rsidR="00625B21" w:rsidRPr="00844BD4">
        <w:t>)</w:t>
      </w:r>
      <w:r w:rsidR="0053067C" w:rsidRPr="00844BD4">
        <w:t xml:space="preserve"> </w:t>
      </w:r>
      <w:r w:rsidR="001941AD" w:rsidRPr="00844BD4">
        <w:t xml:space="preserve">limited </w:t>
      </w:r>
      <w:r w:rsidR="0053067C" w:rsidRPr="00844BD4">
        <w:t xml:space="preserve">empirical evidence </w:t>
      </w:r>
      <w:r w:rsidR="004555E3">
        <w:t>on their global effect</w:t>
      </w:r>
      <w:r w:rsidR="00625B21" w:rsidRPr="00844BD4">
        <w:t xml:space="preserve">s </w:t>
      </w:r>
      <w:r w:rsidR="001941AD" w:rsidRPr="00844BD4">
        <w:t xml:space="preserve">is available </w:t>
      </w:r>
      <w:r w:rsidR="009C19BA">
        <w:fldChar w:fldCharType="begin"/>
      </w:r>
      <w:r w:rsidR="009C19BA">
        <w:instrText xml:space="preserve"> ADDIN ZOTERO_ITEM CSL_CITATION {"citationID":"2qlmi8n01n","properties":{"formattedCitation":"(Leckcivilize, 2013)","plainCitation":"(Leckcivilize, 2013)"},"citationItems":[{"id":2787,"uris":["http://zotero.org/groups/271383/items/ZK8C8JSK"],"uri":["http://zotero.org/groups/271383/items/ZK8C8JSK"],"itemData":{"id":2787,"type":"paper-conference","title":"The Impact of Supply Chain Disruptions: Evidence from the Japanese Tsunami","event":"21st International Input-Output Conference, Kitakyushu, Japan, 2013","URL":"http://personal.lse.ac.uk/leckcivi/JobMarketPaperA.Leckcivilize.pdf","author":[{"family":"Leckcivilize","given":"A."}],"issued":{"date-parts":[["2013"]]}}}],"schema":"https://github.com/citation-style-language/schema/raw/master/csl-citation.json"} </w:instrText>
      </w:r>
      <w:r w:rsidR="009C19BA">
        <w:fldChar w:fldCharType="separate"/>
      </w:r>
      <w:r w:rsidR="005B3396" w:rsidRPr="005B3396">
        <w:t>(Leckcivilize, 2013)</w:t>
      </w:r>
      <w:r w:rsidR="009C19BA">
        <w:fldChar w:fldCharType="end"/>
      </w:r>
      <w:r w:rsidR="0053067C" w:rsidRPr="00844BD4">
        <w:t>.</w:t>
      </w:r>
    </w:p>
    <w:p w:rsidR="006141A4" w:rsidRPr="00844BD4" w:rsidRDefault="00A65722" w:rsidP="00CE33BD">
      <w:pPr>
        <w:spacing w:line="360" w:lineRule="auto"/>
        <w:ind w:firstLine="567"/>
        <w:jc w:val="both"/>
      </w:pPr>
      <w:r>
        <w:t>O</w:t>
      </w:r>
      <w:r w:rsidR="00E87EB6" w:rsidRPr="00844BD4">
        <w:t>ne of t</w:t>
      </w:r>
      <w:r w:rsidR="006B2C7D" w:rsidRPr="00844BD4">
        <w:t>he reasons for the lack of inter</w:t>
      </w:r>
      <w:r w:rsidR="00E87EB6" w:rsidRPr="00844BD4">
        <w:t>regional analyses might have been the absence of publicl</w:t>
      </w:r>
      <w:r w:rsidR="006B2C7D" w:rsidRPr="00844BD4">
        <w:t xml:space="preserve">y available and up-to-date </w:t>
      </w:r>
      <w:r w:rsidR="003E03AD" w:rsidRPr="00844BD4">
        <w:t>MRIO</w:t>
      </w:r>
      <w:r w:rsidR="00E87EB6" w:rsidRPr="00844BD4">
        <w:t xml:space="preserve"> databases. As mentioned before, the EU-funded project World Input Output Database (WIOD) </w:t>
      </w:r>
      <w:r w:rsidR="009C19BA">
        <w:fldChar w:fldCharType="begin"/>
      </w:r>
      <w:r w:rsidR="009C19BA">
        <w:instrText xml:space="preserve"> ADDIN ZOTERO_ITEM CSL_CITATION {"citationID":"1a07u768uk","properties":{"formattedCitation":"(Dietzenbacher et al., 2013)","plainCitation":"(Dietzenbacher et al., 2013)"},"citationItems":[{"id":1841,"uris":["http://zotero.org/groups/271383/items/PNSTHDKW"],"uri":["http://zotero.org/groups/271383/items/PNSTHDKW"],"itemData":{"id":1841,"type":"article-journal","title":"The construction of world input-output tables in the WIOD project","container-title":"Economic Systems Research","page":"71-98","volume":"25","issue":"1","DOI":"10.1080/09535314.2012.761180","ISSN":"0953-5314","journalAbbreviation":"Economic Systems Research","author":[{"family":"Dietzenbacher","given":"Erik"},{"family":"Los","given":"Bart"},{"family":"Stehrer","given":"Robert"},{"family":"Timmer","given":"Marcel"},{"family":"de Vries","given":"Gaaitzen"}],"issued":{"date-parts":[["2013",3,1]]},"accessed":{"date-parts":[["2013",10,16]]}}}],"schema":"https://github.com/citation-style-language/schema/raw/master/csl-citation.json"} </w:instrText>
      </w:r>
      <w:r w:rsidR="009C19BA">
        <w:fldChar w:fldCharType="separate"/>
      </w:r>
      <w:r w:rsidR="005B3396" w:rsidRPr="005B3396">
        <w:t>(Dietzenbacher et al., 2013)</w:t>
      </w:r>
      <w:r w:rsidR="009C19BA">
        <w:fldChar w:fldCharType="end"/>
      </w:r>
      <w:r w:rsidR="0053067C" w:rsidRPr="00844BD4">
        <w:t xml:space="preserve"> </w:t>
      </w:r>
      <w:r w:rsidR="000724CB">
        <w:t xml:space="preserve">has </w:t>
      </w:r>
      <w:r w:rsidR="001941AD" w:rsidRPr="00844BD4">
        <w:t xml:space="preserve">now </w:t>
      </w:r>
      <w:r w:rsidR="00E87EB6" w:rsidRPr="00844BD4">
        <w:t>largely fill</w:t>
      </w:r>
      <w:r w:rsidR="000724CB">
        <w:t>ed</w:t>
      </w:r>
      <w:r w:rsidR="00E87EB6" w:rsidRPr="00844BD4">
        <w:t xml:space="preserve"> this gap and opens the door for the use of </w:t>
      </w:r>
      <w:r w:rsidR="003E03AD" w:rsidRPr="00844BD4">
        <w:t>MRIO</w:t>
      </w:r>
      <w:r w:rsidR="006B2C7D" w:rsidRPr="00844BD4">
        <w:t xml:space="preserve"> </w:t>
      </w:r>
      <w:r w:rsidR="00E87EB6" w:rsidRPr="00844BD4">
        <w:t xml:space="preserve">models </w:t>
      </w:r>
      <w:r w:rsidR="001941AD" w:rsidRPr="00844BD4">
        <w:t>for</w:t>
      </w:r>
      <w:r w:rsidR="00E87EB6" w:rsidRPr="00844BD4">
        <w:t xml:space="preserve"> estimating worldwide economic impacts of unexpected events</w:t>
      </w:r>
      <w:r w:rsidR="000724CB">
        <w:t>.</w:t>
      </w:r>
    </w:p>
    <w:p w:rsidR="00E87EB6" w:rsidRDefault="006B2C7D" w:rsidP="00CE33BD">
      <w:pPr>
        <w:spacing w:line="360" w:lineRule="auto"/>
        <w:ind w:firstLine="567"/>
        <w:jc w:val="both"/>
      </w:pPr>
      <w:r w:rsidRPr="00844BD4">
        <w:t xml:space="preserve">The </w:t>
      </w:r>
      <w:r w:rsidR="003E03AD" w:rsidRPr="00844BD4">
        <w:t>MRIO</w:t>
      </w:r>
      <w:r w:rsidR="00E87EB6" w:rsidRPr="00844BD4">
        <w:t xml:space="preserve"> model used in this study is a mixed IO model in which the exogenous shocks can be either final demand changes or changes in </w:t>
      </w:r>
      <w:r w:rsidR="000724CB">
        <w:t>gross</w:t>
      </w:r>
      <w:r w:rsidR="00E87EB6" w:rsidRPr="00844BD4">
        <w:t xml:space="preserve"> output</w:t>
      </w:r>
      <w:r w:rsidR="000724CB">
        <w:t xml:space="preserve"> levels</w:t>
      </w:r>
      <w:r w:rsidR="00E87EB6" w:rsidRPr="00844BD4">
        <w:t xml:space="preserve"> (see </w:t>
      </w:r>
      <w:r w:rsidR="009C19BA">
        <w:fldChar w:fldCharType="begin"/>
      </w:r>
      <w:r w:rsidR="009C19BA">
        <w:instrText xml:space="preserve"> ADDIN ZOTERO_ITEM CSL_CITATION {"citationID":"pqko9habv","properties":{"formattedCitation":"(Miller and Blair, 2009)","plainCitation":"(Miller and Blair, 2009)"},"citationItems":[{"id":770,"uris":["http://zotero.org/groups/231715/items/B87M8CTV"],"uri":["http://zotero.org/groups/231715/items/B87M8CTV"],"itemData":{"id":770,"type":"book","title":"Input-Output Analysis: Foundations and Extensions","publisher":"Cambridge University Press","publisher-place":"Cambridge UK","edition":"2nd","event-place":"Cambridge UK","shortTitle":"Input-Output Analysis: Foundations and Extensions","author":[{"family":"Miller","given":"Ronald E."},{"family":"Blair","given":"Peter D."}],"issued":{"date-parts":[["2009"]]}}}],"schema":"https://github.com/citation-style-language/schema/raw/master/csl-citation.json"} </w:instrText>
      </w:r>
      <w:r w:rsidR="009C19BA">
        <w:fldChar w:fldCharType="separate"/>
      </w:r>
      <w:r w:rsidR="005B3396" w:rsidRPr="005B3396">
        <w:t>Miller and Blair, 2009</w:t>
      </w:r>
      <w:r w:rsidR="009C19BA">
        <w:fldChar w:fldCharType="end"/>
      </w:r>
      <w:r w:rsidR="000B46F2" w:rsidRPr="00844BD4">
        <w:t xml:space="preserve">, </w:t>
      </w:r>
      <w:r w:rsidR="00B22A76" w:rsidRPr="00844BD4">
        <w:t xml:space="preserve">pp. </w:t>
      </w:r>
      <w:r w:rsidR="000B46F2" w:rsidRPr="00844BD4">
        <w:t>621-633</w:t>
      </w:r>
      <w:r w:rsidR="009C19BA">
        <w:t>,</w:t>
      </w:r>
      <w:r w:rsidR="00E87EB6" w:rsidRPr="00844BD4">
        <w:t xml:space="preserve"> for a detailed description of this type of models). These models have often been applied in empirical studies to analyse the </w:t>
      </w:r>
      <w:r w:rsidR="007D7013">
        <w:t xml:space="preserve">economy-wide </w:t>
      </w:r>
      <w:r w:rsidR="00E87EB6" w:rsidRPr="00844BD4">
        <w:t xml:space="preserve">effects of </w:t>
      </w:r>
      <w:r w:rsidR="007D7013">
        <w:t xml:space="preserve">a reduction in the </w:t>
      </w:r>
      <w:r w:rsidR="007D7013" w:rsidRPr="007D7013">
        <w:t>demand for intermediate inputs</w:t>
      </w:r>
      <w:r w:rsidR="007D7013">
        <w:t xml:space="preserve"> due to </w:t>
      </w:r>
      <w:r w:rsidR="00E87EB6" w:rsidRPr="00844BD4">
        <w:t xml:space="preserve">constraints in the output of </w:t>
      </w:r>
      <w:r w:rsidR="00871C04">
        <w:t>a</w:t>
      </w:r>
      <w:r w:rsidR="00E87EB6" w:rsidRPr="00844BD4">
        <w:t xml:space="preserve"> sector</w:t>
      </w:r>
      <w:r w:rsidR="007D7013">
        <w:t xml:space="preserve"> </w:t>
      </w:r>
      <w:r w:rsidR="009C19BA">
        <w:fldChar w:fldCharType="begin"/>
      </w:r>
      <w:r w:rsidR="009C19BA">
        <w:instrText xml:space="preserve"> ADDIN ZOTERO_ITEM CSL_CITATION {"citationID":"ca1dk8q8h","properties":{"formattedCitation":"(Steinback, 2004)","plainCitation":"(Steinback, 2004)"},"citationItems":[{"id":2830,"uris":["http://zotero.org/groups/271383/items/WWQ2NEBZ"],"uri":["http://zotero.org/groups/271383/items/WWQ2NEBZ"],"itemData":{"id":2830,"type":"article-journal","title":"Using Ready-Made Regional Input-Output Models to Estimate Backward-Linkage Effects of Exogenous Output Shocks","container-title":"The Review of Regional Studies","page":"57-71","volume":"34","issue":"1","source":"journal.srsa.org","abstract":"Using Ready-Made Regional Input-Output Models to Estimate Backward-Linkage Effects of Exogenous Output Shocks","ISSN":"0048-749X","note":"The Leontief input-output model provides the basis for quantifying backward linked multiplier effects of exogenous final demand shocks. In certain situations, however, policies or uncontrollable factors induce exogenous changes in gross industry output. Application of the usual Leontief multipliers in these cases will lead to biased calculations of backward linked economy-wide effects. To eliminate this bias, an output-based adjustment method is proposed that relates demand-driven Leontief multipliers to exogenous output shocks. It is demonstrated that this approach yields exactly the same results as the mixed exogenous/endogenous variables technique, a commonly employed adaptation procedure that accepts outputs as entries. The equivalence between these two approaches is important, because the output-based approach offers substantial computational savings through ease of implementation within ready-made regional input-output systems and provides practitioners with the ability to generate disaggregated estimates of indirect multiplier effects.","author":[{"family":"Steinback","given":"Scott R."}],"issued":{"date-parts":[["2004",6,1]]},"accessed":{"date-parts":[["2014",8,13]]}}}],"schema":"https://github.com/citation-style-language/schema/raw/master/csl-citation.json"} </w:instrText>
      </w:r>
      <w:r w:rsidR="009C19BA">
        <w:fldChar w:fldCharType="separate"/>
      </w:r>
      <w:r w:rsidR="005B3396" w:rsidRPr="005B3396">
        <w:t>(Steinback, 2004)</w:t>
      </w:r>
      <w:r w:rsidR="009C19BA">
        <w:fldChar w:fldCharType="end"/>
      </w:r>
      <w:r w:rsidR="00E87EB6" w:rsidRPr="00844BD4">
        <w:t xml:space="preserve">. </w:t>
      </w:r>
      <w:r w:rsidR="00595D02" w:rsidRPr="00844BD4">
        <w:t xml:space="preserve">In </w:t>
      </w:r>
      <w:r w:rsidR="001941AD" w:rsidRPr="00844BD4">
        <w:t>this study</w:t>
      </w:r>
      <w:r w:rsidR="00595D02" w:rsidRPr="00844BD4">
        <w:t xml:space="preserve">, we </w:t>
      </w:r>
      <w:r w:rsidR="00FC5133">
        <w:t>extend</w:t>
      </w:r>
      <w:r w:rsidR="00595D02" w:rsidRPr="00844BD4">
        <w:t xml:space="preserve"> the</w:t>
      </w:r>
      <w:r w:rsidR="00FC5133">
        <w:t xml:space="preserve"> </w:t>
      </w:r>
      <w:r w:rsidR="00F2571F">
        <w:t>scope of the standard</w:t>
      </w:r>
      <w:r w:rsidR="00595D02" w:rsidRPr="00844BD4">
        <w:t xml:space="preserve"> mixed </w:t>
      </w:r>
      <w:r w:rsidR="003E03AD" w:rsidRPr="00844BD4">
        <w:t>MRIO</w:t>
      </w:r>
      <w:r w:rsidR="00595D02" w:rsidRPr="00844BD4">
        <w:t xml:space="preserve"> </w:t>
      </w:r>
      <w:r w:rsidR="00FC5133">
        <w:t xml:space="preserve">to </w:t>
      </w:r>
      <w:r w:rsidR="00871C04">
        <w:t xml:space="preserve">also </w:t>
      </w:r>
      <w:r w:rsidR="00FC5133">
        <w:t xml:space="preserve">calculate the impacts due to the reduction in the intermediate outputs </w:t>
      </w:r>
      <w:r w:rsidR="00F2571F">
        <w:t>(i.e. disruptions in the supply chain) resulting from a</w:t>
      </w:r>
      <w:r w:rsidR="00FC5133">
        <w:t xml:space="preserve"> </w:t>
      </w:r>
      <w:r w:rsidR="00FC5133" w:rsidRPr="00844BD4">
        <w:t xml:space="preserve">constraint in the output of </w:t>
      </w:r>
      <w:r w:rsidR="00FC5133">
        <w:t>a sector</w:t>
      </w:r>
      <w:r w:rsidR="00595D02" w:rsidRPr="00844BD4">
        <w:t>.</w:t>
      </w:r>
    </w:p>
    <w:p w:rsidR="00F34500" w:rsidRPr="00844BD4" w:rsidRDefault="00F34500" w:rsidP="00CE33BD">
      <w:pPr>
        <w:spacing w:line="360" w:lineRule="auto"/>
        <w:ind w:firstLine="567"/>
        <w:jc w:val="both"/>
      </w:pPr>
      <w:r w:rsidRPr="00844BD4">
        <w:t xml:space="preserve">First, we show the standard formulation of the mixed MRIO model for capturing the </w:t>
      </w:r>
      <w:r>
        <w:t>impacts in the different sectors of the economy resulting from the reduction on the intermediate demand of a sector derived from a constraint in its output after an external shock</w:t>
      </w:r>
      <w:r w:rsidRPr="00844BD4">
        <w:t xml:space="preserve">. Second, we explain how to </w:t>
      </w:r>
      <w:r>
        <w:t xml:space="preserve">calculate the impacts derived from the disruption in the supply chain </w:t>
      </w:r>
      <w:r w:rsidRPr="00844BD4">
        <w:t xml:space="preserve">of </w:t>
      </w:r>
      <w:r>
        <w:t xml:space="preserve">a sector by combining </w:t>
      </w:r>
      <w:r w:rsidRPr="00844BD4">
        <w:t>the mixed MRIO model with</w:t>
      </w:r>
      <w:r>
        <w:t xml:space="preserve"> </w:t>
      </w:r>
      <w:r w:rsidRPr="00844BD4">
        <w:t>information on</w:t>
      </w:r>
      <w:r>
        <w:t xml:space="preserve"> the first round impact on the sectors directly affected by the disruption on the supply chain.</w:t>
      </w:r>
    </w:p>
    <w:p w:rsidR="002F0B21" w:rsidRPr="00844BD4" w:rsidRDefault="002F0B21">
      <w:pPr>
        <w:spacing w:line="480" w:lineRule="auto"/>
        <w:jc w:val="both"/>
      </w:pPr>
    </w:p>
    <w:p w:rsidR="00E87EB6" w:rsidRPr="00844BD4" w:rsidRDefault="00E87EB6" w:rsidP="00CE33BD">
      <w:pPr>
        <w:spacing w:line="360" w:lineRule="auto"/>
        <w:jc w:val="both"/>
        <w:rPr>
          <w:i/>
        </w:rPr>
      </w:pPr>
      <w:r w:rsidRPr="00844BD4">
        <w:rPr>
          <w:i/>
        </w:rPr>
        <w:t xml:space="preserve">2.1.1. </w:t>
      </w:r>
      <w:r w:rsidR="00F66B15" w:rsidRPr="00844BD4">
        <w:rPr>
          <w:i/>
        </w:rPr>
        <w:t xml:space="preserve">Standard </w:t>
      </w:r>
      <w:r w:rsidR="009B48E2" w:rsidRPr="00844BD4">
        <w:rPr>
          <w:i/>
        </w:rPr>
        <w:t>m</w:t>
      </w:r>
      <w:r w:rsidRPr="00844BD4">
        <w:rPr>
          <w:i/>
        </w:rPr>
        <w:t xml:space="preserve">ixed </w:t>
      </w:r>
      <w:r w:rsidR="003E03AD" w:rsidRPr="00844BD4">
        <w:rPr>
          <w:i/>
        </w:rPr>
        <w:t>MRIO</w:t>
      </w:r>
      <w:r w:rsidRPr="00844BD4">
        <w:rPr>
          <w:i/>
        </w:rPr>
        <w:t xml:space="preserve"> model</w:t>
      </w:r>
    </w:p>
    <w:p w:rsidR="00E87EB6" w:rsidRPr="00844BD4" w:rsidRDefault="00E87EB6" w:rsidP="00CE33BD">
      <w:pPr>
        <w:spacing w:line="360" w:lineRule="auto"/>
        <w:jc w:val="both"/>
      </w:pPr>
      <w:r w:rsidRPr="00844BD4">
        <w:t>In order to summarize the</w:t>
      </w:r>
      <w:r w:rsidR="00F66B15" w:rsidRPr="00844BD4">
        <w:t xml:space="preserve"> standard mixed </w:t>
      </w:r>
      <w:r w:rsidR="003E03AD" w:rsidRPr="00844BD4">
        <w:t>MRIO</w:t>
      </w:r>
      <w:r w:rsidRPr="00844BD4">
        <w:t xml:space="preserve"> model used in this paper, an explanatory case is presented for </w:t>
      </w:r>
      <w:r w:rsidR="001941AD" w:rsidRPr="00844BD4">
        <w:t xml:space="preserve">two </w:t>
      </w:r>
      <w:r w:rsidRPr="00844BD4">
        <w:t xml:space="preserve">regions (R, S) with </w:t>
      </w:r>
      <w:r w:rsidR="001941AD" w:rsidRPr="00844BD4">
        <w:t xml:space="preserve">two </w:t>
      </w:r>
      <w:r w:rsidRPr="00844BD4">
        <w:t>sectors (1,</w:t>
      </w:r>
      <w:r w:rsidR="00A642F2" w:rsidRPr="00844BD4">
        <w:t xml:space="preserve"> </w:t>
      </w:r>
      <w:r w:rsidRPr="00844BD4">
        <w:t xml:space="preserve">2) producing goods that can be sold as intermediate inputs or as final products. Since both regions are opened to external trade, their domestic production can be consumed </w:t>
      </w:r>
      <w:r w:rsidR="001941AD" w:rsidRPr="00844BD4">
        <w:t xml:space="preserve">within </w:t>
      </w:r>
      <w:r w:rsidRPr="00844BD4">
        <w:t>the region and/or abroad. The relations</w:t>
      </w:r>
      <w:r w:rsidR="001941AD" w:rsidRPr="00844BD4">
        <w:t>hips</w:t>
      </w:r>
      <w:r w:rsidRPr="00844BD4">
        <w:t xml:space="preserve"> between the production and the consumption activities in the two regions can be expressed as depicted in </w:t>
      </w:r>
      <w:r w:rsidR="000724CB">
        <w:t>Figure</w:t>
      </w:r>
      <w:r w:rsidRPr="00844BD4">
        <w:t xml:space="preserve"> 1, where the element </w:t>
      </w:r>
      <w:r w:rsidRPr="00844BD4">
        <w:rPr>
          <w:position w:val="-14"/>
        </w:rPr>
        <w:object w:dxaOrig="38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20.25pt" o:ole="">
            <v:imagedata r:id="rId8" o:title=""/>
          </v:shape>
          <o:OLEObject Type="Embed" ProgID="Equation.3" ShapeID="_x0000_i1025" DrawAspect="Content" ObjectID="_1519029487" r:id="rId9"/>
        </w:object>
      </w:r>
      <w:r w:rsidRPr="00844BD4">
        <w:t xml:space="preserve"> of matrix </w:t>
      </w:r>
      <w:r w:rsidRPr="00844BD4">
        <w:rPr>
          <w:rFonts w:ascii="Arial" w:hAnsi="Arial" w:cs="Arial"/>
          <w:b/>
        </w:rPr>
        <w:t>Z</w:t>
      </w:r>
      <w:r w:rsidRPr="00844BD4">
        <w:rPr>
          <w:rFonts w:ascii="Arial" w:hAnsi="Arial" w:cs="Arial"/>
          <w:b/>
          <w:vertAlign w:val="superscript"/>
        </w:rPr>
        <w:t>RS</w:t>
      </w:r>
      <w:r w:rsidRPr="00844BD4">
        <w:t xml:space="preserve"> indicates the </w:t>
      </w:r>
      <w:r w:rsidRPr="00844BD4">
        <w:rPr>
          <w:bCs/>
        </w:rPr>
        <w:t xml:space="preserve">intermediate use by sector </w:t>
      </w:r>
      <w:r w:rsidRPr="00844BD4">
        <w:rPr>
          <w:bCs/>
          <w:i/>
        </w:rPr>
        <w:t>j</w:t>
      </w:r>
      <w:r w:rsidRPr="00844BD4">
        <w:rPr>
          <w:bCs/>
        </w:rPr>
        <w:t xml:space="preserve"> of region S of goods produced by sector </w:t>
      </w:r>
      <w:r w:rsidRPr="00844BD4">
        <w:rPr>
          <w:bCs/>
          <w:i/>
        </w:rPr>
        <w:t>i</w:t>
      </w:r>
      <w:r w:rsidRPr="00844BD4">
        <w:rPr>
          <w:bCs/>
        </w:rPr>
        <w:t xml:space="preserve"> of region R; the element </w:t>
      </w:r>
      <w:r w:rsidRPr="00844BD4">
        <w:rPr>
          <w:position w:val="-12"/>
        </w:rPr>
        <w:object w:dxaOrig="400" w:dyaOrig="380">
          <v:shape id="_x0000_i1026" type="#_x0000_t75" style="width:20.25pt;height:18.75pt" o:ole="">
            <v:imagedata r:id="rId10" o:title=""/>
          </v:shape>
          <o:OLEObject Type="Embed" ProgID="Equation.3" ShapeID="_x0000_i1026" DrawAspect="Content" ObjectID="_1519029488" r:id="rId11"/>
        </w:object>
      </w:r>
      <w:r w:rsidRPr="00844BD4">
        <w:t xml:space="preserve"> of the vector </w:t>
      </w:r>
      <w:r w:rsidRPr="00844BD4">
        <w:rPr>
          <w:rFonts w:ascii="Arial" w:hAnsi="Arial" w:cs="Arial"/>
          <w:b/>
        </w:rPr>
        <w:t>y</w:t>
      </w:r>
      <w:r w:rsidRPr="00844BD4">
        <w:rPr>
          <w:rFonts w:ascii="Arial" w:hAnsi="Arial" w:cs="Arial"/>
          <w:b/>
          <w:vertAlign w:val="superscript"/>
        </w:rPr>
        <w:t>RS</w:t>
      </w:r>
      <w:r w:rsidRPr="00844BD4">
        <w:t xml:space="preserve"> denotes the final demand </w:t>
      </w:r>
      <w:r w:rsidR="001941AD" w:rsidRPr="00844BD4">
        <w:t xml:space="preserve">of </w:t>
      </w:r>
      <w:r w:rsidRPr="00844BD4">
        <w:t xml:space="preserve">region S </w:t>
      </w:r>
      <w:r w:rsidR="001941AD" w:rsidRPr="00844BD4">
        <w:rPr>
          <w:bCs/>
        </w:rPr>
        <w:t>for</w:t>
      </w:r>
      <w:r w:rsidRPr="00844BD4">
        <w:rPr>
          <w:bCs/>
        </w:rPr>
        <w:t xml:space="preserve"> goods produced by sector </w:t>
      </w:r>
      <w:r w:rsidRPr="00844BD4">
        <w:rPr>
          <w:bCs/>
          <w:i/>
        </w:rPr>
        <w:t>i</w:t>
      </w:r>
      <w:r w:rsidRPr="00844BD4">
        <w:rPr>
          <w:bCs/>
        </w:rPr>
        <w:t xml:space="preserve"> of region R</w:t>
      </w:r>
      <w:r w:rsidRPr="00844BD4">
        <w:t xml:space="preserve">; the element </w:t>
      </w:r>
      <w:r w:rsidRPr="00844BD4">
        <w:rPr>
          <w:position w:val="-12"/>
        </w:rPr>
        <w:object w:dxaOrig="320" w:dyaOrig="380">
          <v:shape id="_x0000_i1027" type="#_x0000_t75" style="width:15.75pt;height:18.75pt" o:ole="">
            <v:imagedata r:id="rId12" o:title=""/>
          </v:shape>
          <o:OLEObject Type="Embed" ProgID="Equation.3" ShapeID="_x0000_i1027" DrawAspect="Content" ObjectID="_1519029489" r:id="rId13"/>
        </w:object>
      </w:r>
      <w:r w:rsidRPr="00844BD4">
        <w:t xml:space="preserve"> of vector </w:t>
      </w:r>
      <w:r w:rsidRPr="00844BD4">
        <w:rPr>
          <w:rFonts w:ascii="Arial" w:hAnsi="Arial" w:cs="Arial"/>
          <w:b/>
        </w:rPr>
        <w:t>x</w:t>
      </w:r>
      <w:r w:rsidRPr="00844BD4">
        <w:rPr>
          <w:rFonts w:ascii="Arial" w:hAnsi="Arial" w:cs="Arial"/>
          <w:b/>
          <w:vertAlign w:val="superscript"/>
        </w:rPr>
        <w:t>R</w:t>
      </w:r>
      <w:r w:rsidRPr="00844BD4">
        <w:t xml:space="preserve"> is the total output of sector </w:t>
      </w:r>
      <w:r w:rsidRPr="00844BD4">
        <w:rPr>
          <w:i/>
        </w:rPr>
        <w:t>i</w:t>
      </w:r>
      <w:r w:rsidRPr="00844BD4">
        <w:t xml:space="preserve"> in region R;</w:t>
      </w:r>
      <w:r w:rsidR="001E2A70" w:rsidRPr="00844BD4">
        <w:t xml:space="preserve"> and</w:t>
      </w:r>
      <w:r w:rsidRPr="00844BD4">
        <w:t xml:space="preserve"> the element </w:t>
      </w:r>
      <w:r w:rsidRPr="00844BD4">
        <w:rPr>
          <w:position w:val="-12"/>
        </w:rPr>
        <w:object w:dxaOrig="340" w:dyaOrig="380">
          <v:shape id="_x0000_i1028" type="#_x0000_t75" style="width:17.25pt;height:18.75pt" o:ole="">
            <v:imagedata r:id="rId14" o:title=""/>
          </v:shape>
          <o:OLEObject Type="Embed" ProgID="Equation.3" ShapeID="_x0000_i1028" DrawAspect="Content" ObjectID="_1519029490" r:id="rId15"/>
        </w:object>
      </w:r>
      <w:r w:rsidRPr="00844BD4">
        <w:t xml:space="preserve"> of vector </w:t>
      </w:r>
      <w:r w:rsidRPr="00844BD4">
        <w:rPr>
          <w:rFonts w:ascii="Arial" w:hAnsi="Arial" w:cs="Arial"/>
          <w:b/>
        </w:rPr>
        <w:t>w</w:t>
      </w:r>
      <w:r w:rsidRPr="00844BD4">
        <w:rPr>
          <w:rFonts w:ascii="Arial" w:hAnsi="Arial" w:cs="Arial"/>
          <w:b/>
          <w:vertAlign w:val="superscript"/>
        </w:rPr>
        <w:t>R</w:t>
      </w:r>
      <w:r w:rsidRPr="00844BD4">
        <w:t xml:space="preserve"> is the value added of sector </w:t>
      </w:r>
      <w:r w:rsidRPr="00844BD4">
        <w:rPr>
          <w:i/>
        </w:rPr>
        <w:t>i</w:t>
      </w:r>
      <w:r w:rsidRPr="00844BD4">
        <w:t xml:space="preserve"> in region R.</w:t>
      </w:r>
    </w:p>
    <w:p w:rsidR="00E87EB6" w:rsidRDefault="00E87EB6" w:rsidP="00CE33BD">
      <w:pPr>
        <w:spacing w:line="360" w:lineRule="auto"/>
        <w:jc w:val="both"/>
      </w:pPr>
    </w:p>
    <w:p w:rsidR="000724CB" w:rsidRPr="00844BD4" w:rsidRDefault="000724CB" w:rsidP="00CE33BD">
      <w:pPr>
        <w:spacing w:line="360" w:lineRule="auto"/>
        <w:jc w:val="center"/>
      </w:pPr>
      <w:r>
        <w:t xml:space="preserve">***INSERT Figure 1 ABOUT HERE*** </w:t>
      </w:r>
    </w:p>
    <w:p w:rsidR="000724CB" w:rsidRDefault="000724CB" w:rsidP="00CE33BD">
      <w:pPr>
        <w:spacing w:line="360" w:lineRule="auto"/>
        <w:jc w:val="both"/>
        <w:rPr>
          <w:bCs/>
        </w:rPr>
      </w:pPr>
    </w:p>
    <w:p w:rsidR="00E87EB6" w:rsidRDefault="000724CB" w:rsidP="00CE33BD">
      <w:pPr>
        <w:spacing w:line="360" w:lineRule="auto"/>
        <w:jc w:val="both"/>
      </w:pPr>
      <w:r>
        <w:rPr>
          <w:bCs/>
        </w:rPr>
        <w:t>Figur</w:t>
      </w:r>
      <w:r w:rsidR="00E87EB6" w:rsidRPr="00844BD4">
        <w:rPr>
          <w:bCs/>
        </w:rPr>
        <w:t>e 1 can be expressed as a system of equations</w:t>
      </w:r>
      <w:r w:rsidR="004A099F">
        <w:rPr>
          <w:bCs/>
        </w:rPr>
        <w:t>,</w:t>
      </w:r>
      <w:r w:rsidR="00E87EB6" w:rsidRPr="00844BD4">
        <w:rPr>
          <w:bCs/>
        </w:rPr>
        <w:t xml:space="preserve"> </w:t>
      </w:r>
      <w:r w:rsidR="004A099F">
        <w:t>which</w:t>
      </w:r>
      <w:r w:rsidR="00E87EB6" w:rsidRPr="00844BD4">
        <w:t xml:space="preserve"> </w:t>
      </w:r>
      <w:r w:rsidR="004A099F">
        <w:t xml:space="preserve">reads </w:t>
      </w:r>
      <w:r w:rsidR="00E87EB6" w:rsidRPr="00844BD4">
        <w:t xml:space="preserve">in matrix </w:t>
      </w:r>
      <w:r w:rsidR="00562285" w:rsidRPr="00844BD4">
        <w:t>notation</w:t>
      </w:r>
      <w:r w:rsidR="00E87EB6" w:rsidRPr="00844BD4">
        <w:t xml:space="preserve"> </w:t>
      </w:r>
      <w:r w:rsidR="004A099F">
        <w:t>as follows</w:t>
      </w:r>
      <w:r w:rsidR="00E87EB6" w:rsidRPr="00844BD4">
        <w:t>:</w:t>
      </w:r>
    </w:p>
    <w:p w:rsidR="004A099F" w:rsidRPr="00844BD4" w:rsidRDefault="004A099F" w:rsidP="00CE33BD">
      <w:pPr>
        <w:spacing w:line="360" w:lineRule="auto"/>
        <w:jc w:val="both"/>
      </w:pPr>
    </w:p>
    <w:p w:rsidR="00E87EB6" w:rsidRDefault="00E87EB6">
      <w:pPr>
        <w:spacing w:line="480" w:lineRule="auto"/>
        <w:jc w:val="both"/>
      </w:pPr>
      <w:r w:rsidRPr="00844BD4">
        <w:rPr>
          <w:position w:val="-32"/>
        </w:rPr>
        <w:object w:dxaOrig="3820" w:dyaOrig="760">
          <v:shape id="_x0000_i1029" type="#_x0000_t75" style="width:191.25pt;height:38.25pt" o:ole="">
            <v:imagedata r:id="rId16" o:title=""/>
          </v:shape>
          <o:OLEObject Type="Embed" ProgID="Equation.3" ShapeID="_x0000_i1029" DrawAspect="Content" ObjectID="_1519029491" r:id="rId17"/>
        </w:object>
      </w:r>
      <w:r w:rsidRPr="00844BD4">
        <w:tab/>
      </w:r>
      <w:r w:rsidRPr="00844BD4">
        <w:tab/>
      </w:r>
      <w:r w:rsidRPr="00844BD4">
        <w:tab/>
      </w:r>
      <w:r w:rsidRPr="00844BD4">
        <w:tab/>
      </w:r>
      <w:r w:rsidRPr="00844BD4">
        <w:tab/>
      </w:r>
      <w:r w:rsidRPr="00844BD4">
        <w:tab/>
      </w:r>
      <w:r w:rsidRPr="00844BD4">
        <w:tab/>
        <w:t>[1]</w:t>
      </w:r>
    </w:p>
    <w:p w:rsidR="004A099F" w:rsidRPr="00844BD4" w:rsidRDefault="004A099F">
      <w:pPr>
        <w:spacing w:line="480" w:lineRule="auto"/>
        <w:jc w:val="both"/>
      </w:pPr>
    </w:p>
    <w:p w:rsidR="00E87EB6" w:rsidRPr="00844BD4" w:rsidRDefault="00E87EB6" w:rsidP="00CE33BD">
      <w:pPr>
        <w:spacing w:line="360" w:lineRule="auto"/>
        <w:jc w:val="both"/>
      </w:pPr>
      <w:r w:rsidRPr="00844BD4">
        <w:t xml:space="preserve">where </w:t>
      </w:r>
      <w:r w:rsidRPr="00844BD4">
        <w:rPr>
          <w:rFonts w:ascii="Arial" w:hAnsi="Arial" w:cs="Arial"/>
          <w:b/>
        </w:rPr>
        <w:t>e</w:t>
      </w:r>
      <w:r w:rsidRPr="00844BD4">
        <w:t xml:space="preserve"> is a column vector of ones for summation.</w:t>
      </w:r>
    </w:p>
    <w:p w:rsidR="00E87EB6" w:rsidRDefault="00E87EB6" w:rsidP="00CE33BD">
      <w:pPr>
        <w:spacing w:line="360" w:lineRule="auto"/>
        <w:ind w:firstLine="567"/>
        <w:jc w:val="both"/>
      </w:pPr>
      <w:r w:rsidRPr="00844BD4">
        <w:t xml:space="preserve">The input coefficients are obtained from </w:t>
      </w:r>
      <w:r w:rsidR="00B87B5A" w:rsidRPr="00844BD4">
        <w:rPr>
          <w:position w:val="-10"/>
        </w:rPr>
        <w:object w:dxaOrig="1680" w:dyaOrig="420">
          <v:shape id="_x0000_i1030" type="#_x0000_t75" style="width:84pt;height:21pt" o:ole="">
            <v:imagedata r:id="rId18" o:title=""/>
          </v:shape>
          <o:OLEObject Type="Embed" ProgID="Equation.3" ShapeID="_x0000_i1030" DrawAspect="Content" ObjectID="_1519029492" r:id="rId19"/>
        </w:object>
      </w:r>
      <w:r w:rsidRPr="00844BD4">
        <w:t xml:space="preserve">, where </w:t>
      </w:r>
      <w:r w:rsidRPr="00844BD4">
        <w:rPr>
          <w:position w:val="-14"/>
        </w:rPr>
        <w:object w:dxaOrig="400" w:dyaOrig="400">
          <v:shape id="_x0000_i1031" type="#_x0000_t75" style="width:20.25pt;height:20.25pt" o:ole="">
            <v:imagedata r:id="rId20" o:title=""/>
          </v:shape>
          <o:OLEObject Type="Embed" ProgID="Equation.3" ShapeID="_x0000_i1031" DrawAspect="Content" ObjectID="_1519029493" r:id="rId21"/>
        </w:object>
      </w:r>
      <w:r w:rsidRPr="00844BD4">
        <w:t xml:space="preserve"> of matrix </w:t>
      </w:r>
      <w:r w:rsidRPr="00844BD4">
        <w:rPr>
          <w:rFonts w:ascii="Arial" w:hAnsi="Arial" w:cs="Arial"/>
          <w:b/>
        </w:rPr>
        <w:t>A</w:t>
      </w:r>
      <w:r w:rsidRPr="00844BD4">
        <w:rPr>
          <w:rFonts w:ascii="Arial" w:hAnsi="Arial" w:cs="Arial"/>
          <w:b/>
          <w:vertAlign w:val="superscript"/>
        </w:rPr>
        <w:t>RS</w:t>
      </w:r>
      <w:r w:rsidRPr="00844BD4">
        <w:t xml:space="preserve"> indicates the quantity of output from sector </w:t>
      </w:r>
      <w:r w:rsidRPr="00844BD4">
        <w:rPr>
          <w:i/>
        </w:rPr>
        <w:t>i</w:t>
      </w:r>
      <w:r w:rsidRPr="00844BD4">
        <w:t xml:space="preserve"> of region R used by sector </w:t>
      </w:r>
      <w:r w:rsidRPr="00844BD4">
        <w:rPr>
          <w:i/>
        </w:rPr>
        <w:t>j</w:t>
      </w:r>
      <w:r w:rsidRPr="00844BD4">
        <w:t xml:space="preserve"> of region S to produce one unit of output. Now, we rewrite equation [1] as</w:t>
      </w:r>
    </w:p>
    <w:p w:rsidR="004A099F" w:rsidRPr="00844BD4" w:rsidRDefault="004A099F" w:rsidP="00CE33BD">
      <w:pPr>
        <w:spacing w:line="360" w:lineRule="auto"/>
        <w:jc w:val="both"/>
      </w:pPr>
    </w:p>
    <w:p w:rsidR="00E87EB6" w:rsidRPr="00844BD4" w:rsidRDefault="00E87EB6" w:rsidP="00E87EB6">
      <w:pPr>
        <w:spacing w:line="480" w:lineRule="auto"/>
        <w:jc w:val="both"/>
      </w:pPr>
      <w:r w:rsidRPr="00844BD4">
        <w:rPr>
          <w:position w:val="-32"/>
        </w:rPr>
        <w:object w:dxaOrig="4040" w:dyaOrig="760">
          <v:shape id="_x0000_i1032" type="#_x0000_t75" style="width:201.75pt;height:38.25pt" o:ole="">
            <v:imagedata r:id="rId22" o:title=""/>
          </v:shape>
          <o:OLEObject Type="Embed" ProgID="Equation.3" ShapeID="_x0000_i1032" DrawAspect="Content" ObjectID="_1519029494" r:id="rId23"/>
        </w:object>
      </w:r>
      <w:r w:rsidRPr="00844BD4">
        <w:tab/>
      </w:r>
      <w:r w:rsidRPr="00844BD4">
        <w:tab/>
      </w:r>
      <w:r w:rsidRPr="00844BD4">
        <w:tab/>
      </w:r>
      <w:r w:rsidRPr="00844BD4">
        <w:tab/>
      </w:r>
      <w:r w:rsidRPr="00844BD4">
        <w:tab/>
      </w:r>
      <w:r w:rsidRPr="00844BD4">
        <w:tab/>
      </w:r>
      <w:r w:rsidRPr="00844BD4">
        <w:tab/>
        <w:t>[2]</w:t>
      </w:r>
    </w:p>
    <w:p w:rsidR="00D74099" w:rsidRDefault="00D74099" w:rsidP="00CE33BD">
      <w:pPr>
        <w:spacing w:line="360" w:lineRule="auto"/>
        <w:jc w:val="both"/>
      </w:pPr>
    </w:p>
    <w:p w:rsidR="00E87EB6" w:rsidRDefault="00E87EB6" w:rsidP="00CE33BD">
      <w:pPr>
        <w:spacing w:line="360" w:lineRule="auto"/>
        <w:jc w:val="both"/>
      </w:pPr>
      <w:r w:rsidRPr="00844BD4">
        <w:t>Reordering expression [2] yields:</w:t>
      </w:r>
    </w:p>
    <w:p w:rsidR="00D74099" w:rsidRPr="00844BD4" w:rsidRDefault="00D74099" w:rsidP="00CE33BD">
      <w:pPr>
        <w:spacing w:line="360" w:lineRule="auto"/>
        <w:jc w:val="both"/>
      </w:pPr>
    </w:p>
    <w:p w:rsidR="00E87EB6" w:rsidRPr="00844BD4" w:rsidRDefault="00E87EB6" w:rsidP="00E87EB6">
      <w:pPr>
        <w:spacing w:line="480" w:lineRule="auto"/>
        <w:jc w:val="both"/>
      </w:pPr>
      <w:r w:rsidRPr="00844BD4">
        <w:rPr>
          <w:position w:val="-32"/>
        </w:rPr>
        <w:object w:dxaOrig="3760" w:dyaOrig="760">
          <v:shape id="_x0000_i1033" type="#_x0000_t75" style="width:188.25pt;height:38.25pt" o:ole="">
            <v:imagedata r:id="rId24" o:title=""/>
          </v:shape>
          <o:OLEObject Type="Embed" ProgID="Equation.3" ShapeID="_x0000_i1033" DrawAspect="Content" ObjectID="_1519029495" r:id="rId25"/>
        </w:object>
      </w:r>
      <w:r w:rsidRPr="00844BD4">
        <w:tab/>
      </w:r>
      <w:r w:rsidRPr="00844BD4">
        <w:tab/>
      </w:r>
      <w:r w:rsidRPr="00844BD4">
        <w:tab/>
      </w:r>
      <w:r w:rsidRPr="00844BD4">
        <w:tab/>
      </w:r>
      <w:r w:rsidRPr="00844BD4">
        <w:tab/>
      </w:r>
      <w:r w:rsidRPr="00844BD4">
        <w:tab/>
      </w:r>
      <w:r w:rsidRPr="00844BD4">
        <w:tab/>
        <w:t>[3]</w:t>
      </w:r>
    </w:p>
    <w:p w:rsidR="00E87EB6" w:rsidRDefault="00E87EB6" w:rsidP="00E87EB6">
      <w:pPr>
        <w:spacing w:line="480" w:lineRule="auto"/>
        <w:jc w:val="both"/>
      </w:pPr>
      <w:r w:rsidRPr="00844BD4">
        <w:t>and considering, as in standard IO analysis, the total output as endogenous and final demand as exogenous, equation [3] can be expressed as:</w:t>
      </w:r>
    </w:p>
    <w:p w:rsidR="00D74099" w:rsidRPr="00844BD4" w:rsidRDefault="00D74099" w:rsidP="00E87EB6">
      <w:pPr>
        <w:spacing w:line="480" w:lineRule="auto"/>
        <w:jc w:val="both"/>
      </w:pPr>
    </w:p>
    <w:p w:rsidR="00E87EB6" w:rsidRPr="00844BD4" w:rsidRDefault="007D06DC" w:rsidP="00E87EB6">
      <w:pPr>
        <w:spacing w:line="480" w:lineRule="auto"/>
        <w:jc w:val="both"/>
      </w:pPr>
      <w:r w:rsidRPr="00844BD4">
        <w:rPr>
          <w:position w:val="-68"/>
        </w:rPr>
        <w:object w:dxaOrig="6120" w:dyaOrig="1540">
          <v:shape id="_x0000_i1034" type="#_x0000_t75" style="width:306pt;height:77.25pt" o:ole="">
            <v:imagedata r:id="rId26" o:title=""/>
          </v:shape>
          <o:OLEObject Type="Embed" ProgID="Equation.3" ShapeID="_x0000_i1034" DrawAspect="Content" ObjectID="_1519029496" r:id="rId27"/>
        </w:object>
      </w:r>
      <w:r w:rsidR="00E87EB6" w:rsidRPr="00844BD4">
        <w:tab/>
      </w:r>
      <w:r w:rsidRPr="00844BD4">
        <w:tab/>
      </w:r>
      <w:r w:rsidRPr="00844BD4">
        <w:tab/>
      </w:r>
      <w:r w:rsidR="00E87EB6" w:rsidRPr="00844BD4">
        <w:tab/>
        <w:t>[4]</w:t>
      </w:r>
    </w:p>
    <w:p w:rsidR="00D74099" w:rsidRDefault="00D74099" w:rsidP="00CE33BD">
      <w:pPr>
        <w:spacing w:line="360" w:lineRule="auto"/>
        <w:jc w:val="both"/>
      </w:pPr>
    </w:p>
    <w:p w:rsidR="00562285" w:rsidRDefault="00562285" w:rsidP="00CE33BD">
      <w:pPr>
        <w:spacing w:line="360" w:lineRule="auto"/>
        <w:jc w:val="both"/>
      </w:pPr>
      <w:r w:rsidRPr="00844BD4">
        <w:t>which can also be expressed as</w:t>
      </w:r>
    </w:p>
    <w:p w:rsidR="00D74099" w:rsidRPr="00844BD4" w:rsidRDefault="00D74099" w:rsidP="00CE33BD">
      <w:pPr>
        <w:spacing w:line="360" w:lineRule="auto"/>
        <w:jc w:val="both"/>
      </w:pPr>
    </w:p>
    <w:p w:rsidR="00562285" w:rsidRPr="00844BD4" w:rsidRDefault="00562285" w:rsidP="00CE33BD">
      <w:pPr>
        <w:spacing w:line="360" w:lineRule="auto"/>
        <w:jc w:val="both"/>
      </w:pPr>
      <w:r w:rsidRPr="00844BD4">
        <w:rPr>
          <w:position w:val="-10"/>
        </w:rPr>
        <w:object w:dxaOrig="740" w:dyaOrig="320">
          <v:shape id="_x0000_i1035" type="#_x0000_t75" style="width:36.75pt;height:15.75pt" o:ole="">
            <v:imagedata r:id="rId28" o:title=""/>
          </v:shape>
          <o:OLEObject Type="Embed" ProgID="Equation.3" ShapeID="_x0000_i1035" DrawAspect="Content" ObjectID="_1519029497" r:id="rId29"/>
        </w:object>
      </w:r>
    </w:p>
    <w:p w:rsidR="00D74099" w:rsidRDefault="00D74099" w:rsidP="00CE33BD">
      <w:pPr>
        <w:spacing w:line="360" w:lineRule="auto"/>
        <w:jc w:val="both"/>
      </w:pPr>
    </w:p>
    <w:p w:rsidR="00562285" w:rsidRPr="00844BD4" w:rsidRDefault="00562285" w:rsidP="00CE33BD">
      <w:pPr>
        <w:spacing w:line="360" w:lineRule="auto"/>
        <w:jc w:val="both"/>
      </w:pPr>
      <w:r w:rsidRPr="00844BD4">
        <w:t xml:space="preserve">where </w:t>
      </w:r>
      <w:r w:rsidRPr="00844BD4">
        <w:rPr>
          <w:position w:val="-4"/>
        </w:rPr>
        <w:object w:dxaOrig="200" w:dyaOrig="260">
          <v:shape id="_x0000_i1036" type="#_x0000_t75" style="width:9.75pt;height:12.75pt" o:ole="">
            <v:imagedata r:id="rId30" o:title=""/>
          </v:shape>
          <o:OLEObject Type="Embed" ProgID="Equation.3" ShapeID="_x0000_i1036" DrawAspect="Content" ObjectID="_1519029498" r:id="rId31"/>
        </w:object>
      </w:r>
      <w:r w:rsidRPr="00844BD4">
        <w:t xml:space="preserve"> is the Leontief inverse matrix.</w:t>
      </w:r>
    </w:p>
    <w:p w:rsidR="00F66B15" w:rsidRDefault="00E87EB6" w:rsidP="00CE33BD">
      <w:pPr>
        <w:spacing w:line="360" w:lineRule="auto"/>
        <w:ind w:firstLine="567"/>
        <w:jc w:val="both"/>
      </w:pPr>
      <w:r w:rsidRPr="00844BD4">
        <w:t xml:space="preserve">Let us assume that we want to analyse the effects of </w:t>
      </w:r>
      <w:r w:rsidR="00562285" w:rsidRPr="00844BD4">
        <w:t>a</w:t>
      </w:r>
      <w:r w:rsidR="00731D7F" w:rsidRPr="00844BD4">
        <w:t>n external shock constraining the production capacity</w:t>
      </w:r>
      <w:r w:rsidR="00562285" w:rsidRPr="00844BD4">
        <w:t xml:space="preserve"> </w:t>
      </w:r>
      <w:r w:rsidRPr="00844BD4">
        <w:t>of sector 2 in region S</w:t>
      </w:r>
      <w:r w:rsidR="00731D7F" w:rsidRPr="00844BD4">
        <w:t>. The initial impact of the shock would be the reduction in the total output of sector 2 in region S (</w:t>
      </w:r>
      <w:r w:rsidR="00D74099">
        <w:t xml:space="preserve">the </w:t>
      </w:r>
      <w:r w:rsidR="00731D7F" w:rsidRPr="00844BD4">
        <w:t xml:space="preserve">initial effect in Figure </w:t>
      </w:r>
      <w:r w:rsidR="00D74099">
        <w:t>2</w:t>
      </w:r>
      <w:r w:rsidR="00731D7F" w:rsidRPr="00844BD4">
        <w:t xml:space="preserve">). This would reduce the demand for </w:t>
      </w:r>
      <w:r w:rsidR="00AA490E" w:rsidRPr="00844BD4">
        <w:t>products</w:t>
      </w:r>
      <w:r w:rsidR="00731D7F" w:rsidRPr="00844BD4">
        <w:t xml:space="preserve"> from the sectors </w:t>
      </w:r>
      <w:r w:rsidR="00AA490E" w:rsidRPr="00844BD4">
        <w:t xml:space="preserve">directly </w:t>
      </w:r>
      <w:r w:rsidR="00731D7F" w:rsidRPr="00844BD4">
        <w:t>supplying intermediate inputs to the constrained sector (</w:t>
      </w:r>
      <w:r w:rsidR="00D74099">
        <w:t xml:space="preserve">the </w:t>
      </w:r>
      <w:r w:rsidR="00731D7F" w:rsidRPr="00844BD4">
        <w:t xml:space="preserve">backward direct effect in Figure </w:t>
      </w:r>
      <w:r w:rsidR="00D74099">
        <w:t>2</w:t>
      </w:r>
      <w:r w:rsidR="00731D7F" w:rsidRPr="00844BD4">
        <w:t>). Finally, the impact would affect the sectors indirectly involved in the supply chain of the constrained sector (</w:t>
      </w:r>
      <w:r w:rsidR="00D74099">
        <w:t xml:space="preserve">the </w:t>
      </w:r>
      <w:r w:rsidR="00731D7F" w:rsidRPr="00844BD4">
        <w:t xml:space="preserve">backward indirect effect in Figure </w:t>
      </w:r>
      <w:r w:rsidR="00D74099">
        <w:t>2</w:t>
      </w:r>
      <w:r w:rsidR="00731D7F" w:rsidRPr="00844BD4">
        <w:t>)</w:t>
      </w:r>
      <w:r w:rsidRPr="00844BD4">
        <w:t>.</w:t>
      </w:r>
    </w:p>
    <w:p w:rsidR="00D74099" w:rsidRDefault="00D74099" w:rsidP="00CE33BD">
      <w:pPr>
        <w:spacing w:line="360" w:lineRule="auto"/>
        <w:jc w:val="center"/>
      </w:pPr>
    </w:p>
    <w:p w:rsidR="00D74099" w:rsidRPr="00844BD4" w:rsidRDefault="00D74099" w:rsidP="00CE33BD">
      <w:pPr>
        <w:spacing w:line="360" w:lineRule="auto"/>
        <w:jc w:val="center"/>
      </w:pPr>
      <w:r>
        <w:t>***INSERT Figure 2 ABOUT HERE***</w:t>
      </w:r>
    </w:p>
    <w:p w:rsidR="00D74099" w:rsidRDefault="00D74099" w:rsidP="00CE33BD">
      <w:pPr>
        <w:spacing w:line="360" w:lineRule="auto"/>
        <w:jc w:val="both"/>
      </w:pPr>
    </w:p>
    <w:p w:rsidR="00D74099" w:rsidRDefault="00E87EB6" w:rsidP="00CE33BD">
      <w:pPr>
        <w:spacing w:line="360" w:lineRule="auto"/>
        <w:jc w:val="both"/>
      </w:pPr>
      <w:r w:rsidRPr="00844BD4">
        <w:t xml:space="preserve">In such a case, </w:t>
      </w:r>
      <w:r w:rsidR="00E149EB" w:rsidRPr="00844BD4">
        <w:t xml:space="preserve">the </w:t>
      </w:r>
      <w:r w:rsidRPr="00844BD4">
        <w:t xml:space="preserve">total output </w:t>
      </w:r>
      <w:r w:rsidR="00E149EB" w:rsidRPr="00844BD4">
        <w:t xml:space="preserve">of sector 2 of region S </w:t>
      </w:r>
      <w:r w:rsidRPr="00844BD4">
        <w:t>would become exogenous</w:t>
      </w:r>
      <w:r w:rsidR="00D74099">
        <w:t>,</w:t>
      </w:r>
      <w:r w:rsidRPr="00844BD4">
        <w:t xml:space="preserve"> while </w:t>
      </w:r>
      <w:r w:rsidR="00E149EB" w:rsidRPr="00844BD4">
        <w:t>its</w:t>
      </w:r>
      <w:r w:rsidRPr="00844BD4">
        <w:t xml:space="preserve"> final demand would be endogenous. The assumptions on the remaining outputs and final demands of the other sectors remain unchanged. Next, rearranging equation [4] so </w:t>
      </w:r>
      <w:r w:rsidR="00BC3AA4" w:rsidRPr="00844BD4">
        <w:t xml:space="preserve">as </w:t>
      </w:r>
      <w:r w:rsidRPr="00844BD4">
        <w:t xml:space="preserve">to leave </w:t>
      </w:r>
      <w:r w:rsidR="00D74099">
        <w:t xml:space="preserve">the </w:t>
      </w:r>
      <w:r w:rsidRPr="00844BD4">
        <w:t xml:space="preserve">exogenous variables on the right-hand side and </w:t>
      </w:r>
      <w:r w:rsidR="00D74099">
        <w:t xml:space="preserve">the </w:t>
      </w:r>
      <w:r w:rsidRPr="00844BD4">
        <w:t>endogenous variables on the left-hand side, we obtain:</w:t>
      </w:r>
    </w:p>
    <w:p w:rsidR="00E87EB6" w:rsidRPr="00844BD4" w:rsidRDefault="00E87EB6" w:rsidP="00CE33BD">
      <w:pPr>
        <w:spacing w:line="360" w:lineRule="auto"/>
        <w:jc w:val="both"/>
      </w:pPr>
      <w:r w:rsidRPr="00844BD4">
        <w:t xml:space="preserve"> </w:t>
      </w:r>
    </w:p>
    <w:p w:rsidR="00E87EB6" w:rsidRPr="00844BD4" w:rsidRDefault="00E87EB6" w:rsidP="00E87EB6">
      <w:pPr>
        <w:spacing w:line="480" w:lineRule="auto"/>
        <w:jc w:val="both"/>
      </w:pPr>
      <w:r w:rsidRPr="00844BD4">
        <w:rPr>
          <w:position w:val="-68"/>
        </w:rPr>
        <w:object w:dxaOrig="8120" w:dyaOrig="1480">
          <v:shape id="_x0000_i1037" type="#_x0000_t75" style="width:405.75pt;height:74.25pt" o:ole="">
            <v:imagedata r:id="rId32" o:title=""/>
          </v:shape>
          <o:OLEObject Type="Embed" ProgID="Equation.3" ShapeID="_x0000_i1037" DrawAspect="Content" ObjectID="_1519029499" r:id="rId33"/>
        </w:object>
      </w:r>
      <w:r w:rsidRPr="00844BD4">
        <w:tab/>
        <w:t>[5]</w:t>
      </w:r>
    </w:p>
    <w:p w:rsidR="00E87EB6" w:rsidRPr="00844BD4" w:rsidRDefault="00E87EB6" w:rsidP="00CE33BD">
      <w:pPr>
        <w:spacing w:line="360" w:lineRule="auto"/>
        <w:jc w:val="both"/>
      </w:pPr>
    </w:p>
    <w:p w:rsidR="00E87EB6" w:rsidRDefault="00E87EB6" w:rsidP="00CE33BD">
      <w:pPr>
        <w:spacing w:line="360" w:lineRule="auto"/>
        <w:jc w:val="both"/>
      </w:pPr>
      <w:r w:rsidRPr="00844BD4">
        <w:t xml:space="preserve">Finally, by </w:t>
      </w:r>
      <w:r w:rsidR="00D74099">
        <w:t>rearranging terms in</w:t>
      </w:r>
      <w:r w:rsidRPr="00844BD4">
        <w:t xml:space="preserve"> equation [5] we </w:t>
      </w:r>
      <w:r w:rsidR="00D74099">
        <w:t>find</w:t>
      </w:r>
      <w:r w:rsidRPr="00844BD4">
        <w:t>:</w:t>
      </w:r>
    </w:p>
    <w:p w:rsidR="00D74099" w:rsidRPr="00844BD4" w:rsidRDefault="00D74099" w:rsidP="00CE33BD">
      <w:pPr>
        <w:spacing w:line="360" w:lineRule="auto"/>
        <w:jc w:val="both"/>
      </w:pPr>
    </w:p>
    <w:p w:rsidR="00E87EB6" w:rsidRPr="00844BD4" w:rsidRDefault="00E87EB6" w:rsidP="00E87EB6">
      <w:pPr>
        <w:spacing w:before="120" w:line="480" w:lineRule="auto"/>
        <w:jc w:val="both"/>
      </w:pPr>
      <w:r w:rsidRPr="00844BD4">
        <w:rPr>
          <w:position w:val="-68"/>
        </w:rPr>
        <w:object w:dxaOrig="8240" w:dyaOrig="1540">
          <v:shape id="_x0000_i1038" type="#_x0000_t75" style="width:411pt;height:77.25pt" o:ole="">
            <v:imagedata r:id="rId34" o:title=""/>
          </v:shape>
          <o:OLEObject Type="Embed" ProgID="Equation.3" ShapeID="_x0000_i1038" DrawAspect="Content" ObjectID="_1519029500" r:id="rId35"/>
        </w:object>
      </w:r>
      <w:r w:rsidRPr="00844BD4">
        <w:tab/>
        <w:t>[6]</w:t>
      </w:r>
    </w:p>
    <w:p w:rsidR="00D74099" w:rsidRDefault="00D74099" w:rsidP="00CE33BD">
      <w:pPr>
        <w:spacing w:before="120" w:line="360" w:lineRule="auto"/>
        <w:jc w:val="both"/>
      </w:pPr>
    </w:p>
    <w:p w:rsidR="00E87EB6" w:rsidRDefault="00E87EB6" w:rsidP="00CE33BD">
      <w:pPr>
        <w:spacing w:before="120" w:line="360" w:lineRule="auto"/>
        <w:jc w:val="both"/>
      </w:pPr>
      <w:r w:rsidRPr="00844BD4">
        <w:t>which can also be expressed as</w:t>
      </w:r>
    </w:p>
    <w:p w:rsidR="00D74099" w:rsidRPr="00844BD4" w:rsidRDefault="00D74099" w:rsidP="00CE33BD">
      <w:pPr>
        <w:spacing w:before="120" w:line="360" w:lineRule="auto"/>
        <w:jc w:val="both"/>
      </w:pPr>
    </w:p>
    <w:p w:rsidR="00562285" w:rsidRPr="00844BD4" w:rsidRDefault="00D9689C" w:rsidP="00E87EB6">
      <w:pPr>
        <w:spacing w:before="120" w:line="480" w:lineRule="auto"/>
        <w:jc w:val="both"/>
      </w:pPr>
      <w:r w:rsidRPr="00844BD4">
        <w:rPr>
          <w:position w:val="-32"/>
        </w:rPr>
        <w:object w:dxaOrig="1939" w:dyaOrig="760">
          <v:shape id="_x0000_i1039" type="#_x0000_t75" style="width:96.75pt;height:38.25pt" o:ole="">
            <v:imagedata r:id="rId36" o:title=""/>
          </v:shape>
          <o:OLEObject Type="Embed" ProgID="Equation.3" ShapeID="_x0000_i1039" DrawAspect="Content" ObjectID="_1519029501" r:id="rId37"/>
        </w:object>
      </w:r>
    </w:p>
    <w:p w:rsidR="00D74099" w:rsidRDefault="00D74099" w:rsidP="00CE33BD">
      <w:pPr>
        <w:spacing w:line="360" w:lineRule="auto"/>
        <w:jc w:val="both"/>
      </w:pPr>
    </w:p>
    <w:p w:rsidR="00220252" w:rsidRPr="00844BD4" w:rsidRDefault="00E87EB6" w:rsidP="00CE33BD">
      <w:pPr>
        <w:spacing w:line="360" w:lineRule="auto"/>
        <w:jc w:val="both"/>
      </w:pPr>
      <w:r w:rsidRPr="00844BD4">
        <w:t xml:space="preserve">where </w:t>
      </w:r>
      <w:r w:rsidRPr="00844BD4">
        <w:rPr>
          <w:rFonts w:ascii="Arial" w:hAnsi="Arial" w:cs="Arial"/>
          <w:b/>
        </w:rPr>
        <w:t>x</w:t>
      </w:r>
      <w:r w:rsidRPr="00844BD4">
        <w:rPr>
          <w:rFonts w:ascii="Arial" w:hAnsi="Arial" w:cs="Arial"/>
          <w:b/>
          <w:vertAlign w:val="subscript"/>
        </w:rPr>
        <w:t>no</w:t>
      </w:r>
      <w:r w:rsidRPr="00844BD4">
        <w:t xml:space="preserve"> represents the endogenous total output of the non-constrained sectors 1 and 2 in region R and the endogenous total output of sector 1 in region S; </w:t>
      </w:r>
      <w:r w:rsidR="00D9689C" w:rsidRPr="00844BD4">
        <w:rPr>
          <w:position w:val="-10"/>
        </w:rPr>
        <w:object w:dxaOrig="320" w:dyaOrig="360">
          <v:shape id="_x0000_i1040" type="#_x0000_t75" style="width:15.75pt;height:18.75pt" o:ole="">
            <v:imagedata r:id="rId38" o:title=""/>
          </v:shape>
          <o:OLEObject Type="Embed" ProgID="Equation.3" ShapeID="_x0000_i1040" DrawAspect="Content" ObjectID="_1519029502" r:id="rId39"/>
        </w:object>
      </w:r>
      <w:r w:rsidRPr="00844BD4">
        <w:t xml:space="preserve"> stands for the endogenous total final demand of regions R and S of the constrained sector </w:t>
      </w:r>
      <w:r w:rsidR="00D502F2" w:rsidRPr="00844BD4">
        <w:t>(i.e</w:t>
      </w:r>
      <w:r w:rsidR="00D57AF5" w:rsidRPr="00844BD4">
        <w:t>.</w:t>
      </w:r>
      <w:r w:rsidR="00D502F2" w:rsidRPr="00844BD4">
        <w:t xml:space="preserve"> sector </w:t>
      </w:r>
      <w:r w:rsidRPr="00844BD4">
        <w:t>2 in region S</w:t>
      </w:r>
      <w:r w:rsidR="00D502F2" w:rsidRPr="00844BD4">
        <w:t>)</w:t>
      </w:r>
      <w:r w:rsidRPr="00844BD4">
        <w:t xml:space="preserve">; </w:t>
      </w:r>
      <w:r w:rsidR="00D9689C" w:rsidRPr="00844BD4">
        <w:rPr>
          <w:position w:val="-10"/>
        </w:rPr>
        <w:object w:dxaOrig="300" w:dyaOrig="360">
          <v:shape id="_x0000_i1041" type="#_x0000_t75" style="width:15pt;height:18.75pt" o:ole="">
            <v:imagedata r:id="rId40" o:title=""/>
          </v:shape>
          <o:OLEObject Type="Embed" ProgID="Equation.3" ShapeID="_x0000_i1041" DrawAspect="Content" ObjectID="_1519029503" r:id="rId41"/>
        </w:object>
      </w:r>
      <w:r w:rsidRPr="00844BD4">
        <w:rPr>
          <w:rFonts w:ascii="Arial" w:hAnsi="Arial" w:cs="Arial"/>
          <w:b/>
        </w:rPr>
        <w:t xml:space="preserve"> </w:t>
      </w:r>
      <w:r w:rsidRPr="00844BD4">
        <w:t>indicates the exogenous total output of the constrained sector (sector 2 in region S</w:t>
      </w:r>
      <w:r w:rsidR="00D502F2" w:rsidRPr="00844BD4">
        <w:t>)</w:t>
      </w:r>
      <w:r w:rsidRPr="00844BD4">
        <w:t xml:space="preserve">; and </w:t>
      </w:r>
      <w:r w:rsidRPr="00844BD4">
        <w:rPr>
          <w:rFonts w:ascii="Arial" w:hAnsi="Arial" w:cs="Arial"/>
          <w:b/>
        </w:rPr>
        <w:t>y</w:t>
      </w:r>
      <w:r w:rsidRPr="00844BD4">
        <w:rPr>
          <w:rFonts w:ascii="Arial" w:hAnsi="Arial" w:cs="Arial"/>
          <w:b/>
          <w:vertAlign w:val="subscript"/>
        </w:rPr>
        <w:t>no</w:t>
      </w:r>
      <w:r w:rsidRPr="00844BD4">
        <w:t xml:space="preserve"> depicts the exogenous final demand of regions R and S </w:t>
      </w:r>
      <w:r w:rsidR="00BC3AA4" w:rsidRPr="00844BD4">
        <w:t xml:space="preserve">for </w:t>
      </w:r>
      <w:r w:rsidRPr="00844BD4">
        <w:t>the goods produced by sectors 1 and 2 in region R, as well as that of sector 1 in region S.</w:t>
      </w:r>
    </w:p>
    <w:p w:rsidR="00E87EB6" w:rsidRDefault="00220252" w:rsidP="00CE33BD">
      <w:pPr>
        <w:spacing w:line="360" w:lineRule="auto"/>
        <w:ind w:firstLine="567"/>
        <w:jc w:val="both"/>
      </w:pPr>
      <w:r w:rsidRPr="00844BD4">
        <w:t>F</w:t>
      </w:r>
      <w:r w:rsidR="00E87EB6" w:rsidRPr="00844BD4">
        <w:t xml:space="preserve">ollowing </w:t>
      </w:r>
      <w:r w:rsidR="00861B70">
        <w:t xml:space="preserve">Miller and Blair (2009, pp. 623-624) </w:t>
      </w:r>
      <w:r w:rsidR="00B87B5A" w:rsidRPr="00844BD4">
        <w:t>and using results on partitioned matrix inverses</w:t>
      </w:r>
      <w:r w:rsidR="00BC3AA4" w:rsidRPr="00844BD4">
        <w:t>,</w:t>
      </w:r>
      <w:r w:rsidR="00B87B5A" w:rsidRPr="00844BD4">
        <w:t xml:space="preserve"> </w:t>
      </w:r>
      <w:r w:rsidR="00E87EB6" w:rsidRPr="00844BD4">
        <w:t>it can be shown that</w:t>
      </w:r>
      <w:r w:rsidR="00BC3AA4" w:rsidRPr="00844BD4">
        <w:t>:</w:t>
      </w:r>
    </w:p>
    <w:p w:rsidR="00D74099" w:rsidRPr="00844BD4" w:rsidRDefault="00D74099" w:rsidP="00CE33BD">
      <w:pPr>
        <w:spacing w:line="360" w:lineRule="auto"/>
        <w:ind w:firstLine="567"/>
        <w:jc w:val="both"/>
      </w:pPr>
    </w:p>
    <w:p w:rsidR="00E87EB6" w:rsidRPr="00844BD4" w:rsidRDefault="00B87B5A" w:rsidP="00E87EB6">
      <w:pPr>
        <w:spacing w:before="120" w:line="480" w:lineRule="auto"/>
        <w:jc w:val="both"/>
      </w:pPr>
      <w:r w:rsidRPr="00844BD4">
        <w:rPr>
          <w:position w:val="-68"/>
        </w:rPr>
        <w:object w:dxaOrig="3260" w:dyaOrig="1480">
          <v:shape id="_x0000_i1042" type="#_x0000_t75" style="width:162pt;height:74.25pt" o:ole="">
            <v:imagedata r:id="rId42" o:title=""/>
          </v:shape>
          <o:OLEObject Type="Embed" ProgID="Equation.3" ShapeID="_x0000_i1042" DrawAspect="Content" ObjectID="_1519029504" r:id="rId43"/>
        </w:object>
      </w:r>
      <w:r w:rsidR="00E87EB6" w:rsidRPr="00844BD4">
        <w:tab/>
      </w:r>
      <w:r w:rsidR="00E87EB6" w:rsidRPr="00844BD4">
        <w:tab/>
      </w:r>
      <w:r w:rsidR="00E87EB6" w:rsidRPr="00844BD4">
        <w:tab/>
      </w:r>
      <w:r w:rsidR="00E87EB6" w:rsidRPr="00844BD4">
        <w:tab/>
      </w:r>
      <w:r w:rsidR="00E87EB6" w:rsidRPr="00844BD4">
        <w:tab/>
      </w:r>
      <w:r w:rsidR="00E87EB6" w:rsidRPr="00844BD4">
        <w:tab/>
      </w:r>
      <w:r w:rsidR="00D74099">
        <w:tab/>
      </w:r>
      <w:r w:rsidR="00D74099">
        <w:tab/>
      </w:r>
      <w:r w:rsidR="00E87EB6" w:rsidRPr="00844BD4">
        <w:t>[7]</w:t>
      </w:r>
    </w:p>
    <w:p w:rsidR="005A6BD4" w:rsidRDefault="00E87EB6" w:rsidP="00CE33BD">
      <w:pPr>
        <w:spacing w:line="360" w:lineRule="auto"/>
        <w:jc w:val="both"/>
      </w:pPr>
      <w:r w:rsidRPr="00844BD4">
        <w:t>where</w:t>
      </w:r>
    </w:p>
    <w:p w:rsidR="00B87B5A" w:rsidRPr="00844BD4" w:rsidRDefault="00E87EB6" w:rsidP="00CE33BD">
      <w:pPr>
        <w:spacing w:line="360" w:lineRule="auto"/>
        <w:jc w:val="both"/>
      </w:pPr>
      <w:r w:rsidRPr="00844BD4">
        <w:t xml:space="preserve"> </w:t>
      </w:r>
    </w:p>
    <w:p w:rsidR="00B87B5A" w:rsidRPr="00844BD4" w:rsidRDefault="00B87B5A" w:rsidP="00E87EB6">
      <w:pPr>
        <w:spacing w:before="120" w:line="480" w:lineRule="auto"/>
        <w:jc w:val="both"/>
      </w:pPr>
      <w:r w:rsidRPr="00844BD4">
        <w:rPr>
          <w:position w:val="-52"/>
        </w:rPr>
        <w:object w:dxaOrig="2760" w:dyaOrig="1160">
          <v:shape id="_x0000_i1043" type="#_x0000_t75" style="width:138.75pt;height:57.75pt" o:ole="">
            <v:imagedata r:id="rId44" o:title=""/>
          </v:shape>
          <o:OLEObject Type="Embed" ProgID="Equation.3" ShapeID="_x0000_i1043" DrawAspect="Content" ObjectID="_1519029505" r:id="rId45"/>
        </w:object>
      </w:r>
    </w:p>
    <w:p w:rsidR="005A6BD4" w:rsidRDefault="005A6BD4" w:rsidP="00CE33BD">
      <w:pPr>
        <w:spacing w:line="360" w:lineRule="auto"/>
        <w:jc w:val="both"/>
      </w:pPr>
    </w:p>
    <w:p w:rsidR="00E87EB6" w:rsidRDefault="00E87EB6" w:rsidP="00CE33BD">
      <w:pPr>
        <w:spacing w:line="360" w:lineRule="auto"/>
        <w:jc w:val="both"/>
      </w:pPr>
      <w:r w:rsidRPr="00844BD4">
        <w:t xml:space="preserve">is the Leontief inverse for a model consisting </w:t>
      </w:r>
      <w:r w:rsidR="00BC3AA4" w:rsidRPr="00844BD4">
        <w:t xml:space="preserve">of </w:t>
      </w:r>
      <w:r w:rsidRPr="00844BD4">
        <w:t xml:space="preserve">the </w:t>
      </w:r>
      <w:r w:rsidR="005A6BD4">
        <w:t>three</w:t>
      </w:r>
      <w:r w:rsidRPr="00844BD4">
        <w:t xml:space="preserve"> non</w:t>
      </w:r>
      <w:r w:rsidR="00BC3AA4" w:rsidRPr="00844BD4">
        <w:t>-</w:t>
      </w:r>
      <w:r w:rsidRPr="00844BD4">
        <w:t>constrained sectors.</w:t>
      </w:r>
      <w:r w:rsidR="00B87B5A" w:rsidRPr="00844BD4">
        <w:rPr>
          <w:rStyle w:val="FootnoteReference"/>
        </w:rPr>
        <w:footnoteReference w:id="2"/>
      </w:r>
      <w:r w:rsidR="005A6BD4">
        <w:t xml:space="preserve"> </w:t>
      </w:r>
      <w:r w:rsidRPr="00844BD4">
        <w:t>From [6] and [7], it follows that the output of the non-constrained sectors is given by</w:t>
      </w:r>
    </w:p>
    <w:p w:rsidR="005A6BD4" w:rsidRPr="00844BD4" w:rsidRDefault="005A6BD4" w:rsidP="00CE33BD">
      <w:pPr>
        <w:spacing w:line="360" w:lineRule="auto"/>
        <w:jc w:val="both"/>
      </w:pPr>
    </w:p>
    <w:p w:rsidR="00E87EB6" w:rsidRPr="00844BD4" w:rsidRDefault="002A57A7" w:rsidP="00E87EB6">
      <w:pPr>
        <w:spacing w:before="120" w:line="480" w:lineRule="auto"/>
        <w:jc w:val="both"/>
      </w:pPr>
      <w:r w:rsidRPr="00844BD4">
        <w:rPr>
          <w:position w:val="-56"/>
        </w:rPr>
        <w:object w:dxaOrig="4940" w:dyaOrig="1240">
          <v:shape id="_x0000_i1044" type="#_x0000_t75" style="width:246.75pt;height:62.25pt" o:ole="">
            <v:imagedata r:id="rId46" o:title=""/>
          </v:shape>
          <o:OLEObject Type="Embed" ProgID="Equation.3" ShapeID="_x0000_i1044" DrawAspect="Content" ObjectID="_1519029506" r:id="rId47"/>
        </w:object>
      </w:r>
      <w:r w:rsidR="00E87EB6" w:rsidRPr="00844BD4">
        <w:tab/>
      </w:r>
      <w:r w:rsidR="00E87EB6" w:rsidRPr="00844BD4">
        <w:tab/>
      </w:r>
      <w:r w:rsidR="00E87EB6" w:rsidRPr="00844BD4">
        <w:tab/>
      </w:r>
      <w:r w:rsidR="00E87EB6" w:rsidRPr="00844BD4">
        <w:tab/>
      </w:r>
      <w:r w:rsidR="00E87EB6" w:rsidRPr="00844BD4">
        <w:tab/>
      </w:r>
      <w:r w:rsidR="00E87EB6" w:rsidRPr="00844BD4">
        <w:tab/>
        <w:t>[8]</w:t>
      </w:r>
    </w:p>
    <w:p w:rsidR="005A6BD4" w:rsidRDefault="005A6BD4" w:rsidP="00CE33BD">
      <w:pPr>
        <w:spacing w:line="360" w:lineRule="auto"/>
        <w:jc w:val="both"/>
      </w:pPr>
    </w:p>
    <w:p w:rsidR="00E87EB6" w:rsidRPr="00844BD4" w:rsidRDefault="00E87EB6" w:rsidP="00CE33BD">
      <w:pPr>
        <w:spacing w:line="360" w:lineRule="auto"/>
        <w:jc w:val="both"/>
      </w:pPr>
      <w:r w:rsidRPr="00844BD4">
        <w:t>E</w:t>
      </w:r>
      <w:r w:rsidR="005A6BD4">
        <w:t>quation</w:t>
      </w:r>
      <w:r w:rsidRPr="00844BD4">
        <w:t xml:space="preserve"> [8] determines the output of the non-constrained sectors in R and S, on the basis of the output of the supply</w:t>
      </w:r>
      <w:r w:rsidR="00BC3AA4" w:rsidRPr="00844BD4">
        <w:t>-</w:t>
      </w:r>
      <w:r w:rsidRPr="00844BD4">
        <w:t xml:space="preserve">constrained sector (i.e. sector 2 of region S) and the total final demand </w:t>
      </w:r>
      <w:r w:rsidR="00BC3AA4" w:rsidRPr="00844BD4">
        <w:t xml:space="preserve">for </w:t>
      </w:r>
      <w:r w:rsidRPr="00844BD4">
        <w:t>goods produced by non-constrained sectors.</w:t>
      </w:r>
      <w:r w:rsidRPr="00844BD4">
        <w:rPr>
          <w:rStyle w:val="FootnoteReference"/>
        </w:rPr>
        <w:footnoteReference w:id="3"/>
      </w:r>
    </w:p>
    <w:p w:rsidR="005A6BD4" w:rsidRDefault="00BE179D" w:rsidP="00CE33BD">
      <w:pPr>
        <w:spacing w:line="360" w:lineRule="auto"/>
        <w:ind w:firstLine="567"/>
        <w:jc w:val="both"/>
      </w:pPr>
      <w:r w:rsidRPr="00844BD4">
        <w:t xml:space="preserve">We can apply this model </w:t>
      </w:r>
      <w:r w:rsidR="00562285" w:rsidRPr="00844BD4">
        <w:t xml:space="preserve">to </w:t>
      </w:r>
      <w:r w:rsidRPr="00844BD4">
        <w:t>the case of</w:t>
      </w:r>
      <w:r w:rsidR="00E87EB6" w:rsidRPr="00844BD4">
        <w:t xml:space="preserve"> a reduction in the output of the constrained sector (</w:t>
      </w:r>
      <w:r w:rsidR="00D9689C" w:rsidRPr="00844BD4">
        <w:rPr>
          <w:position w:val="-10"/>
        </w:rPr>
        <w:object w:dxaOrig="840" w:dyaOrig="360">
          <v:shape id="_x0000_i1045" type="#_x0000_t75" style="width:42.75pt;height:18.75pt" o:ole="">
            <v:imagedata r:id="rId48" o:title=""/>
          </v:shape>
          <o:OLEObject Type="Embed" ProgID="Equation.3" ShapeID="_x0000_i1045" DrawAspect="Content" ObjectID="_1519029507" r:id="rId49"/>
        </w:object>
      </w:r>
      <w:r w:rsidR="00E87EB6" w:rsidRPr="00844BD4">
        <w:t>),</w:t>
      </w:r>
      <w:r w:rsidRPr="00844BD4">
        <w:t xml:space="preserve"> </w:t>
      </w:r>
      <w:r w:rsidR="00E87EB6" w:rsidRPr="00844BD4">
        <w:t>with the final demand of the non-constrained sectors remaining constant (</w:t>
      </w:r>
      <w:r w:rsidR="00E87EB6" w:rsidRPr="00844BD4">
        <w:rPr>
          <w:position w:val="-12"/>
        </w:rPr>
        <w:object w:dxaOrig="920" w:dyaOrig="360">
          <v:shape id="_x0000_i1046" type="#_x0000_t75" style="width:45.75pt;height:18.75pt" o:ole="">
            <v:imagedata r:id="rId50" o:title=""/>
          </v:shape>
          <o:OLEObject Type="Embed" ProgID="Equation.3" ShapeID="_x0000_i1046" DrawAspect="Content" ObjectID="_1519029508" r:id="rId51"/>
        </w:object>
      </w:r>
      <w:r w:rsidR="00E87EB6" w:rsidRPr="00844BD4">
        <w:t xml:space="preserve">). In such a case, it follows </w:t>
      </w:r>
      <w:r w:rsidR="005A6BD4" w:rsidRPr="00844BD4">
        <w:t xml:space="preserve">from [8] </w:t>
      </w:r>
      <w:r w:rsidR="00E87EB6" w:rsidRPr="00844BD4">
        <w:t>that the reduction in the output of the non-constrained sectors w</w:t>
      </w:r>
      <w:r w:rsidR="005A6BD4">
        <w:t>ill</w:t>
      </w:r>
      <w:r w:rsidR="00E87EB6" w:rsidRPr="00844BD4">
        <w:t xml:space="preserve"> be</w:t>
      </w:r>
    </w:p>
    <w:p w:rsidR="00E87EB6" w:rsidRPr="00844BD4" w:rsidRDefault="00E87EB6" w:rsidP="00CE33BD">
      <w:pPr>
        <w:spacing w:line="360" w:lineRule="auto"/>
        <w:ind w:firstLine="567"/>
        <w:jc w:val="both"/>
      </w:pPr>
    </w:p>
    <w:p w:rsidR="00E87EB6" w:rsidRPr="00844BD4" w:rsidRDefault="002A57A7" w:rsidP="00E87EB6">
      <w:pPr>
        <w:spacing w:before="120" w:line="480" w:lineRule="auto"/>
        <w:jc w:val="both"/>
      </w:pPr>
      <w:r w:rsidRPr="00844BD4">
        <w:rPr>
          <w:position w:val="-56"/>
        </w:rPr>
        <w:object w:dxaOrig="4020" w:dyaOrig="1240">
          <v:shape id="_x0000_i1047" type="#_x0000_t75" style="width:201pt;height:62.25pt" o:ole="">
            <v:imagedata r:id="rId52" o:title=""/>
          </v:shape>
          <o:OLEObject Type="Embed" ProgID="Equation.3" ShapeID="_x0000_i1047" DrawAspect="Content" ObjectID="_1519029509" r:id="rId53"/>
        </w:object>
      </w:r>
      <w:r w:rsidR="00E87EB6" w:rsidRPr="00844BD4">
        <w:tab/>
      </w:r>
      <w:r w:rsidR="00E87EB6" w:rsidRPr="00844BD4">
        <w:tab/>
      </w:r>
      <w:r w:rsidR="00E87EB6" w:rsidRPr="00844BD4">
        <w:tab/>
      </w:r>
      <w:r w:rsidRPr="00844BD4">
        <w:tab/>
      </w:r>
      <w:r w:rsidR="00E87EB6" w:rsidRPr="00844BD4">
        <w:tab/>
      </w:r>
      <w:r w:rsidR="00E87EB6" w:rsidRPr="00844BD4">
        <w:tab/>
        <w:t>[9]</w:t>
      </w:r>
    </w:p>
    <w:p w:rsidR="005A6BD4" w:rsidRDefault="005A6BD4" w:rsidP="00CE33BD">
      <w:pPr>
        <w:spacing w:line="360" w:lineRule="auto"/>
        <w:jc w:val="both"/>
      </w:pPr>
    </w:p>
    <w:p w:rsidR="004C643D" w:rsidRDefault="004C643D" w:rsidP="00CE33BD">
      <w:pPr>
        <w:spacing w:line="360" w:lineRule="auto"/>
        <w:jc w:val="both"/>
      </w:pPr>
      <w:r w:rsidRPr="00844BD4">
        <w:t>which can also be expressed as</w:t>
      </w:r>
    </w:p>
    <w:p w:rsidR="005A6BD4" w:rsidRPr="00844BD4" w:rsidRDefault="005A6BD4" w:rsidP="00CE33BD">
      <w:pPr>
        <w:spacing w:line="360" w:lineRule="auto"/>
        <w:jc w:val="both"/>
      </w:pPr>
    </w:p>
    <w:p w:rsidR="00B87B5A" w:rsidRPr="00844BD4" w:rsidRDefault="00D9689C" w:rsidP="00CE33BD">
      <w:pPr>
        <w:spacing w:line="360" w:lineRule="auto"/>
        <w:jc w:val="both"/>
      </w:pPr>
      <w:r w:rsidRPr="00844BD4">
        <w:rPr>
          <w:position w:val="-12"/>
        </w:rPr>
        <w:object w:dxaOrig="1840" w:dyaOrig="380">
          <v:shape id="_x0000_i1048" type="#_x0000_t75" style="width:92.25pt;height:18.75pt" o:ole="">
            <v:imagedata r:id="rId54" o:title=""/>
          </v:shape>
          <o:OLEObject Type="Embed" ProgID="Equation.3" ShapeID="_x0000_i1048" DrawAspect="Content" ObjectID="_1519029510" r:id="rId55"/>
        </w:object>
      </w:r>
    </w:p>
    <w:p w:rsidR="005A6BD4" w:rsidRDefault="005A6BD4" w:rsidP="00CE33BD">
      <w:pPr>
        <w:spacing w:line="360" w:lineRule="auto"/>
        <w:jc w:val="both"/>
      </w:pPr>
    </w:p>
    <w:p w:rsidR="00E87EB6" w:rsidRPr="00844BD4" w:rsidRDefault="00A65722" w:rsidP="00CE33BD">
      <w:pPr>
        <w:spacing w:line="360" w:lineRule="auto"/>
        <w:jc w:val="both"/>
      </w:pPr>
      <w:r>
        <w:t>T</w:t>
      </w:r>
      <w:r w:rsidR="00E87EB6" w:rsidRPr="00844BD4">
        <w:t xml:space="preserve">he vector </w:t>
      </w:r>
      <w:r w:rsidR="00D9689C" w:rsidRPr="00844BD4">
        <w:rPr>
          <w:position w:val="-12"/>
        </w:rPr>
        <w:object w:dxaOrig="780" w:dyaOrig="380">
          <v:shape id="_x0000_i1049" type="#_x0000_t75" style="width:39pt;height:18.75pt" o:ole="">
            <v:imagedata r:id="rId56" o:title=""/>
          </v:shape>
          <o:OLEObject Type="Embed" ProgID="Equation.3" ShapeID="_x0000_i1049" DrawAspect="Content" ObjectID="_1519029511" r:id="rId57"/>
        </w:object>
      </w:r>
      <w:r w:rsidR="00E87EB6" w:rsidRPr="00844BD4">
        <w:t>of equation [</w:t>
      </w:r>
      <w:r w:rsidR="004C643D" w:rsidRPr="00844BD4">
        <w:t>9</w:t>
      </w:r>
      <w:r w:rsidR="00E87EB6" w:rsidRPr="00844BD4">
        <w:t>] translates the reduction in the output of the constrained sector into changes in its demand for inputs from non-constrained sectors</w:t>
      </w:r>
      <w:r>
        <w:t>,</w:t>
      </w:r>
      <w:r w:rsidR="005D0337">
        <w:t xml:space="preserve"> and</w:t>
      </w:r>
      <w:r w:rsidR="00E87EB6" w:rsidRPr="00844BD4">
        <w:t xml:space="preserve"> the inverse of the non-constrained sectors converts input demand into total necessary gross output from those sectors. In other words, equation [</w:t>
      </w:r>
      <w:r w:rsidR="00576396" w:rsidRPr="00844BD4">
        <w:t>9</w:t>
      </w:r>
      <w:r w:rsidR="00E87EB6" w:rsidRPr="00844BD4">
        <w:t xml:space="preserve">] computes the </w:t>
      </w:r>
      <w:r w:rsidR="00220252" w:rsidRPr="00844BD4">
        <w:t xml:space="preserve">direct and indirect </w:t>
      </w:r>
      <w:r w:rsidR="009E122A" w:rsidRPr="00844BD4">
        <w:t xml:space="preserve">backward </w:t>
      </w:r>
      <w:r w:rsidR="00A17E67" w:rsidRPr="00844BD4">
        <w:t>impacts</w:t>
      </w:r>
      <w:r w:rsidR="00E87EB6" w:rsidRPr="00844BD4">
        <w:t xml:space="preserve"> in terms of c</w:t>
      </w:r>
      <w:r w:rsidR="00C10398" w:rsidRPr="00844BD4">
        <w:t>hanges in the output of the non-</w:t>
      </w:r>
      <w:r w:rsidR="00E87EB6" w:rsidRPr="00844BD4">
        <w:t>constrained sectors due to changes in the intermediate demands of the constrained sector. For instance, applying th</w:t>
      </w:r>
      <w:r w:rsidR="00562285" w:rsidRPr="00844BD4">
        <w:t>is</w:t>
      </w:r>
      <w:r w:rsidR="00E87EB6" w:rsidRPr="00844BD4">
        <w:t xml:space="preserve"> model to the assessment of the effects of the reduction of the </w:t>
      </w:r>
      <w:r w:rsidR="00983EC3" w:rsidRPr="00844BD4">
        <w:t xml:space="preserve">TEI's </w:t>
      </w:r>
      <w:r w:rsidR="00E87EB6" w:rsidRPr="00844BD4">
        <w:t xml:space="preserve">output in Japan, we would obtain the direct and indirect </w:t>
      </w:r>
      <w:r w:rsidR="00220252" w:rsidRPr="00844BD4">
        <w:t xml:space="preserve">reduction </w:t>
      </w:r>
      <w:r w:rsidR="00E87EB6" w:rsidRPr="00844BD4">
        <w:t>in the output of</w:t>
      </w:r>
      <w:r w:rsidR="00562285" w:rsidRPr="00844BD4">
        <w:t xml:space="preserve"> all</w:t>
      </w:r>
      <w:r w:rsidR="00E87EB6" w:rsidRPr="00844BD4">
        <w:t xml:space="preserve"> the sectors involved in supplying intermediates to </w:t>
      </w:r>
      <w:r w:rsidR="00562285" w:rsidRPr="00844BD4">
        <w:t>the Japanese TEI</w:t>
      </w:r>
      <w:r w:rsidR="00E87EB6" w:rsidRPr="00844BD4">
        <w:t>.</w:t>
      </w:r>
    </w:p>
    <w:p w:rsidR="00D502F2" w:rsidRDefault="00C0421D" w:rsidP="00CE33BD">
      <w:pPr>
        <w:spacing w:line="360" w:lineRule="auto"/>
        <w:ind w:firstLine="567"/>
        <w:jc w:val="both"/>
      </w:pPr>
      <w:r>
        <w:t>In addition</w:t>
      </w:r>
      <w:r w:rsidR="00E87EB6" w:rsidRPr="00844BD4">
        <w:t>, we can also calculate the effects in terms of value</w:t>
      </w:r>
      <w:r w:rsidR="001E2A70" w:rsidRPr="00844BD4">
        <w:t xml:space="preserve"> added</w:t>
      </w:r>
      <w:r w:rsidR="00E87EB6" w:rsidRPr="00844BD4">
        <w:t xml:space="preserve">. For that purpose, we define the value added coefficients as </w:t>
      </w:r>
      <w:r w:rsidR="00E87EB6" w:rsidRPr="00844BD4">
        <w:rPr>
          <w:position w:val="-10"/>
        </w:rPr>
        <w:object w:dxaOrig="1120" w:dyaOrig="400">
          <v:shape id="_x0000_i1050" type="#_x0000_t75" style="width:56.25pt;height:20.25pt" o:ole="">
            <v:imagedata r:id="rId58" o:title=""/>
          </v:shape>
          <o:OLEObject Type="Embed" ProgID="Equation.3" ShapeID="_x0000_i1050" DrawAspect="Content" ObjectID="_1519029512" r:id="rId59"/>
        </w:object>
      </w:r>
      <w:r w:rsidR="00E87EB6" w:rsidRPr="00844BD4">
        <w:t xml:space="preserve">. </w:t>
      </w:r>
      <w:r w:rsidR="00D502F2" w:rsidRPr="00844BD4">
        <w:t xml:space="preserve">Thus, the </w:t>
      </w:r>
      <w:r w:rsidR="00D57AF5" w:rsidRPr="00844BD4">
        <w:t>backward impact in the</w:t>
      </w:r>
      <w:r w:rsidR="00D502F2" w:rsidRPr="00844BD4">
        <w:t xml:space="preserve"> value added of the non-constrained sectors due to a shock in the output of the constrained sectors will be given by the following expression:</w:t>
      </w:r>
    </w:p>
    <w:p w:rsidR="005C7F82" w:rsidRPr="00844BD4" w:rsidRDefault="005C7F82" w:rsidP="00CE33BD">
      <w:pPr>
        <w:spacing w:line="360" w:lineRule="auto"/>
        <w:ind w:firstLine="567"/>
        <w:jc w:val="both"/>
      </w:pPr>
    </w:p>
    <w:p w:rsidR="00D502F2" w:rsidRPr="00844BD4" w:rsidRDefault="002A57A7" w:rsidP="00CE33BD">
      <w:pPr>
        <w:spacing w:line="360" w:lineRule="auto"/>
        <w:jc w:val="both"/>
      </w:pPr>
      <w:r w:rsidRPr="00844BD4">
        <w:rPr>
          <w:position w:val="-12"/>
        </w:rPr>
        <w:object w:dxaOrig="2240" w:dyaOrig="380">
          <v:shape id="_x0000_i1051" type="#_x0000_t75" style="width:111.75pt;height:18.75pt" o:ole="">
            <v:imagedata r:id="rId60" o:title=""/>
          </v:shape>
          <o:OLEObject Type="Embed" ProgID="Equation.3" ShapeID="_x0000_i1051" DrawAspect="Content" ObjectID="_1519029513" r:id="rId61"/>
        </w:object>
      </w:r>
      <w:r w:rsidR="00D502F2" w:rsidRPr="00844BD4">
        <w:tab/>
      </w:r>
      <w:r w:rsidR="00D502F2" w:rsidRPr="00844BD4">
        <w:tab/>
      </w:r>
      <w:r w:rsidR="00D502F2" w:rsidRPr="00844BD4">
        <w:tab/>
      </w:r>
      <w:r w:rsidR="005C7F82">
        <w:tab/>
      </w:r>
      <w:r w:rsidR="005C7F82">
        <w:tab/>
      </w:r>
      <w:r w:rsidR="005C7F82">
        <w:tab/>
      </w:r>
      <w:r w:rsidR="005C7F82">
        <w:tab/>
      </w:r>
      <w:r w:rsidR="005C7F82">
        <w:tab/>
      </w:r>
      <w:r w:rsidR="005C7F82">
        <w:tab/>
      </w:r>
      <w:r w:rsidR="00D502F2" w:rsidRPr="00844BD4">
        <w:t>[10]</w:t>
      </w:r>
    </w:p>
    <w:p w:rsidR="005C7F82" w:rsidRDefault="005C7F82" w:rsidP="00CE33BD">
      <w:pPr>
        <w:spacing w:line="360" w:lineRule="auto"/>
        <w:jc w:val="both"/>
      </w:pPr>
    </w:p>
    <w:p w:rsidR="009E122A" w:rsidRPr="00844BD4" w:rsidRDefault="00220252" w:rsidP="00CE33BD">
      <w:pPr>
        <w:spacing w:line="360" w:lineRule="auto"/>
        <w:jc w:val="both"/>
      </w:pPr>
      <w:r w:rsidRPr="00844BD4">
        <w:t>This backward impact</w:t>
      </w:r>
      <w:r w:rsidR="009E122A" w:rsidRPr="00844BD4">
        <w:t xml:space="preserve"> can be </w:t>
      </w:r>
      <w:r w:rsidRPr="00844BD4">
        <w:t>split into two components</w:t>
      </w:r>
      <w:r w:rsidR="009E122A" w:rsidRPr="00844BD4">
        <w:t xml:space="preserve">: </w:t>
      </w:r>
    </w:p>
    <w:p w:rsidR="009E122A" w:rsidRPr="00844BD4" w:rsidRDefault="00C239E1" w:rsidP="00CE33BD">
      <w:pPr>
        <w:numPr>
          <w:ilvl w:val="0"/>
          <w:numId w:val="1"/>
        </w:numPr>
        <w:spacing w:line="360" w:lineRule="auto"/>
        <w:jc w:val="both"/>
      </w:pPr>
      <w:r>
        <w:t>Standard b</w:t>
      </w:r>
      <w:r w:rsidR="00D57AF5" w:rsidRPr="00844BD4">
        <w:t xml:space="preserve">ackward </w:t>
      </w:r>
      <w:r w:rsidR="009F3773" w:rsidRPr="00844BD4">
        <w:t>d</w:t>
      </w:r>
      <w:r w:rsidR="003D6385" w:rsidRPr="00844BD4">
        <w:t>irect</w:t>
      </w:r>
      <w:r w:rsidR="009E122A" w:rsidRPr="00844BD4">
        <w:t xml:space="preserve"> impact </w:t>
      </w:r>
      <w:r w:rsidR="00D9689C" w:rsidRPr="00844BD4">
        <w:rPr>
          <w:position w:val="-12"/>
        </w:rPr>
        <w:object w:dxaOrig="1120" w:dyaOrig="380">
          <v:shape id="_x0000_i1052" type="#_x0000_t75" style="width:56.25pt;height:18.75pt" o:ole="">
            <v:imagedata r:id="rId62" o:title=""/>
          </v:shape>
          <o:OLEObject Type="Embed" ProgID="Equation.3" ShapeID="_x0000_i1052" DrawAspect="Content" ObjectID="_1519029514" r:id="rId63"/>
        </w:object>
      </w:r>
      <w:r w:rsidR="009E122A" w:rsidRPr="00844BD4">
        <w:t xml:space="preserve">, which captures the change in the value added of the </w:t>
      </w:r>
      <w:r w:rsidR="00AA490E" w:rsidRPr="00844BD4">
        <w:t>non-constrained</w:t>
      </w:r>
      <w:r w:rsidR="009E122A" w:rsidRPr="00844BD4">
        <w:t xml:space="preserve"> sectors </w:t>
      </w:r>
      <w:r w:rsidR="00AA490E" w:rsidRPr="00844BD4">
        <w:t>supplying</w:t>
      </w:r>
      <w:r w:rsidR="009E122A" w:rsidRPr="00844BD4">
        <w:t xml:space="preserve"> inputs </w:t>
      </w:r>
      <w:r w:rsidR="00AA490E" w:rsidRPr="00844BD4">
        <w:t xml:space="preserve">directly </w:t>
      </w:r>
      <w:r w:rsidR="009E122A" w:rsidRPr="00844BD4">
        <w:t>to the sector impacted by the shock;</w:t>
      </w:r>
    </w:p>
    <w:p w:rsidR="00155AA9" w:rsidRPr="00844BD4" w:rsidRDefault="00C239E1" w:rsidP="00CE33BD">
      <w:pPr>
        <w:numPr>
          <w:ilvl w:val="0"/>
          <w:numId w:val="1"/>
        </w:numPr>
        <w:spacing w:line="360" w:lineRule="auto"/>
        <w:jc w:val="both"/>
      </w:pPr>
      <w:r>
        <w:t>Standard b</w:t>
      </w:r>
      <w:r w:rsidR="00D57AF5" w:rsidRPr="00844BD4">
        <w:t xml:space="preserve">ackward </w:t>
      </w:r>
      <w:r w:rsidR="009F3773" w:rsidRPr="00844BD4">
        <w:t>i</w:t>
      </w:r>
      <w:r w:rsidR="003D6385" w:rsidRPr="00844BD4">
        <w:t xml:space="preserve">ndirect </w:t>
      </w:r>
      <w:r w:rsidR="00CE33BD" w:rsidRPr="00844BD4">
        <w:t>impact</w:t>
      </w:r>
      <w:r w:rsidR="007D773F" w:rsidRPr="00844BD4">
        <w:rPr>
          <w:position w:val="-12"/>
        </w:rPr>
        <w:object w:dxaOrig="2700" w:dyaOrig="380">
          <v:shape id="_x0000_i1053" type="#_x0000_t75" style="width:135pt;height:18.75pt" o:ole="">
            <v:imagedata r:id="rId64" o:title=""/>
          </v:shape>
          <o:OLEObject Type="Embed" ProgID="Equation.3" ShapeID="_x0000_i1053" DrawAspect="Content" ObjectID="_1519029515" r:id="rId65"/>
        </w:object>
      </w:r>
      <w:r w:rsidR="009E122A" w:rsidRPr="00844BD4">
        <w:t xml:space="preserve">, which denotes the change in the value added of other </w:t>
      </w:r>
      <w:r w:rsidR="00AA490E" w:rsidRPr="00844BD4">
        <w:t>non-constrained</w:t>
      </w:r>
      <w:r w:rsidR="009E122A" w:rsidRPr="00844BD4">
        <w:t xml:space="preserve"> sectors </w:t>
      </w:r>
      <w:r w:rsidR="00AA490E" w:rsidRPr="00844BD4">
        <w:t xml:space="preserve">indirectly involved in the supply chain of the </w:t>
      </w:r>
      <w:r w:rsidR="009E122A" w:rsidRPr="00844BD4">
        <w:t>sector impacted by the shock</w:t>
      </w:r>
      <w:r w:rsidR="00155AA9" w:rsidRPr="00844BD4">
        <w:t>.</w:t>
      </w:r>
    </w:p>
    <w:p w:rsidR="00155AA9" w:rsidRDefault="00155AA9" w:rsidP="00CE33BD">
      <w:pPr>
        <w:spacing w:line="360" w:lineRule="auto"/>
        <w:jc w:val="both"/>
      </w:pPr>
      <w:r w:rsidRPr="00844BD4">
        <w:t xml:space="preserve">Finally, </w:t>
      </w:r>
      <w:r w:rsidR="00610082" w:rsidRPr="00844BD4">
        <w:t xml:space="preserve">as in the case of the standard </w:t>
      </w:r>
      <w:r w:rsidR="003E03AD" w:rsidRPr="00844BD4">
        <w:t>MRIO</w:t>
      </w:r>
      <w:r w:rsidR="00610082" w:rsidRPr="00844BD4">
        <w:t xml:space="preserve"> model, </w:t>
      </w:r>
      <w:r w:rsidRPr="00844BD4">
        <w:t>we could also complete this information with the initial impact</w:t>
      </w:r>
      <w:r w:rsidR="002A57A7" w:rsidRPr="00844BD4">
        <w:rPr>
          <w:position w:val="-10"/>
        </w:rPr>
        <w:object w:dxaOrig="660" w:dyaOrig="360">
          <v:shape id="_x0000_i1054" type="#_x0000_t75" style="width:33pt;height:18.75pt" o:ole="">
            <v:imagedata r:id="rId66" o:title=""/>
          </v:shape>
          <o:OLEObject Type="Embed" ProgID="Equation.3" ShapeID="_x0000_i1054" DrawAspect="Content" ObjectID="_1519029516" r:id="rId67"/>
        </w:object>
      </w:r>
      <w:r w:rsidRPr="00844BD4">
        <w:t>, which computes the change in the value added of the sector</w:t>
      </w:r>
      <w:r w:rsidR="009766C6" w:rsidRPr="00844BD4">
        <w:t xml:space="preserve"> directly impacted by the shock</w:t>
      </w:r>
      <w:r w:rsidRPr="00844BD4">
        <w:t>.</w:t>
      </w:r>
    </w:p>
    <w:p w:rsidR="00844BD4" w:rsidRPr="00844BD4" w:rsidRDefault="00844BD4" w:rsidP="00CE33BD">
      <w:pPr>
        <w:spacing w:line="360" w:lineRule="auto"/>
        <w:ind w:firstLine="567"/>
        <w:jc w:val="both"/>
      </w:pPr>
      <w:r>
        <w:t>This model can be used to capture t</w:t>
      </w:r>
      <w:r w:rsidRPr="00844BD4">
        <w:t xml:space="preserve">he backward effects </w:t>
      </w:r>
      <w:r>
        <w:t>due to</w:t>
      </w:r>
      <w:r w:rsidRPr="00844BD4">
        <w:t xml:space="preserve"> a </w:t>
      </w:r>
      <w:r w:rsidR="0032543A">
        <w:t>reduction in the intermediate demand o</w:t>
      </w:r>
      <w:r w:rsidRPr="00844BD4">
        <w:t>f a sector</w:t>
      </w:r>
      <w:r w:rsidR="0032543A">
        <w:t xml:space="preserve"> resulting from a reduction in its output</w:t>
      </w:r>
      <w:r w:rsidRPr="00844BD4">
        <w:t xml:space="preserve">. However, it </w:t>
      </w:r>
      <w:r>
        <w:t xml:space="preserve">fails to compute the impacts </w:t>
      </w:r>
      <w:r w:rsidRPr="00844BD4">
        <w:t xml:space="preserve">resulting from the reduction in the intermediate outputs </w:t>
      </w:r>
      <w:r>
        <w:t>supplied</w:t>
      </w:r>
      <w:r w:rsidRPr="00844BD4">
        <w:t xml:space="preserve"> to other sectors and the</w:t>
      </w:r>
      <w:r>
        <w:t xml:space="preserve"> subsequent cascading effects</w:t>
      </w:r>
      <w:r w:rsidRPr="00844BD4">
        <w:t>.</w:t>
      </w:r>
      <w:r w:rsidR="0032543A">
        <w:rPr>
          <w:rStyle w:val="FootnoteReference"/>
        </w:rPr>
        <w:footnoteReference w:id="4"/>
      </w:r>
    </w:p>
    <w:p w:rsidR="00E87EB6" w:rsidRPr="00844BD4" w:rsidRDefault="00E87EB6" w:rsidP="00CE33BD">
      <w:pPr>
        <w:spacing w:line="360" w:lineRule="auto"/>
        <w:jc w:val="both"/>
      </w:pPr>
    </w:p>
    <w:p w:rsidR="00E87EB6" w:rsidRPr="00844BD4" w:rsidRDefault="00E87EB6" w:rsidP="00CE33BD">
      <w:pPr>
        <w:spacing w:line="360" w:lineRule="auto"/>
        <w:jc w:val="both"/>
        <w:rPr>
          <w:i/>
        </w:rPr>
      </w:pPr>
      <w:r w:rsidRPr="00844BD4">
        <w:rPr>
          <w:i/>
        </w:rPr>
        <w:t xml:space="preserve">2.1.2. Mixed </w:t>
      </w:r>
      <w:r w:rsidR="003E03AD" w:rsidRPr="00844BD4">
        <w:rPr>
          <w:i/>
        </w:rPr>
        <w:t>MRIO</w:t>
      </w:r>
      <w:r w:rsidRPr="00844BD4">
        <w:rPr>
          <w:i/>
        </w:rPr>
        <w:t xml:space="preserve"> model with information on the first round impacts</w:t>
      </w:r>
      <w:r w:rsidR="0032543A">
        <w:rPr>
          <w:i/>
        </w:rPr>
        <w:t xml:space="preserve"> o</w:t>
      </w:r>
      <w:r w:rsidR="0032543A" w:rsidRPr="00CE414C">
        <w:rPr>
          <w:i/>
        </w:rPr>
        <w:t>f the disruption on the supply chain</w:t>
      </w:r>
    </w:p>
    <w:p w:rsidR="00E87EB6" w:rsidRPr="00844BD4" w:rsidRDefault="00E87EB6" w:rsidP="00CE33BD">
      <w:pPr>
        <w:spacing w:line="360" w:lineRule="auto"/>
        <w:jc w:val="both"/>
      </w:pPr>
      <w:r w:rsidRPr="00844BD4">
        <w:t xml:space="preserve">The </w:t>
      </w:r>
      <w:r w:rsidR="00442F7C" w:rsidRPr="00844BD4">
        <w:t xml:space="preserve">standard </w:t>
      </w:r>
      <w:r w:rsidRPr="00844BD4">
        <w:t xml:space="preserve">mixed </w:t>
      </w:r>
      <w:r w:rsidR="003E03AD" w:rsidRPr="00844BD4">
        <w:t>MRIO</w:t>
      </w:r>
      <w:r w:rsidRPr="00844BD4">
        <w:t xml:space="preserve"> model represented by expression [6] is valid for calculating the </w:t>
      </w:r>
      <w:r w:rsidR="00D57AF5" w:rsidRPr="00844BD4">
        <w:t xml:space="preserve">backward </w:t>
      </w:r>
      <w:r w:rsidRPr="00844BD4">
        <w:t>effects derived fr</w:t>
      </w:r>
      <w:r w:rsidR="00576396" w:rsidRPr="00844BD4">
        <w:t>om</w:t>
      </w:r>
      <w:r w:rsidRPr="00844BD4">
        <w:t xml:space="preserve"> a </w:t>
      </w:r>
      <w:r w:rsidR="0049053B" w:rsidRPr="00844BD4">
        <w:t>constraint</w:t>
      </w:r>
      <w:r w:rsidRPr="00844BD4">
        <w:t xml:space="preserve"> in the output of a sector. However, it does not </w:t>
      </w:r>
      <w:r w:rsidR="0083303F" w:rsidRPr="00844BD4">
        <w:t xml:space="preserve">compute </w:t>
      </w:r>
      <w:r w:rsidRPr="00844BD4">
        <w:t xml:space="preserve">the effects </w:t>
      </w:r>
      <w:r w:rsidR="00BE06A1" w:rsidRPr="00844BD4">
        <w:t>resulting from</w:t>
      </w:r>
      <w:r w:rsidRPr="00844BD4">
        <w:t xml:space="preserve"> the reduction </w:t>
      </w:r>
      <w:r w:rsidR="00442F7C" w:rsidRPr="00844BD4">
        <w:t>in</w:t>
      </w:r>
      <w:r w:rsidRPr="00844BD4">
        <w:t xml:space="preserve"> the intermediate outputs delivered to other sectors and the subsequent indirect effects. </w:t>
      </w:r>
      <w:r w:rsidR="00442F7C" w:rsidRPr="00844BD4">
        <w:t>For instance, it would not include</w:t>
      </w:r>
      <w:r w:rsidRPr="00844BD4">
        <w:t xml:space="preserve"> the reduction in the output of the </w:t>
      </w:r>
      <w:r w:rsidR="00442F7C" w:rsidRPr="00844BD4">
        <w:t>non-Japanese</w:t>
      </w:r>
      <w:r w:rsidRPr="00844BD4">
        <w:t xml:space="preserve"> </w:t>
      </w:r>
      <w:r w:rsidR="00115C9D" w:rsidRPr="00844BD4">
        <w:t xml:space="preserve">TEI </w:t>
      </w:r>
      <w:r w:rsidRPr="00844BD4">
        <w:t>companies using components produced in Japan</w:t>
      </w:r>
      <w:r w:rsidR="00F92402" w:rsidRPr="00844BD4">
        <w:t xml:space="preserve"> </w:t>
      </w:r>
      <w:r w:rsidR="00672C3A" w:rsidRPr="00844BD4">
        <w:t>(</w:t>
      </w:r>
      <w:r w:rsidR="003B049A">
        <w:t>supply chain disruption</w:t>
      </w:r>
      <w:r w:rsidR="003B049A" w:rsidRPr="003B049A">
        <w:t xml:space="preserve"> initial</w:t>
      </w:r>
      <w:r w:rsidR="003B049A">
        <w:t xml:space="preserve"> </w:t>
      </w:r>
      <w:r w:rsidR="00672C3A" w:rsidRPr="003B049A">
        <w:t>effect</w:t>
      </w:r>
      <w:r w:rsidR="00672C3A" w:rsidRPr="00844BD4">
        <w:t xml:space="preserve"> in Figure </w:t>
      </w:r>
      <w:r w:rsidR="005C7F82">
        <w:t>3</w:t>
      </w:r>
      <w:r w:rsidR="00672C3A" w:rsidRPr="00844BD4">
        <w:t>)</w:t>
      </w:r>
      <w:r w:rsidR="00232EE7">
        <w:t xml:space="preserve"> </w:t>
      </w:r>
      <w:r w:rsidR="00442F7C" w:rsidRPr="00844BD4">
        <w:t>and the subsequent impacts in the sectors directly and indirectly involved in the supply chain of the non-Japanese TEI (</w:t>
      </w:r>
      <w:r w:rsidR="003B049A">
        <w:t>supply chain disruption</w:t>
      </w:r>
      <w:r w:rsidR="003B049A" w:rsidRPr="003B049A">
        <w:t xml:space="preserve"> </w:t>
      </w:r>
      <w:r w:rsidR="003B049A">
        <w:t>backward direct and indirect effects</w:t>
      </w:r>
      <w:r w:rsidR="00442F7C" w:rsidRPr="003B049A">
        <w:t xml:space="preserve"> i</w:t>
      </w:r>
      <w:r w:rsidR="00442F7C" w:rsidRPr="00844BD4">
        <w:t xml:space="preserve">n Figure </w:t>
      </w:r>
      <w:r w:rsidR="005C7F82">
        <w:t>3</w:t>
      </w:r>
      <w:r w:rsidR="00442F7C" w:rsidRPr="00844BD4">
        <w:t>)</w:t>
      </w:r>
      <w:r w:rsidRPr="00844BD4">
        <w:t>.</w:t>
      </w:r>
    </w:p>
    <w:p w:rsidR="002A57A7" w:rsidRPr="00844BD4" w:rsidRDefault="00256F97" w:rsidP="00CE33BD">
      <w:pPr>
        <w:spacing w:line="360" w:lineRule="auto"/>
        <w:ind w:firstLine="567"/>
        <w:jc w:val="both"/>
      </w:pPr>
      <w:r w:rsidRPr="00844BD4">
        <w:t>Moreover, it is well</w:t>
      </w:r>
      <w:r w:rsidR="004567D9" w:rsidRPr="00844BD4">
        <w:t>-</w:t>
      </w:r>
      <w:r w:rsidRPr="00844BD4">
        <w:t xml:space="preserve">known that in IO models sectors and products are treated as homogenous (each sector produces one single commodity) and that there is no substitution between inputs. Accordingly, the impacts of the reduction in the exports of a constrained sector would be the same in all the importing companies of a sector regardless </w:t>
      </w:r>
      <w:r w:rsidR="002410CE" w:rsidRPr="00844BD4">
        <w:t xml:space="preserve">of </w:t>
      </w:r>
      <w:r w:rsidRPr="00844BD4">
        <w:t xml:space="preserve">the product actually imported. However, this assumption does not work in the real world, especially in some specific sectors </w:t>
      </w:r>
      <w:r w:rsidR="002410CE" w:rsidRPr="00844BD4">
        <w:t xml:space="preserve">such </w:t>
      </w:r>
      <w:r w:rsidRPr="00844BD4">
        <w:t xml:space="preserve">as the TEI, in which the impacts will be highly dependent on </w:t>
      </w:r>
      <w:r w:rsidR="00DC0C66">
        <w:t>which</w:t>
      </w:r>
      <w:r w:rsidRPr="00844BD4">
        <w:t xml:space="preserve"> component </w:t>
      </w:r>
      <w:r w:rsidR="00DC0C66">
        <w:t>is in short supply and to what extent it can be</w:t>
      </w:r>
      <w:r w:rsidRPr="00844BD4">
        <w:t xml:space="preserve"> substitut</w:t>
      </w:r>
      <w:r w:rsidR="00DC0C66">
        <w:t>ed</w:t>
      </w:r>
      <w:r w:rsidRPr="00844BD4">
        <w:t>. In the case of the disruption of the supply chain of the TEI follow</w:t>
      </w:r>
      <w:r w:rsidR="00DC0C66">
        <w:t>ing</w:t>
      </w:r>
      <w:r w:rsidRPr="00844BD4">
        <w:t xml:space="preserve"> the Japanese disaster, there is evidence that the impact was limited to some specific factories that were using specific Japanese components (see </w:t>
      </w:r>
      <w:r w:rsidR="00DE0063" w:rsidRPr="00DE0063">
        <w:fldChar w:fldCharType="begin"/>
      </w:r>
      <w:r w:rsidR="00DE0063" w:rsidRPr="00DD32B3">
        <w:instrText xml:space="preserve"> ADDIN ZOTERO_ITEM CSL_CITATION {"citationID":"15mknid4","properties":{"formattedCitation":"(Robinet, 2011)","plainCitation":"(Robinet, 2011)"},"citationItems":[{"id":2815,"uris":["http://zotero.org/groups/271383/items/IB4T5ZHG"],"uri":["http://zotero.org/groups/271383/items/IB4T5ZHG"],"itemData":{"id":2815,"type":"webpage","title":"Japan Disaster Output Impacts Update","URL":"http://www.oesa.org/Doc-Vault/Knowledge-Center/Archived-Docs/Japan-Earthquake-Information/IHS-Japan-Disaster-Output-Impact-Update-June-10.pdf","author":[{"family":"Robinet","given":"M."}],"issued":{"date-parts":[["2011"]]}}}],"schema":"https://github.com/citation-style-language/schema/raw/master/csl-citation.json"} </w:instrText>
      </w:r>
      <w:r w:rsidR="00DE0063" w:rsidRPr="00DE0063">
        <w:fldChar w:fldCharType="separate"/>
      </w:r>
      <w:r w:rsidR="005B3396" w:rsidRPr="005B3396">
        <w:t>Robinet, 2011</w:t>
      </w:r>
      <w:r w:rsidR="00DE0063" w:rsidRPr="00DE0063">
        <w:fldChar w:fldCharType="end"/>
      </w:r>
      <w:r w:rsidRPr="00844BD4">
        <w:t>).</w:t>
      </w:r>
    </w:p>
    <w:p w:rsidR="00256F97" w:rsidRDefault="00256F97" w:rsidP="00E87EB6">
      <w:pPr>
        <w:spacing w:line="480" w:lineRule="auto"/>
        <w:jc w:val="both"/>
      </w:pPr>
    </w:p>
    <w:p w:rsidR="005C7F82" w:rsidRPr="00844BD4" w:rsidRDefault="005C7F82" w:rsidP="00CE33BD">
      <w:pPr>
        <w:spacing w:line="360" w:lineRule="auto"/>
        <w:jc w:val="center"/>
      </w:pPr>
      <w:r>
        <w:t>***INSERT Figure 3 ABOUT HERE***</w:t>
      </w:r>
    </w:p>
    <w:p w:rsidR="00DC0C66" w:rsidRDefault="00DC0C66" w:rsidP="00CE33BD">
      <w:pPr>
        <w:spacing w:line="360" w:lineRule="auto"/>
        <w:jc w:val="both"/>
        <w:rPr>
          <w:b/>
        </w:rPr>
      </w:pPr>
    </w:p>
    <w:p w:rsidR="0049053B" w:rsidRPr="00844BD4" w:rsidRDefault="00E87EB6" w:rsidP="00CE33BD">
      <w:pPr>
        <w:spacing w:line="360" w:lineRule="auto"/>
        <w:jc w:val="both"/>
      </w:pPr>
      <w:r w:rsidRPr="00844BD4">
        <w:t xml:space="preserve">Nevertheless, </w:t>
      </w:r>
      <w:r w:rsidR="003D3EB2" w:rsidRPr="00844BD4">
        <w:t>these shortcomings</w:t>
      </w:r>
      <w:r w:rsidRPr="00844BD4">
        <w:t xml:space="preserve"> of </w:t>
      </w:r>
      <w:r w:rsidR="006D5DBC" w:rsidRPr="00844BD4">
        <w:t>IO</w:t>
      </w:r>
      <w:r w:rsidRPr="00844BD4">
        <w:t xml:space="preserve"> model</w:t>
      </w:r>
      <w:r w:rsidR="006D5DBC" w:rsidRPr="00844BD4">
        <w:t>s do not mean that they</w:t>
      </w:r>
      <w:r w:rsidRPr="00844BD4">
        <w:t xml:space="preserve"> </w:t>
      </w:r>
      <w:r w:rsidR="0083303F" w:rsidRPr="00844BD4">
        <w:t>cannot</w:t>
      </w:r>
      <w:r w:rsidRPr="00844BD4">
        <w:t xml:space="preserve"> be used to assess the effects of disruptions of supply chains. In order to overcome </w:t>
      </w:r>
      <w:r w:rsidR="0049053B" w:rsidRPr="00844BD4">
        <w:t>the</w:t>
      </w:r>
      <w:r w:rsidRPr="00844BD4">
        <w:t xml:space="preserve"> </w:t>
      </w:r>
      <w:r w:rsidR="002410CE" w:rsidRPr="00844BD4">
        <w:t xml:space="preserve">abovementioned </w:t>
      </w:r>
      <w:r w:rsidRPr="00844BD4">
        <w:t>limitation</w:t>
      </w:r>
      <w:r w:rsidR="006D5DBC" w:rsidRPr="00844BD4">
        <w:t>s</w:t>
      </w:r>
      <w:r w:rsidRPr="00844BD4">
        <w:t xml:space="preserve">, we suggest exogenizing the output of those sectors </w:t>
      </w:r>
      <w:r w:rsidR="003D3EB2" w:rsidRPr="00844BD4">
        <w:t xml:space="preserve">downstream </w:t>
      </w:r>
      <w:r w:rsidRPr="00844BD4">
        <w:t xml:space="preserve">directly affected by the </w:t>
      </w:r>
      <w:r w:rsidR="007477CA" w:rsidRPr="00844BD4">
        <w:t xml:space="preserve">disruption of the supply chain. </w:t>
      </w:r>
      <w:r w:rsidR="00064E1F" w:rsidRPr="00844BD4">
        <w:t>The underlying idea to this approach is to incorporate real data on the first round effects</w:t>
      </w:r>
      <w:r w:rsidR="002410CE" w:rsidRPr="00844BD4">
        <w:t xml:space="preserve"> </w:t>
      </w:r>
      <w:r w:rsidR="004B3388">
        <w:t xml:space="preserve">in non-Japanese TEI due to </w:t>
      </w:r>
      <w:r w:rsidR="0032543A">
        <w:t xml:space="preserve">the supply chain disruption </w:t>
      </w:r>
      <w:r w:rsidR="002410CE" w:rsidRPr="00844BD4">
        <w:t>into the analysis</w:t>
      </w:r>
      <w:r w:rsidR="004B3388">
        <w:t xml:space="preserve"> to compute the subsequent backward impacts in all the other sectors involved in the supply chain of the non-Japanese TEI</w:t>
      </w:r>
      <w:r w:rsidR="00064E1F" w:rsidRPr="00844BD4">
        <w:t>.</w:t>
      </w:r>
      <w:r w:rsidR="00C276FF">
        <w:rPr>
          <w:rStyle w:val="FootnoteReference"/>
        </w:rPr>
        <w:footnoteReference w:id="5"/>
      </w:r>
      <w:r w:rsidR="00064E1F" w:rsidRPr="00844BD4">
        <w:t xml:space="preserve"> </w:t>
      </w:r>
      <w:r w:rsidR="006D5DBC" w:rsidRPr="00844BD4">
        <w:t>T</w:t>
      </w:r>
      <w:r w:rsidR="00064E1F" w:rsidRPr="00844BD4">
        <w:t xml:space="preserve">his approach ensures that the first round </w:t>
      </w:r>
      <w:r w:rsidR="00DC0C66">
        <w:t xml:space="preserve">downstream </w:t>
      </w:r>
      <w:r w:rsidR="00064E1F" w:rsidRPr="00844BD4">
        <w:t>effects of the shock matches real data and</w:t>
      </w:r>
      <w:r w:rsidR="00442F7C" w:rsidRPr="00844BD4">
        <w:t>,</w:t>
      </w:r>
      <w:r w:rsidR="00064E1F" w:rsidRPr="00844BD4">
        <w:t xml:space="preserve"> consequently, the indirect effects are calculated with a higher degree of accuracy. In addition</w:t>
      </w:r>
      <w:r w:rsidR="009F3773" w:rsidRPr="00844BD4">
        <w:t>,</w:t>
      </w:r>
      <w:r w:rsidR="00064E1F" w:rsidRPr="00844BD4">
        <w:t xml:space="preserve"> </w:t>
      </w:r>
      <w:r w:rsidR="002410CE" w:rsidRPr="00844BD4">
        <w:t xml:space="preserve">as </w:t>
      </w:r>
      <w:r w:rsidR="00064E1F" w:rsidRPr="00844BD4">
        <w:t>the changes in the output of the transport equipment sector match the real data, the possibility of substitution of Japanese inputs is</w:t>
      </w:r>
      <w:r w:rsidR="009F3773" w:rsidRPr="00844BD4">
        <w:t>, to some extent,</w:t>
      </w:r>
      <w:r w:rsidR="00064E1F" w:rsidRPr="00844BD4">
        <w:t xml:space="preserve"> implicitly taken into account.</w:t>
      </w:r>
      <w:r w:rsidR="00CA3C3A" w:rsidRPr="00844BD4">
        <w:t xml:space="preserve"> </w:t>
      </w:r>
      <w:r w:rsidR="009F3773" w:rsidRPr="00844BD4">
        <w:t xml:space="preserve">For example, if the </w:t>
      </w:r>
      <w:r w:rsidR="002410CE" w:rsidRPr="00844BD4">
        <w:t xml:space="preserve">disrupted </w:t>
      </w:r>
      <w:r w:rsidR="009F3773" w:rsidRPr="00844BD4">
        <w:t xml:space="preserve">Japanese components </w:t>
      </w:r>
      <w:r w:rsidR="000934BE" w:rsidRPr="00844BD4">
        <w:t>we</w:t>
      </w:r>
      <w:r w:rsidR="009F3773" w:rsidRPr="00844BD4">
        <w:t>re supplied by other</w:t>
      </w:r>
      <w:r w:rsidR="00487A4A" w:rsidRPr="00844BD4">
        <w:t xml:space="preserve"> countries, the production of the factories using those inputs and the rest of their suppliers would not be affected. The use of actual production </w:t>
      </w:r>
      <w:r w:rsidR="002410CE" w:rsidRPr="00844BD4">
        <w:t xml:space="preserve">data </w:t>
      </w:r>
      <w:r w:rsidR="00487A4A" w:rsidRPr="00844BD4">
        <w:t>would allow these substitution effects</w:t>
      </w:r>
      <w:r w:rsidR="002410CE" w:rsidRPr="00844BD4">
        <w:t xml:space="preserve"> to be captured</w:t>
      </w:r>
      <w:r w:rsidR="000934BE" w:rsidRPr="00844BD4">
        <w:t xml:space="preserve"> </w:t>
      </w:r>
      <w:r w:rsidR="002410CE" w:rsidRPr="00844BD4">
        <w:t xml:space="preserve">because </w:t>
      </w:r>
      <w:r w:rsidR="000934BE" w:rsidRPr="00844BD4">
        <w:t xml:space="preserve">they record the net reduction in the output. However, </w:t>
      </w:r>
      <w:r w:rsidR="00487A4A" w:rsidRPr="00844BD4">
        <w:t xml:space="preserve">in order to </w:t>
      </w:r>
      <w:r w:rsidR="00E2441C" w:rsidRPr="00844BD4">
        <w:t>estimate</w:t>
      </w:r>
      <w:r w:rsidR="00487A4A" w:rsidRPr="00844BD4">
        <w:t xml:space="preserve"> the </w:t>
      </w:r>
      <w:r w:rsidR="00E2441C" w:rsidRPr="00844BD4">
        <w:t xml:space="preserve">positive </w:t>
      </w:r>
      <w:r w:rsidR="00487A4A" w:rsidRPr="00844BD4">
        <w:t>impacts in the new suppliers</w:t>
      </w:r>
      <w:r w:rsidR="00256F97" w:rsidRPr="00844BD4">
        <w:t>,</w:t>
      </w:r>
      <w:r w:rsidR="00487A4A" w:rsidRPr="00844BD4">
        <w:t xml:space="preserve"> further information would be needed.</w:t>
      </w:r>
    </w:p>
    <w:p w:rsidR="00E87EB6" w:rsidRDefault="00E87EB6" w:rsidP="00CE33BD">
      <w:pPr>
        <w:spacing w:line="360" w:lineRule="auto"/>
        <w:ind w:firstLine="567"/>
        <w:jc w:val="both"/>
      </w:pPr>
      <w:r w:rsidRPr="00844BD4">
        <w:t>The implementation of</w:t>
      </w:r>
      <w:r w:rsidR="003A5FE5" w:rsidRPr="00844BD4">
        <w:t xml:space="preserve"> this approach</w:t>
      </w:r>
      <w:r w:rsidR="00E2441C" w:rsidRPr="00844BD4">
        <w:t xml:space="preserve"> for the calculation of </w:t>
      </w:r>
      <w:r w:rsidR="00D11BF0">
        <w:t xml:space="preserve">the </w:t>
      </w:r>
      <w:r w:rsidR="00E2441C" w:rsidRPr="00844BD4">
        <w:t>impacts</w:t>
      </w:r>
      <w:r w:rsidR="00A473F6">
        <w:t xml:space="preserve"> due to the disruption of the supply chain</w:t>
      </w:r>
      <w:r w:rsidR="003A5FE5" w:rsidRPr="00844BD4">
        <w:t xml:space="preserve"> in our </w:t>
      </w:r>
      <w:r w:rsidR="002410CE" w:rsidRPr="00844BD4">
        <w:t>two-</w:t>
      </w:r>
      <w:r w:rsidR="003A5FE5" w:rsidRPr="00844BD4">
        <w:t xml:space="preserve">region </w:t>
      </w:r>
      <w:r w:rsidR="002410CE" w:rsidRPr="00844BD4">
        <w:t>–</w:t>
      </w:r>
      <w:r w:rsidRPr="00844BD4">
        <w:t xml:space="preserve"> </w:t>
      </w:r>
      <w:r w:rsidR="002410CE" w:rsidRPr="00844BD4">
        <w:t>two-</w:t>
      </w:r>
      <w:r w:rsidRPr="00844BD4">
        <w:t xml:space="preserve">sector model implies treating the output of sector 2 in regions </w:t>
      </w:r>
      <w:r w:rsidR="00A473F6">
        <w:t xml:space="preserve">R </w:t>
      </w:r>
      <w:r w:rsidRPr="00844BD4">
        <w:t xml:space="preserve">as an exogenous variable. The shock in the output of sector 2 in region R would capture the first round </w:t>
      </w:r>
      <w:r w:rsidR="00DE58D6" w:rsidRPr="00844BD4">
        <w:t>downstream</w:t>
      </w:r>
      <w:r w:rsidR="007477CA" w:rsidRPr="00844BD4">
        <w:t xml:space="preserve"> </w:t>
      </w:r>
      <w:r w:rsidRPr="00844BD4">
        <w:t>effect on the same sector of the other country directly affected by the disruption (non</w:t>
      </w:r>
      <w:r w:rsidR="00256F97" w:rsidRPr="00844BD4">
        <w:t>-</w:t>
      </w:r>
      <w:r w:rsidRPr="00844BD4">
        <w:t xml:space="preserve">Japanese </w:t>
      </w:r>
      <w:r w:rsidR="00115C9D" w:rsidRPr="00844BD4">
        <w:t xml:space="preserve">TEI </w:t>
      </w:r>
      <w:r w:rsidRPr="00844BD4">
        <w:t>using components</w:t>
      </w:r>
      <w:r w:rsidR="004B3388">
        <w:t xml:space="preserve"> of the </w:t>
      </w:r>
      <w:r w:rsidR="004B3388" w:rsidRPr="00844BD4">
        <w:t>Japanese</w:t>
      </w:r>
      <w:r w:rsidR="004B3388">
        <w:t xml:space="preserve"> TEI</w:t>
      </w:r>
      <w:r w:rsidRPr="00844BD4">
        <w:t xml:space="preserve">). </w:t>
      </w:r>
      <w:r w:rsidRPr="00D90C0B">
        <w:t>Thus</w:t>
      </w:r>
      <w:r w:rsidR="000E57DF">
        <w:t>,</w:t>
      </w:r>
      <w:r w:rsidRPr="00844BD4">
        <w:t xml:space="preserve"> the change in the </w:t>
      </w:r>
      <w:r w:rsidR="001E2A70" w:rsidRPr="00844BD4">
        <w:t>value added</w:t>
      </w:r>
      <w:r w:rsidRPr="00844BD4">
        <w:t xml:space="preserve"> of the non-constrained sectors due to a shock in the output of the constrained sectors will be given by:</w:t>
      </w:r>
    </w:p>
    <w:p w:rsidR="00DC0C66" w:rsidRPr="00844BD4" w:rsidRDefault="00DC0C66" w:rsidP="00CE33BD">
      <w:pPr>
        <w:spacing w:line="360" w:lineRule="auto"/>
        <w:ind w:firstLine="567"/>
        <w:jc w:val="both"/>
      </w:pPr>
    </w:p>
    <w:p w:rsidR="00E87EB6" w:rsidRPr="00844BD4" w:rsidRDefault="000E57DF" w:rsidP="00E87EB6">
      <w:pPr>
        <w:spacing w:before="120" w:line="480" w:lineRule="auto"/>
        <w:jc w:val="both"/>
      </w:pPr>
      <w:r w:rsidRPr="00844BD4">
        <w:rPr>
          <w:position w:val="-56"/>
        </w:rPr>
        <w:object w:dxaOrig="4160" w:dyaOrig="1240">
          <v:shape id="_x0000_i1055" type="#_x0000_t75" style="width:207.75pt;height:62.25pt" o:ole="">
            <v:imagedata r:id="rId68" o:title=""/>
          </v:shape>
          <o:OLEObject Type="Embed" ProgID="Equation.3" ShapeID="_x0000_i1055" DrawAspect="Content" ObjectID="_1519029517" r:id="rId69"/>
        </w:object>
      </w:r>
      <w:r w:rsidR="001458BC" w:rsidRPr="00844BD4">
        <w:tab/>
      </w:r>
      <w:r w:rsidR="001458BC" w:rsidRPr="00844BD4">
        <w:tab/>
      </w:r>
      <w:r w:rsidR="00DC0C66">
        <w:tab/>
      </w:r>
      <w:r w:rsidR="00DC0C66">
        <w:tab/>
      </w:r>
      <w:r w:rsidR="00DC0C66">
        <w:tab/>
      </w:r>
      <w:r w:rsidR="00DC0C66">
        <w:tab/>
      </w:r>
      <w:r w:rsidR="00DC0C66">
        <w:tab/>
      </w:r>
      <w:r w:rsidR="001458BC" w:rsidRPr="00844BD4">
        <w:t>[11]</w:t>
      </w:r>
    </w:p>
    <w:p w:rsidR="00DC0C66" w:rsidRDefault="00DC0C66" w:rsidP="00CE33BD">
      <w:pPr>
        <w:spacing w:line="360" w:lineRule="auto"/>
        <w:jc w:val="both"/>
      </w:pPr>
    </w:p>
    <w:p w:rsidR="00D9689C" w:rsidRDefault="00D9689C" w:rsidP="00CE33BD">
      <w:pPr>
        <w:spacing w:line="360" w:lineRule="auto"/>
        <w:jc w:val="both"/>
      </w:pPr>
      <w:r w:rsidRPr="00844BD4">
        <w:t>which can be expressed as</w:t>
      </w:r>
    </w:p>
    <w:p w:rsidR="00DC0C66" w:rsidRPr="00844BD4" w:rsidRDefault="00DC0C66" w:rsidP="00CE33BD">
      <w:pPr>
        <w:spacing w:line="360" w:lineRule="auto"/>
        <w:jc w:val="both"/>
      </w:pPr>
    </w:p>
    <w:p w:rsidR="00576A21" w:rsidRDefault="000E57DF" w:rsidP="00E87EB6">
      <w:pPr>
        <w:spacing w:before="120" w:line="480" w:lineRule="auto"/>
        <w:jc w:val="both"/>
      </w:pPr>
      <w:r w:rsidRPr="00844BD4">
        <w:rPr>
          <w:position w:val="-12"/>
        </w:rPr>
        <w:object w:dxaOrig="2299" w:dyaOrig="380">
          <v:shape id="_x0000_i1056" type="#_x0000_t75" style="width:114.75pt;height:18.75pt" o:ole="">
            <v:imagedata r:id="rId70" o:title=""/>
          </v:shape>
          <o:OLEObject Type="Embed" ProgID="Equation.3" ShapeID="_x0000_i1056" DrawAspect="Content" ObjectID="_1519029518" r:id="rId71"/>
        </w:object>
      </w:r>
    </w:p>
    <w:p w:rsidR="00DC0C66" w:rsidRDefault="00DC0C66" w:rsidP="00E87EB6">
      <w:pPr>
        <w:spacing w:before="120" w:line="480" w:lineRule="auto"/>
        <w:jc w:val="both"/>
      </w:pPr>
    </w:p>
    <w:p w:rsidR="000E57DF" w:rsidRPr="00844BD4" w:rsidRDefault="000E57DF" w:rsidP="00CE33BD">
      <w:pPr>
        <w:spacing w:line="360" w:lineRule="auto"/>
        <w:jc w:val="both"/>
      </w:pPr>
      <w:r>
        <w:t xml:space="preserve">where the elements of </w:t>
      </w:r>
      <w:r w:rsidRPr="00DD32B3">
        <w:rPr>
          <w:position w:val="-4"/>
        </w:rPr>
        <w:object w:dxaOrig="420" w:dyaOrig="300">
          <v:shape id="_x0000_i1057" type="#_x0000_t75" style="width:21pt;height:15pt" o:ole="">
            <v:imagedata r:id="rId72" o:title=""/>
          </v:shape>
          <o:OLEObject Type="Embed" ProgID="Equation.3" ShapeID="_x0000_i1057" DrawAspect="Content" ObjectID="_1519029519" r:id="rId73"/>
        </w:object>
      </w:r>
      <w:r>
        <w:t xml:space="preserve"> are derived similarly to those of </w:t>
      </w:r>
      <w:r w:rsidRPr="00DD32B3">
        <w:rPr>
          <w:position w:val="-4"/>
        </w:rPr>
        <w:object w:dxaOrig="360" w:dyaOrig="300">
          <v:shape id="_x0000_i1058" type="#_x0000_t75" style="width:18.75pt;height:15pt" o:ole="">
            <v:imagedata r:id="rId74" o:title=""/>
          </v:shape>
          <o:OLEObject Type="Embed" ProgID="Equation.3" ShapeID="_x0000_i1058" DrawAspect="Content" ObjectID="_1519029520" r:id="rId75"/>
        </w:object>
      </w:r>
      <w:r>
        <w:t>.</w:t>
      </w:r>
    </w:p>
    <w:p w:rsidR="0005378C" w:rsidRPr="00844BD4" w:rsidRDefault="001E2A70" w:rsidP="00CE33BD">
      <w:pPr>
        <w:spacing w:line="360" w:lineRule="auto"/>
        <w:ind w:firstLine="567"/>
        <w:jc w:val="both"/>
      </w:pPr>
      <w:r w:rsidRPr="00844BD4">
        <w:t xml:space="preserve">Thus, this </w:t>
      </w:r>
      <w:r w:rsidR="00DD130E" w:rsidRPr="00844BD4">
        <w:t>approach will enable</w:t>
      </w:r>
      <w:r w:rsidR="001458BC">
        <w:t xml:space="preserve"> to capture</w:t>
      </w:r>
      <w:r w:rsidR="00DD130E" w:rsidRPr="00844BD4">
        <w:t xml:space="preserve"> the</w:t>
      </w:r>
      <w:r w:rsidRPr="00844BD4">
        <w:t xml:space="preserve"> </w:t>
      </w:r>
      <w:r w:rsidR="001458BC">
        <w:t>impacts due to the disruption of the supply chain and the subsequent</w:t>
      </w:r>
      <w:r w:rsidRPr="00844BD4">
        <w:t xml:space="preserve"> constraint in the output of sector 2 of region </w:t>
      </w:r>
      <w:r w:rsidR="001458BC">
        <w:t>R</w:t>
      </w:r>
      <w:r w:rsidR="001458BC" w:rsidRPr="00844BD4">
        <w:t xml:space="preserve"> </w:t>
      </w:r>
      <w:r w:rsidR="005870B8" w:rsidRPr="00844BD4">
        <w:t xml:space="preserve">(see Figure </w:t>
      </w:r>
      <w:r w:rsidR="00DC0C66">
        <w:t>3</w:t>
      </w:r>
      <w:r w:rsidR="005870B8" w:rsidRPr="00844BD4">
        <w:t>)</w:t>
      </w:r>
      <w:r w:rsidR="00DD130E" w:rsidRPr="00844BD4">
        <w:t xml:space="preserve">. </w:t>
      </w:r>
      <w:r w:rsidR="0005378C" w:rsidRPr="00844BD4">
        <w:t xml:space="preserve">These impacts can be decomposed into </w:t>
      </w:r>
      <w:r w:rsidR="002410CE" w:rsidRPr="00844BD4">
        <w:t>three</w:t>
      </w:r>
      <w:r w:rsidR="0005378C" w:rsidRPr="00844BD4">
        <w:t xml:space="preserve"> type</w:t>
      </w:r>
      <w:r w:rsidR="00576A21" w:rsidRPr="00844BD4">
        <w:t>s</w:t>
      </w:r>
      <w:r w:rsidR="0005378C" w:rsidRPr="00844BD4">
        <w:t xml:space="preserve">: </w:t>
      </w:r>
    </w:p>
    <w:p w:rsidR="001E2A70" w:rsidRPr="00844BD4" w:rsidRDefault="001458BC" w:rsidP="00CE33BD">
      <w:pPr>
        <w:numPr>
          <w:ilvl w:val="0"/>
          <w:numId w:val="1"/>
        </w:numPr>
        <w:spacing w:line="360" w:lineRule="auto"/>
        <w:jc w:val="both"/>
      </w:pPr>
      <w:r>
        <w:t>Supply chain disruption</w:t>
      </w:r>
      <w:r w:rsidRPr="001458BC">
        <w:t xml:space="preserve"> initial</w:t>
      </w:r>
      <w:r w:rsidRPr="001458BC" w:rsidDel="001458BC">
        <w:t xml:space="preserve"> </w:t>
      </w:r>
      <w:r w:rsidR="0005378C" w:rsidRPr="00844BD4">
        <w:t>(</w:t>
      </w:r>
      <w:r>
        <w:t>SCD-I</w:t>
      </w:r>
      <w:r w:rsidR="0005378C" w:rsidRPr="00844BD4">
        <w:t>) impact</w:t>
      </w:r>
      <w:r w:rsidR="002410CE" w:rsidRPr="00844BD4">
        <w:t xml:space="preserve">, </w:t>
      </w:r>
      <w:r w:rsidR="001E2A70" w:rsidRPr="00844BD4">
        <w:rPr>
          <w:position w:val="-10"/>
        </w:rPr>
        <w:object w:dxaOrig="700" w:dyaOrig="360">
          <v:shape id="_x0000_i1059" type="#_x0000_t75" style="width:35.25pt;height:18.75pt" o:ole="">
            <v:imagedata r:id="rId76" o:title=""/>
          </v:shape>
          <o:OLEObject Type="Embed" ProgID="Equation.3" ShapeID="_x0000_i1059" DrawAspect="Content" ObjectID="_1519029521" r:id="rId77"/>
        </w:object>
      </w:r>
      <w:r w:rsidR="001E2A70" w:rsidRPr="00844BD4">
        <w:t xml:space="preserve">, is the change in the value added of the sector </w:t>
      </w:r>
      <w:r w:rsidR="0005378C" w:rsidRPr="00844BD4">
        <w:t xml:space="preserve">directly affected by the disruption in </w:t>
      </w:r>
      <w:r w:rsidR="000934BE" w:rsidRPr="00844BD4">
        <w:t xml:space="preserve">its </w:t>
      </w:r>
      <w:r w:rsidR="0005378C" w:rsidRPr="00844BD4">
        <w:t>supply chain</w:t>
      </w:r>
      <w:r w:rsidR="001E2A70" w:rsidRPr="00844BD4">
        <w:t>;</w:t>
      </w:r>
    </w:p>
    <w:p w:rsidR="0005378C" w:rsidRPr="00844BD4" w:rsidRDefault="001458BC" w:rsidP="00CE33BD">
      <w:pPr>
        <w:numPr>
          <w:ilvl w:val="0"/>
          <w:numId w:val="1"/>
        </w:numPr>
        <w:spacing w:line="360" w:lineRule="auto"/>
        <w:jc w:val="both"/>
      </w:pPr>
      <w:r w:rsidRPr="001458BC">
        <w:t>Supply chain disruption</w:t>
      </w:r>
      <w:r>
        <w:t xml:space="preserve"> backward </w:t>
      </w:r>
      <w:r w:rsidRPr="001458BC">
        <w:t>direct</w:t>
      </w:r>
      <w:r w:rsidRPr="001458BC" w:rsidDel="001458BC">
        <w:t xml:space="preserve"> </w:t>
      </w:r>
      <w:r w:rsidR="0005378C" w:rsidRPr="00844BD4">
        <w:t>(</w:t>
      </w:r>
      <w:r>
        <w:t>SCD-BD</w:t>
      </w:r>
      <w:r w:rsidR="0005378C" w:rsidRPr="00844BD4">
        <w:t>)</w:t>
      </w:r>
      <w:r w:rsidR="00DD130E" w:rsidRPr="00844BD4">
        <w:t xml:space="preserve"> </w:t>
      </w:r>
      <w:r w:rsidR="0005378C" w:rsidRPr="00844BD4">
        <w:t>impact</w:t>
      </w:r>
      <w:r w:rsidR="002410CE" w:rsidRPr="00844BD4">
        <w:t>,</w:t>
      </w:r>
      <w:r w:rsidR="00A17E67" w:rsidRPr="00844BD4">
        <w:t xml:space="preserve"> </w:t>
      </w:r>
      <w:r w:rsidR="000E57DF" w:rsidRPr="00844BD4">
        <w:rPr>
          <w:position w:val="-12"/>
        </w:rPr>
        <w:object w:dxaOrig="1100" w:dyaOrig="380">
          <v:shape id="_x0000_i1060" type="#_x0000_t75" style="width:54.75pt;height:18.75pt" o:ole="">
            <v:imagedata r:id="rId78" o:title=""/>
          </v:shape>
          <o:OLEObject Type="Embed" ProgID="Equation.3" ShapeID="_x0000_i1060" DrawAspect="Content" ObjectID="_1519029522" r:id="rId79"/>
        </w:object>
      </w:r>
      <w:r w:rsidR="001E2A70" w:rsidRPr="00844BD4">
        <w:t>, is the change in the value added of the</w:t>
      </w:r>
      <w:r w:rsidR="0050789C" w:rsidRPr="00844BD4">
        <w:t xml:space="preserve"> </w:t>
      </w:r>
      <w:r w:rsidR="001E2A70" w:rsidRPr="00844BD4">
        <w:t>non-constrained sectors</w:t>
      </w:r>
      <w:r w:rsidR="0005378C" w:rsidRPr="00844BD4">
        <w:t xml:space="preserve"> </w:t>
      </w:r>
      <w:r w:rsidR="000934BE" w:rsidRPr="00844BD4">
        <w:t xml:space="preserve">supplying </w:t>
      </w:r>
      <w:r w:rsidR="0005378C" w:rsidRPr="00844BD4">
        <w:t xml:space="preserve">inputs </w:t>
      </w:r>
      <w:r w:rsidR="000934BE" w:rsidRPr="00844BD4">
        <w:t xml:space="preserve">directly </w:t>
      </w:r>
      <w:r w:rsidR="0005378C" w:rsidRPr="00844BD4">
        <w:t xml:space="preserve">to the sector directly affected by the disruption in </w:t>
      </w:r>
      <w:r w:rsidR="00143FB7" w:rsidRPr="00844BD4">
        <w:t>its</w:t>
      </w:r>
      <w:r w:rsidR="0005378C" w:rsidRPr="00844BD4">
        <w:t xml:space="preserve"> supply chain</w:t>
      </w:r>
      <w:r w:rsidR="00252EA5" w:rsidRPr="00844BD4">
        <w:t>;</w:t>
      </w:r>
    </w:p>
    <w:p w:rsidR="00576A21" w:rsidRPr="00844BD4" w:rsidRDefault="000E57DF" w:rsidP="00CE33BD">
      <w:pPr>
        <w:numPr>
          <w:ilvl w:val="0"/>
          <w:numId w:val="1"/>
        </w:numPr>
        <w:spacing w:line="360" w:lineRule="auto"/>
        <w:jc w:val="both"/>
      </w:pPr>
      <w:r w:rsidRPr="001458BC">
        <w:t>Supply chain disruption</w:t>
      </w:r>
      <w:r>
        <w:t xml:space="preserve"> backward </w:t>
      </w:r>
      <w:r w:rsidRPr="001458BC">
        <w:t>direct</w:t>
      </w:r>
      <w:r w:rsidRPr="001458BC" w:rsidDel="001458BC">
        <w:t xml:space="preserve"> </w:t>
      </w:r>
      <w:r w:rsidR="0005378C" w:rsidRPr="00844BD4">
        <w:t>(</w:t>
      </w:r>
      <w:r>
        <w:t>SCD-BI</w:t>
      </w:r>
      <w:r w:rsidR="0005378C" w:rsidRPr="00844BD4">
        <w:t>) impact</w:t>
      </w:r>
      <w:r w:rsidR="00052566" w:rsidRPr="00844BD4">
        <w:t>,</w:t>
      </w:r>
      <w:r w:rsidR="00C558B9" w:rsidRPr="00844BD4">
        <w:rPr>
          <w:position w:val="-12"/>
        </w:rPr>
        <w:object w:dxaOrig="2780" w:dyaOrig="380">
          <v:shape id="_x0000_i1061" type="#_x0000_t75" style="width:138.75pt;height:18.75pt" o:ole="">
            <v:imagedata r:id="rId80" o:title=""/>
          </v:shape>
          <o:OLEObject Type="Embed" ProgID="Equation.3" ShapeID="_x0000_i1061" DrawAspect="Content" ObjectID="_1519029523" r:id="rId81"/>
        </w:object>
      </w:r>
      <w:r w:rsidR="0005378C" w:rsidRPr="00844BD4">
        <w:t xml:space="preserve">, </w:t>
      </w:r>
      <w:r w:rsidR="00143FB7" w:rsidRPr="00844BD4">
        <w:t>i</w:t>
      </w:r>
      <w:r w:rsidR="00653DC9" w:rsidRPr="00844BD4">
        <w:t>s</w:t>
      </w:r>
      <w:r w:rsidR="00143FB7" w:rsidRPr="00844BD4">
        <w:t xml:space="preserve"> the value added of other non</w:t>
      </w:r>
      <w:r w:rsidR="007C3761" w:rsidRPr="00844BD4">
        <w:t>-</w:t>
      </w:r>
      <w:r w:rsidR="00143FB7" w:rsidRPr="00844BD4">
        <w:t xml:space="preserve">constrained sectors </w:t>
      </w:r>
      <w:r w:rsidR="00517E72" w:rsidRPr="00844BD4">
        <w:t>indirectly involved in the supply chain of the sector affected by the disruption.</w:t>
      </w:r>
      <w:r w:rsidR="0015177D">
        <w:rPr>
          <w:rStyle w:val="FootnoteReference"/>
        </w:rPr>
        <w:footnoteReference w:id="6"/>
      </w:r>
    </w:p>
    <w:p w:rsidR="00E87EB6" w:rsidRPr="00844BD4" w:rsidRDefault="00E87EB6" w:rsidP="00CE33BD">
      <w:pPr>
        <w:spacing w:line="360" w:lineRule="auto"/>
      </w:pPr>
    </w:p>
    <w:p w:rsidR="00E87EB6" w:rsidRPr="00844BD4" w:rsidRDefault="00E87EB6" w:rsidP="00CE33BD">
      <w:pPr>
        <w:pStyle w:val="Heading1"/>
        <w:spacing w:before="0" w:after="0" w:line="360" w:lineRule="auto"/>
        <w:rPr>
          <w:rFonts w:cs="Times New Roman"/>
          <w:szCs w:val="24"/>
        </w:rPr>
      </w:pPr>
      <w:r w:rsidRPr="00844BD4">
        <w:rPr>
          <w:rFonts w:cs="Times New Roman"/>
          <w:szCs w:val="24"/>
        </w:rPr>
        <w:t>2.2. Data</w:t>
      </w:r>
    </w:p>
    <w:p w:rsidR="00B65709" w:rsidRPr="00844BD4" w:rsidRDefault="00B65709" w:rsidP="00CE33BD">
      <w:pPr>
        <w:spacing w:line="360" w:lineRule="auto"/>
        <w:jc w:val="both"/>
      </w:pPr>
      <w:r w:rsidRPr="00844BD4">
        <w:t xml:space="preserve">We have </w:t>
      </w:r>
      <w:r w:rsidR="00DC0C66">
        <w:t>used</w:t>
      </w:r>
      <w:r w:rsidRPr="00844BD4">
        <w:t xml:space="preserve"> e</w:t>
      </w:r>
      <w:r w:rsidR="00DC0C66">
        <w:t>quat</w:t>
      </w:r>
      <w:r w:rsidRPr="00844BD4">
        <w:t>ion</w:t>
      </w:r>
      <w:r w:rsidR="00052566" w:rsidRPr="00844BD4">
        <w:t>s</w:t>
      </w:r>
      <w:r w:rsidRPr="00844BD4">
        <w:t xml:space="preserve"> [10]</w:t>
      </w:r>
      <w:r w:rsidR="00155AA9" w:rsidRPr="00844BD4">
        <w:t xml:space="preserve"> and [</w:t>
      </w:r>
      <w:r w:rsidR="00155AA9" w:rsidRPr="00844BD4">
        <w:rPr>
          <w:sz w:val="22"/>
        </w:rPr>
        <w:t>11]</w:t>
      </w:r>
      <w:r w:rsidRPr="00844BD4">
        <w:t xml:space="preserve"> to explore the effect</w:t>
      </w:r>
      <w:r w:rsidR="00194882" w:rsidRPr="00844BD4">
        <w:t>s</w:t>
      </w:r>
      <w:r w:rsidRPr="00844BD4">
        <w:t xml:space="preserve"> of </w:t>
      </w:r>
      <w:r w:rsidR="00194882" w:rsidRPr="00844BD4">
        <w:t>a</w:t>
      </w:r>
      <w:r w:rsidRPr="00844BD4">
        <w:t xml:space="preserve"> </w:t>
      </w:r>
      <w:r w:rsidR="00194882" w:rsidRPr="00844BD4">
        <w:t>reduction</w:t>
      </w:r>
      <w:r w:rsidRPr="00844BD4">
        <w:t xml:space="preserve"> in the output of the </w:t>
      </w:r>
      <w:r w:rsidR="00115C9D" w:rsidRPr="00844BD4">
        <w:t xml:space="preserve">TEI </w:t>
      </w:r>
      <w:r w:rsidRPr="00844BD4">
        <w:t xml:space="preserve">after the Japanese disaster of 2011, and the subsequent </w:t>
      </w:r>
      <w:r w:rsidR="00D11BF0">
        <w:t xml:space="preserve">(standard) </w:t>
      </w:r>
      <w:r w:rsidR="00155AA9" w:rsidRPr="00844BD4">
        <w:t xml:space="preserve">backward </w:t>
      </w:r>
      <w:r w:rsidR="00D11BF0">
        <w:t xml:space="preserve">effect </w:t>
      </w:r>
      <w:r w:rsidRPr="00844BD4">
        <w:t xml:space="preserve">and </w:t>
      </w:r>
      <w:r w:rsidR="00D11BF0">
        <w:t>supply chain disruption</w:t>
      </w:r>
      <w:r w:rsidR="00D11BF0" w:rsidRPr="00844BD4">
        <w:t xml:space="preserve"> </w:t>
      </w:r>
      <w:r w:rsidRPr="00844BD4">
        <w:t>effect.</w:t>
      </w:r>
    </w:p>
    <w:p w:rsidR="00236D5B" w:rsidRDefault="006B2C7D" w:rsidP="00CE33BD">
      <w:pPr>
        <w:spacing w:line="360" w:lineRule="auto"/>
        <w:ind w:firstLine="567"/>
        <w:jc w:val="both"/>
      </w:pPr>
      <w:r w:rsidRPr="00844BD4">
        <w:t xml:space="preserve">The data used to build the </w:t>
      </w:r>
      <w:r w:rsidR="003E03AD" w:rsidRPr="00844BD4">
        <w:t>MRIO</w:t>
      </w:r>
      <w:r w:rsidR="00E87EB6" w:rsidRPr="00844BD4">
        <w:t xml:space="preserve"> model ha</w:t>
      </w:r>
      <w:r w:rsidR="00517E72" w:rsidRPr="00844BD4">
        <w:t>ve</w:t>
      </w:r>
      <w:r w:rsidR="00E87EB6" w:rsidRPr="00844BD4">
        <w:t xml:space="preserve"> been obtained from the symmetric </w:t>
      </w:r>
      <w:r w:rsidR="00C90931" w:rsidRPr="00844BD4">
        <w:t>w</w:t>
      </w:r>
      <w:r w:rsidR="00155AA9" w:rsidRPr="00844BD4">
        <w:t xml:space="preserve">orld </w:t>
      </w:r>
      <w:r w:rsidR="00517E72" w:rsidRPr="00844BD4">
        <w:t>input-output table</w:t>
      </w:r>
      <w:r w:rsidR="00155AA9" w:rsidRPr="00844BD4">
        <w:t xml:space="preserve"> (WIOT) </w:t>
      </w:r>
      <w:r w:rsidR="00E87EB6" w:rsidRPr="00844BD4">
        <w:t xml:space="preserve">of the year </w:t>
      </w:r>
      <w:r w:rsidR="007722AE">
        <w:t xml:space="preserve">2010 (i.e. the year before the earthquake) </w:t>
      </w:r>
      <w:r w:rsidR="00E87EB6" w:rsidRPr="00844BD4">
        <w:t>of the WIOD database</w:t>
      </w:r>
      <w:r w:rsidR="0053067C" w:rsidRPr="00844BD4">
        <w:t xml:space="preserve"> (Dietzenbacher et al., 2013)</w:t>
      </w:r>
      <w:r w:rsidR="00E87EB6" w:rsidRPr="00844BD4">
        <w:t xml:space="preserve">. </w:t>
      </w:r>
      <w:r w:rsidR="00C90931" w:rsidRPr="00844BD4">
        <w:t>Th</w:t>
      </w:r>
      <w:r w:rsidR="0081436C">
        <w:t>is</w:t>
      </w:r>
      <w:r w:rsidR="00C90931" w:rsidRPr="00844BD4">
        <w:t xml:space="preserve"> table cover</w:t>
      </w:r>
      <w:r w:rsidR="00BC1D4C">
        <w:t>s</w:t>
      </w:r>
      <w:r w:rsidR="00C90931" w:rsidRPr="00844BD4">
        <w:t xml:space="preserve"> 35 industries and 41 countries (27 EU countries, 13 non-EU countries and the Rest of the World as an aggregated region). The mixed MRIO model has been structured following the </w:t>
      </w:r>
      <w:r w:rsidR="00BC1D4C" w:rsidRPr="00844BD4">
        <w:t xml:space="preserve">sector </w:t>
      </w:r>
      <w:r w:rsidR="00C90931" w:rsidRPr="00844BD4">
        <w:t xml:space="preserve">and </w:t>
      </w:r>
      <w:r w:rsidR="00BC1D4C" w:rsidRPr="00844BD4">
        <w:t xml:space="preserve">country </w:t>
      </w:r>
      <w:r w:rsidR="00C90931" w:rsidRPr="00844BD4">
        <w:t>specification</w:t>
      </w:r>
      <w:r w:rsidR="00BC1D4C">
        <w:t>s</w:t>
      </w:r>
      <w:r w:rsidR="00C90931" w:rsidRPr="00844BD4">
        <w:t xml:space="preserve"> of the WIOT (i.e. 35 sectors and 41 regions). </w:t>
      </w:r>
    </w:p>
    <w:p w:rsidR="00000C66" w:rsidRPr="00236D5B" w:rsidRDefault="00A12E2E" w:rsidP="00CE33BD">
      <w:pPr>
        <w:spacing w:line="360" w:lineRule="auto"/>
        <w:ind w:firstLine="567"/>
        <w:jc w:val="both"/>
      </w:pPr>
      <w:r w:rsidRPr="00844BD4">
        <w:t>In addition</w:t>
      </w:r>
      <w:r w:rsidR="001B2EF4" w:rsidRPr="00844BD4">
        <w:t>, in order to run the model, information on the reduction of the output of the TEI</w:t>
      </w:r>
      <w:r w:rsidRPr="00844BD4">
        <w:t xml:space="preserve"> (exogenous variables) is needed</w:t>
      </w:r>
      <w:r w:rsidR="001B2EF4" w:rsidRPr="00844BD4">
        <w:t xml:space="preserve">. </w:t>
      </w:r>
      <w:r w:rsidR="0034021D" w:rsidRPr="00844BD4">
        <w:t>On</w:t>
      </w:r>
      <w:r w:rsidR="001B2EF4" w:rsidRPr="00844BD4">
        <w:t>e data source could be the change in the</w:t>
      </w:r>
      <w:r w:rsidR="0034021D" w:rsidRPr="00844BD4">
        <w:t xml:space="preserve"> industrial production </w:t>
      </w:r>
      <w:r w:rsidR="001B2EF4" w:rsidRPr="00844BD4">
        <w:t>reported</w:t>
      </w:r>
      <w:r w:rsidR="0034021D" w:rsidRPr="00844BD4">
        <w:t xml:space="preserve"> by national statistical institutes. However, th</w:t>
      </w:r>
      <w:r w:rsidR="00052566" w:rsidRPr="00844BD4">
        <w:t>e</w:t>
      </w:r>
      <w:r w:rsidR="0034021D" w:rsidRPr="00844BD4">
        <w:t>s</w:t>
      </w:r>
      <w:r w:rsidR="00052566" w:rsidRPr="00844BD4">
        <w:t>e</w:t>
      </w:r>
      <w:r w:rsidR="0034021D" w:rsidRPr="00844BD4">
        <w:t xml:space="preserve"> </w:t>
      </w:r>
      <w:r w:rsidR="0083165F" w:rsidRPr="00844BD4">
        <w:t>data</w:t>
      </w:r>
      <w:r w:rsidR="00FF18D0" w:rsidRPr="00844BD4">
        <w:t xml:space="preserve"> </w:t>
      </w:r>
      <w:r w:rsidR="0034021D" w:rsidRPr="00844BD4">
        <w:t xml:space="preserve">do not show </w:t>
      </w:r>
      <w:r w:rsidR="00052566" w:rsidRPr="00844BD4">
        <w:t xml:space="preserve">the </w:t>
      </w:r>
      <w:r w:rsidR="0034021D" w:rsidRPr="00844BD4">
        <w:t xml:space="preserve">extent </w:t>
      </w:r>
      <w:r w:rsidR="00052566" w:rsidRPr="00844BD4">
        <w:t xml:space="preserve">to which </w:t>
      </w:r>
      <w:r w:rsidR="0034021D" w:rsidRPr="00844BD4">
        <w:t xml:space="preserve">the change in production levels is </w:t>
      </w:r>
      <w:r w:rsidR="00FF18D0" w:rsidRPr="00844BD4">
        <w:t xml:space="preserve">the </w:t>
      </w:r>
      <w:r w:rsidR="0034021D" w:rsidRPr="00844BD4">
        <w:t>consequence of the shock on the TEI</w:t>
      </w:r>
      <w:r w:rsidR="001B2EF4" w:rsidRPr="00844BD4">
        <w:t xml:space="preserve">. </w:t>
      </w:r>
    </w:p>
    <w:p w:rsidR="00F73887" w:rsidRPr="00844BD4" w:rsidRDefault="00DC0C66" w:rsidP="00CE33BD">
      <w:pPr>
        <w:spacing w:line="360" w:lineRule="auto"/>
        <w:ind w:firstLine="567"/>
        <w:jc w:val="both"/>
      </w:pPr>
      <w:r>
        <w:t>The</w:t>
      </w:r>
      <w:r w:rsidR="00A12E2E" w:rsidRPr="00844BD4">
        <w:t xml:space="preserve"> optio</w:t>
      </w:r>
      <w:r>
        <w:t xml:space="preserve">n that </w:t>
      </w:r>
      <w:r w:rsidR="00000C66" w:rsidRPr="00844BD4">
        <w:t>we have used</w:t>
      </w:r>
      <w:r w:rsidR="00A12E2E" w:rsidRPr="00844BD4">
        <w:t xml:space="preserve"> consist</w:t>
      </w:r>
      <w:r w:rsidR="00000C66" w:rsidRPr="00844BD4">
        <w:t>s</w:t>
      </w:r>
      <w:r w:rsidR="00A12E2E" w:rsidRPr="00844BD4">
        <w:t xml:space="preserve"> o</w:t>
      </w:r>
      <w:r w:rsidR="00052566" w:rsidRPr="00844BD4">
        <w:t>f</w:t>
      </w:r>
      <w:r w:rsidR="00A12E2E" w:rsidRPr="00844BD4">
        <w:t xml:space="preserve"> using micro data on the</w:t>
      </w:r>
      <w:r w:rsidR="00000C66" w:rsidRPr="00844BD4">
        <w:t xml:space="preserve"> actual</w:t>
      </w:r>
      <w:r w:rsidR="00A12E2E" w:rsidRPr="00844BD4">
        <w:t xml:space="preserve"> impact of the shock. </w:t>
      </w:r>
      <w:r w:rsidR="00000C66" w:rsidRPr="00844BD4">
        <w:t>J</w:t>
      </w:r>
      <w:r w:rsidR="0034021D" w:rsidRPr="00844BD4">
        <w:t xml:space="preserve">ust </w:t>
      </w:r>
      <w:r w:rsidR="00000C66" w:rsidRPr="00844BD4">
        <w:t>a few months after</w:t>
      </w:r>
      <w:r w:rsidR="0034021D" w:rsidRPr="00844BD4">
        <w:t xml:space="preserve"> the Japanese disaster, some reports were published assessing the detailed impacts of the disruption on the supply chain in the car industry </w:t>
      </w:r>
      <w:r w:rsidR="00A12E2E" w:rsidRPr="00844BD4">
        <w:t>all over</w:t>
      </w:r>
      <w:r w:rsidR="0034021D" w:rsidRPr="00844BD4">
        <w:t xml:space="preserve"> the world. In June 2011, </w:t>
      </w:r>
      <w:r w:rsidR="00DE0063">
        <w:fldChar w:fldCharType="begin"/>
      </w:r>
      <w:r w:rsidR="00DE0063">
        <w:instrText xml:space="preserve"> ADDIN ZOTERO_ITEM CSL_CITATION {"citationID":"290fk5jm85","properties":{"formattedCitation":"(Robinet, 2011)","plainCitation":"(Robinet, 2011)"},"citationItems":[{"id":2815,"uris":["http://zotero.org/groups/271383/items/IB4T5ZHG"],"uri":["http://zotero.org/groups/271383/items/IB4T5ZHG"],"itemData":{"id":2815,"type":"webpage","title":"Japan Disaster Output Impacts Update","URL":"http://www.oesa.org/Doc-Vault/Knowledge-Center/Archived-Docs/Japan-Earthquake-Information/IHS-Japan-Disaster-Output-Impact-Update-June-10.pdf","author":[{"family":"Robinet","given":"M."}],"issued":{"date-parts":[["2011"]]}}}],"schema":"https://github.com/citation-style-language/schema/raw/master/csl-citation.json"} </w:instrText>
      </w:r>
      <w:r w:rsidR="00DE0063">
        <w:fldChar w:fldCharType="separate"/>
      </w:r>
      <w:r w:rsidR="005B3396" w:rsidRPr="005B3396">
        <w:t>(Robinet, 2011)</w:t>
      </w:r>
      <w:r w:rsidR="00DE0063">
        <w:fldChar w:fldCharType="end"/>
      </w:r>
      <w:r w:rsidR="00467420" w:rsidRPr="00844BD4">
        <w:t xml:space="preserve"> </w:t>
      </w:r>
      <w:r w:rsidR="00E87EB6" w:rsidRPr="00844BD4">
        <w:t xml:space="preserve">quantified the reduction in the </w:t>
      </w:r>
      <w:r w:rsidR="00000C66" w:rsidRPr="00844BD4">
        <w:t>production</w:t>
      </w:r>
      <w:r w:rsidR="00E87EB6" w:rsidRPr="00844BD4">
        <w:t xml:space="preserve"> of Light Vehicles (LV)</w:t>
      </w:r>
      <w:r w:rsidR="0081436C">
        <w:t xml:space="preserve">, including </w:t>
      </w:r>
      <w:r w:rsidR="0081436C" w:rsidRPr="0081436C">
        <w:t>passenger cars and light commercial vans</w:t>
      </w:r>
      <w:r w:rsidR="0081436C">
        <w:t>,</w:t>
      </w:r>
      <w:r w:rsidR="00E87EB6" w:rsidRPr="00844BD4">
        <w:t xml:space="preserve"> due to the disruption in the supply</w:t>
      </w:r>
      <w:r w:rsidR="00517E72" w:rsidRPr="00844BD4">
        <w:t xml:space="preserve"> </w:t>
      </w:r>
      <w:r w:rsidR="00E87EB6" w:rsidRPr="00844BD4">
        <w:t xml:space="preserve">chain after the Japanese disaster for 129 facilities around the world between </w:t>
      </w:r>
      <w:r w:rsidR="00514CD6" w:rsidRPr="00844BD4">
        <w:t>11</w:t>
      </w:r>
      <w:r w:rsidR="00514CD6" w:rsidRPr="00844BD4">
        <w:rPr>
          <w:vertAlign w:val="superscript"/>
        </w:rPr>
        <w:t>th</w:t>
      </w:r>
      <w:r w:rsidR="00514CD6" w:rsidRPr="00844BD4">
        <w:t xml:space="preserve"> </w:t>
      </w:r>
      <w:r w:rsidR="00E87EB6" w:rsidRPr="00844BD4">
        <w:t xml:space="preserve">March </w:t>
      </w:r>
      <w:r w:rsidR="00514CD6" w:rsidRPr="00844BD4">
        <w:t>and 3</w:t>
      </w:r>
      <w:r w:rsidR="00514CD6" w:rsidRPr="00844BD4">
        <w:rPr>
          <w:vertAlign w:val="superscript"/>
        </w:rPr>
        <w:t>rd</w:t>
      </w:r>
      <w:r w:rsidR="00E87EB6" w:rsidRPr="00844BD4">
        <w:t xml:space="preserve"> </w:t>
      </w:r>
      <w:r w:rsidR="00514CD6" w:rsidRPr="00844BD4">
        <w:t>June</w:t>
      </w:r>
      <w:r w:rsidR="00E87EB6" w:rsidRPr="00844BD4">
        <w:t xml:space="preserve"> 2011.</w:t>
      </w:r>
      <w:r w:rsidR="00514CD6" w:rsidRPr="00844BD4">
        <w:rPr>
          <w:rStyle w:val="FootnoteReference"/>
        </w:rPr>
        <w:footnoteReference w:id="7"/>
      </w:r>
      <w:r w:rsidR="00FF18D0" w:rsidRPr="00844BD4">
        <w:t xml:space="preserve"> </w:t>
      </w:r>
      <w:r w:rsidR="00E87EB6" w:rsidRPr="00844BD4">
        <w:t xml:space="preserve">Starting </w:t>
      </w:r>
      <w:r w:rsidR="00693122" w:rsidRPr="00844BD4">
        <w:t xml:space="preserve">with </w:t>
      </w:r>
      <w:r w:rsidR="00E87EB6" w:rsidRPr="00844BD4">
        <w:t>th</w:t>
      </w:r>
      <w:r w:rsidR="00693122" w:rsidRPr="00844BD4">
        <w:t>e</w:t>
      </w:r>
      <w:r w:rsidR="00E87EB6" w:rsidRPr="00844BD4">
        <w:t>s</w:t>
      </w:r>
      <w:r w:rsidR="00693122" w:rsidRPr="00844BD4">
        <w:t>e</w:t>
      </w:r>
      <w:r w:rsidR="00E87EB6" w:rsidRPr="00844BD4">
        <w:t xml:space="preserve"> data, we have aggregated those reductions by facility at the country level (2</w:t>
      </w:r>
      <w:r w:rsidR="00E87EB6" w:rsidRPr="00844BD4">
        <w:rPr>
          <w:vertAlign w:val="superscript"/>
        </w:rPr>
        <w:t>nd</w:t>
      </w:r>
      <w:r w:rsidR="00E87EB6" w:rsidRPr="00844BD4">
        <w:t xml:space="preserve"> column of </w:t>
      </w:r>
      <w:r w:rsidR="00693122" w:rsidRPr="00844BD4">
        <w:t>T</w:t>
      </w:r>
      <w:r w:rsidR="00E87EB6" w:rsidRPr="00844BD4">
        <w:t xml:space="preserve">able </w:t>
      </w:r>
      <w:r w:rsidR="00003B37">
        <w:t>1</w:t>
      </w:r>
      <w:r w:rsidR="00E87EB6" w:rsidRPr="00844BD4">
        <w:t>) and we have divided these figures by</w:t>
      </w:r>
      <w:r w:rsidR="00194882" w:rsidRPr="00844BD4">
        <w:t xml:space="preserve"> the</w:t>
      </w:r>
      <w:r w:rsidR="00E87EB6" w:rsidRPr="00844BD4">
        <w:t xml:space="preserve"> total LV production of the year 2010 from the International Organization of Motor Vehicle Manufacturers </w:t>
      </w:r>
      <w:r w:rsidR="009C19BA">
        <w:fldChar w:fldCharType="begin"/>
      </w:r>
      <w:r w:rsidR="009C19BA">
        <w:instrText xml:space="preserve"> ADDIN ZOTERO_ITEM CSL_CITATION {"citationID":"rsv0qarce","properties":{"formattedCitation":"(OICA, 2012)","plainCitation":"(OICA, 2012)"},"citationItems":[{"id":2794,"uris":["http://zotero.org/groups/271383/items/5RSQSF9F"],"uri":["http://zotero.org/groups/271383/items/5RSQSF9F"],"itemData":{"id":2794,"type":"webpage","title":"Production Statistics. 2010 Statistics","URL":"http://oica.net/category/production-statistics/2010-statistics/","author":[{"family":"OICA","given":""}],"issued":{"date-parts":[["2012"]]}}}],"schema":"https://github.com/citation-style-language/schema/raw/master/csl-citation.json"} </w:instrText>
      </w:r>
      <w:r w:rsidR="009C19BA">
        <w:fldChar w:fldCharType="separate"/>
      </w:r>
      <w:r w:rsidR="005B3396" w:rsidRPr="005B3396">
        <w:t>(OICA, 2012)</w:t>
      </w:r>
      <w:r w:rsidR="009C19BA">
        <w:fldChar w:fldCharType="end"/>
      </w:r>
      <w:r w:rsidR="00E87EB6" w:rsidRPr="00844BD4">
        <w:t xml:space="preserve"> (</w:t>
      </w:r>
      <w:r w:rsidR="00000C66" w:rsidRPr="00844BD4">
        <w:t>4</w:t>
      </w:r>
      <w:r w:rsidR="00000C66" w:rsidRPr="00844BD4">
        <w:rPr>
          <w:vertAlign w:val="superscript"/>
        </w:rPr>
        <w:t>th</w:t>
      </w:r>
      <w:r w:rsidR="00E87EB6" w:rsidRPr="00844BD4">
        <w:t xml:space="preserve"> column of </w:t>
      </w:r>
      <w:r w:rsidR="00693122" w:rsidRPr="00844BD4">
        <w:t>T</w:t>
      </w:r>
      <w:r w:rsidR="00E87EB6" w:rsidRPr="00844BD4">
        <w:t xml:space="preserve">able </w:t>
      </w:r>
      <w:r w:rsidR="00003B37">
        <w:t>1</w:t>
      </w:r>
      <w:r w:rsidR="00E87EB6" w:rsidRPr="00844BD4">
        <w:t xml:space="preserve">), obtaining the change in the production of LV due to </w:t>
      </w:r>
      <w:r w:rsidR="00693122" w:rsidRPr="00844BD4">
        <w:t xml:space="preserve">the </w:t>
      </w:r>
      <w:r w:rsidR="00E87EB6" w:rsidRPr="00844BD4">
        <w:t>Japanese disaster (</w:t>
      </w:r>
      <w:r w:rsidR="00000C66" w:rsidRPr="00844BD4">
        <w:t>5</w:t>
      </w:r>
      <w:r w:rsidR="00E87EB6" w:rsidRPr="00844BD4">
        <w:rPr>
          <w:vertAlign w:val="superscript"/>
        </w:rPr>
        <w:t>th</w:t>
      </w:r>
      <w:r w:rsidR="00E87EB6" w:rsidRPr="00844BD4">
        <w:t xml:space="preserve"> column of </w:t>
      </w:r>
      <w:r w:rsidR="00693122" w:rsidRPr="00844BD4">
        <w:t>T</w:t>
      </w:r>
      <w:r w:rsidR="00E87EB6" w:rsidRPr="00844BD4">
        <w:t xml:space="preserve">able </w:t>
      </w:r>
      <w:r w:rsidR="00003B37">
        <w:t>1</w:t>
      </w:r>
      <w:r w:rsidR="00E87EB6" w:rsidRPr="00844BD4">
        <w:t xml:space="preserve">). Finally, for each country, we have calculated the reduction in the total output of the </w:t>
      </w:r>
      <w:r w:rsidR="00115C9D" w:rsidRPr="00844BD4">
        <w:t xml:space="preserve">TEI </w:t>
      </w:r>
      <w:r w:rsidR="00E87EB6" w:rsidRPr="00844BD4">
        <w:t xml:space="preserve">assuming that the reduction in the output of the whole </w:t>
      </w:r>
      <w:r w:rsidR="00115C9D" w:rsidRPr="00844BD4">
        <w:t xml:space="preserve">TEI </w:t>
      </w:r>
      <w:r w:rsidR="00E87EB6" w:rsidRPr="00844BD4">
        <w:t>was equal to that of the LV industry</w:t>
      </w:r>
      <w:r w:rsidR="00000C66" w:rsidRPr="00844BD4">
        <w:t xml:space="preserve"> (6</w:t>
      </w:r>
      <w:r w:rsidR="00E87EB6" w:rsidRPr="00844BD4">
        <w:rPr>
          <w:vertAlign w:val="superscript"/>
        </w:rPr>
        <w:t>th</w:t>
      </w:r>
      <w:r w:rsidR="00E87EB6" w:rsidRPr="00844BD4">
        <w:t xml:space="preserve"> column of </w:t>
      </w:r>
      <w:r w:rsidR="00693122" w:rsidRPr="00844BD4">
        <w:t>T</w:t>
      </w:r>
      <w:r w:rsidR="00E87EB6" w:rsidRPr="00844BD4">
        <w:t xml:space="preserve">able </w:t>
      </w:r>
      <w:r w:rsidR="00003B37">
        <w:t>1</w:t>
      </w:r>
      <w:r w:rsidR="00E87EB6" w:rsidRPr="00844BD4">
        <w:t>).</w:t>
      </w:r>
      <w:r w:rsidR="003E1DE7" w:rsidRPr="00844BD4">
        <w:rPr>
          <w:rStyle w:val="FootnoteReference"/>
        </w:rPr>
        <w:footnoteReference w:id="8"/>
      </w:r>
    </w:p>
    <w:p w:rsidR="00F73887" w:rsidRDefault="00DC0C66" w:rsidP="00CE33BD">
      <w:pPr>
        <w:spacing w:line="360" w:lineRule="auto"/>
        <w:ind w:firstLine="567"/>
        <w:jc w:val="both"/>
      </w:pPr>
      <w:r>
        <w:t>I</w:t>
      </w:r>
      <w:r w:rsidR="00BC1D4C">
        <w:t xml:space="preserve">n order to compute the impacts due to the disruption on the intermediate demand of the Japanese TEI, </w:t>
      </w:r>
      <w:r w:rsidR="00F73887" w:rsidRPr="00844BD4">
        <w:t>we have taken the reduction in the output of the Japanese TEI</w:t>
      </w:r>
      <w:r w:rsidR="00693122" w:rsidRPr="00844BD4">
        <w:t xml:space="preserve"> as exogenous</w:t>
      </w:r>
      <w:r w:rsidR="00F73887" w:rsidRPr="00844BD4">
        <w:t xml:space="preserve">. This would be represented by the term </w:t>
      </w:r>
      <w:r w:rsidR="00F73887" w:rsidRPr="00844BD4">
        <w:rPr>
          <w:position w:val="-12"/>
        </w:rPr>
        <w:object w:dxaOrig="480" w:dyaOrig="380">
          <v:shape id="_x0000_i1062" type="#_x0000_t75" style="width:24pt;height:18.75pt" o:ole="">
            <v:imagedata r:id="rId82" o:title=""/>
          </v:shape>
          <o:OLEObject Type="Embed" ProgID="Equation.3" ShapeID="_x0000_i1062" DrawAspect="Content" ObjectID="_1519029524" r:id="rId83"/>
        </w:object>
      </w:r>
      <w:r w:rsidR="00F73887" w:rsidRPr="00844BD4">
        <w:t xml:space="preserve"> in equation [10]. On the other hand, in order to overcome the limitations of the mixed MRIO model for capturing the impacts</w:t>
      </w:r>
      <w:r w:rsidR="00C558B9">
        <w:t xml:space="preserve"> of the disruption of the supply chain</w:t>
      </w:r>
      <w:r w:rsidR="00F73887" w:rsidRPr="00844BD4">
        <w:t>, we have also taken the actual reduction in the output of the TEI that was registered in other countries</w:t>
      </w:r>
      <w:r w:rsidR="00693122" w:rsidRPr="00844BD4">
        <w:t xml:space="preserve"> as exogenous</w:t>
      </w:r>
      <w:r w:rsidR="00F73887" w:rsidRPr="00844BD4">
        <w:t xml:space="preserve">. This would be represented by the term </w:t>
      </w:r>
      <w:r w:rsidR="00F73887" w:rsidRPr="00844BD4">
        <w:rPr>
          <w:position w:val="-10"/>
        </w:rPr>
        <w:object w:dxaOrig="440" w:dyaOrig="360">
          <v:shape id="_x0000_i1063" type="#_x0000_t75" style="width:21.75pt;height:18.75pt" o:ole="">
            <v:imagedata r:id="rId84" o:title=""/>
          </v:shape>
          <o:OLEObject Type="Embed" ProgID="Equation.3" ShapeID="_x0000_i1063" DrawAspect="Content" ObjectID="_1519029525" r:id="rId85"/>
        </w:object>
      </w:r>
      <w:r w:rsidR="00F73887" w:rsidRPr="00844BD4">
        <w:t xml:space="preserve"> in equation [11], but now the number of constrained sectors includes all the </w:t>
      </w:r>
      <w:r w:rsidR="00C558B9">
        <w:t xml:space="preserve">other </w:t>
      </w:r>
      <w:r w:rsidR="00F73887" w:rsidRPr="00844BD4">
        <w:t>countries in which the output of the TEI was affected by the disruption in the supply chain (see 5</w:t>
      </w:r>
      <w:r w:rsidR="00F73887" w:rsidRPr="00844BD4">
        <w:rPr>
          <w:vertAlign w:val="superscript"/>
        </w:rPr>
        <w:t>th</w:t>
      </w:r>
      <w:r w:rsidR="00F73887" w:rsidRPr="00844BD4">
        <w:t xml:space="preserve"> column of </w:t>
      </w:r>
      <w:r w:rsidR="00EF5AA4" w:rsidRPr="00844BD4">
        <w:t>T</w:t>
      </w:r>
      <w:r w:rsidR="00F73887" w:rsidRPr="00844BD4">
        <w:t xml:space="preserve">able </w:t>
      </w:r>
      <w:r w:rsidR="00003B37">
        <w:t>1</w:t>
      </w:r>
      <w:r w:rsidR="00F73887" w:rsidRPr="00844BD4">
        <w:t>).</w:t>
      </w:r>
    </w:p>
    <w:p w:rsidR="00236D5B" w:rsidRDefault="00236D5B" w:rsidP="00CE33BD">
      <w:pPr>
        <w:spacing w:line="360" w:lineRule="auto"/>
        <w:jc w:val="both"/>
      </w:pPr>
    </w:p>
    <w:p w:rsidR="00003B37" w:rsidRPr="00844BD4" w:rsidRDefault="00003B37" w:rsidP="00CE33BD">
      <w:pPr>
        <w:spacing w:line="360" w:lineRule="auto"/>
        <w:jc w:val="center"/>
      </w:pPr>
      <w:r>
        <w:t>***INSERT Table 1 ABOUT HERE***</w:t>
      </w:r>
    </w:p>
    <w:p w:rsidR="00003B37" w:rsidRPr="00CE33BD" w:rsidRDefault="00003B37" w:rsidP="00CE33BD">
      <w:pPr>
        <w:spacing w:line="360" w:lineRule="auto"/>
        <w:jc w:val="both"/>
      </w:pPr>
    </w:p>
    <w:p w:rsidR="00954931" w:rsidRPr="00003B37" w:rsidRDefault="00954931" w:rsidP="00CE33BD">
      <w:pPr>
        <w:spacing w:line="360" w:lineRule="auto"/>
        <w:jc w:val="both"/>
      </w:pPr>
    </w:p>
    <w:p w:rsidR="00C754DD" w:rsidRPr="00844BD4" w:rsidRDefault="00405C37" w:rsidP="00CE33BD">
      <w:pPr>
        <w:pStyle w:val="Heading1"/>
        <w:spacing w:before="0" w:after="0" w:line="360" w:lineRule="auto"/>
        <w:rPr>
          <w:rFonts w:cs="Times New Roman"/>
          <w:szCs w:val="24"/>
          <w:lang w:val="en-US"/>
        </w:rPr>
      </w:pPr>
      <w:r w:rsidRPr="00844BD4">
        <w:rPr>
          <w:rFonts w:cs="Times New Roman"/>
          <w:szCs w:val="24"/>
          <w:lang w:val="en-US"/>
        </w:rPr>
        <w:t>3</w:t>
      </w:r>
      <w:r w:rsidR="00C754DD" w:rsidRPr="00844BD4">
        <w:rPr>
          <w:rFonts w:cs="Times New Roman"/>
          <w:szCs w:val="24"/>
          <w:lang w:val="en-US"/>
        </w:rPr>
        <w:t>. Results</w:t>
      </w:r>
    </w:p>
    <w:p w:rsidR="00003B37" w:rsidRDefault="00003B37" w:rsidP="00CE33BD">
      <w:pPr>
        <w:spacing w:line="360" w:lineRule="auto"/>
        <w:jc w:val="both"/>
        <w:rPr>
          <w:lang w:val="en-US"/>
        </w:rPr>
      </w:pPr>
    </w:p>
    <w:p w:rsidR="00003B37" w:rsidRDefault="00C754DD" w:rsidP="00CE33BD">
      <w:pPr>
        <w:spacing w:line="360" w:lineRule="auto"/>
        <w:jc w:val="both"/>
        <w:rPr>
          <w:lang w:val="en-US"/>
        </w:rPr>
      </w:pPr>
      <w:r w:rsidRPr="00844BD4">
        <w:rPr>
          <w:lang w:val="en-US"/>
        </w:rPr>
        <w:t xml:space="preserve">As a consequence of the catastrophic events that struck Japan </w:t>
      </w:r>
      <w:r w:rsidR="00026DA9" w:rsidRPr="00844BD4">
        <w:rPr>
          <w:lang w:val="en-US"/>
        </w:rPr>
        <w:t>i</w:t>
      </w:r>
      <w:r w:rsidRPr="00844BD4">
        <w:rPr>
          <w:lang w:val="en-US"/>
        </w:rPr>
        <w:t xml:space="preserve">n March 2011, the </w:t>
      </w:r>
      <w:r w:rsidR="003E1DE7" w:rsidRPr="00844BD4">
        <w:rPr>
          <w:lang w:val="en-US"/>
        </w:rPr>
        <w:t xml:space="preserve">Japanese </w:t>
      </w:r>
      <w:r w:rsidR="00115C9D" w:rsidRPr="00844BD4">
        <w:t xml:space="preserve">TEI </w:t>
      </w:r>
      <w:r w:rsidR="004C2C26" w:rsidRPr="00844BD4">
        <w:rPr>
          <w:lang w:val="en-US"/>
        </w:rPr>
        <w:t>reduced it</w:t>
      </w:r>
      <w:r w:rsidR="00CB19AB" w:rsidRPr="00844BD4">
        <w:rPr>
          <w:lang w:val="en-US"/>
        </w:rPr>
        <w:t>s</w:t>
      </w:r>
      <w:r w:rsidR="004C2C26" w:rsidRPr="00844BD4">
        <w:rPr>
          <w:lang w:val="en-US"/>
        </w:rPr>
        <w:t xml:space="preserve"> output by </w:t>
      </w:r>
      <w:r w:rsidR="00B87B5A" w:rsidRPr="00844BD4">
        <w:rPr>
          <w:lang w:val="en-US"/>
        </w:rPr>
        <w:t>4.7%</w:t>
      </w:r>
      <w:r w:rsidR="004C2C26" w:rsidRPr="00844BD4">
        <w:rPr>
          <w:lang w:val="en-US"/>
        </w:rPr>
        <w:t xml:space="preserve"> (column</w:t>
      </w:r>
      <w:r w:rsidR="00C558B9">
        <w:rPr>
          <w:lang w:val="en-US"/>
        </w:rPr>
        <w:t xml:space="preserve"> 7</w:t>
      </w:r>
      <w:r w:rsidR="004C2C26" w:rsidRPr="00844BD4">
        <w:rPr>
          <w:lang w:val="en-US"/>
        </w:rPr>
        <w:t xml:space="preserve"> of Table</w:t>
      </w:r>
      <w:r w:rsidR="00026DA9" w:rsidRPr="00844BD4">
        <w:rPr>
          <w:lang w:val="en-US"/>
        </w:rPr>
        <w:t xml:space="preserve"> </w:t>
      </w:r>
      <w:r w:rsidR="00003B37">
        <w:rPr>
          <w:lang w:val="en-US"/>
        </w:rPr>
        <w:t>1</w:t>
      </w:r>
      <w:r w:rsidR="004C2C26" w:rsidRPr="00844BD4">
        <w:rPr>
          <w:lang w:val="en-US"/>
        </w:rPr>
        <w:t xml:space="preserve">), causing a reduction in the value added of that sector of </w:t>
      </w:r>
      <w:r w:rsidR="00D54F1A" w:rsidRPr="00844BD4">
        <w:rPr>
          <w:lang w:val="en-US"/>
        </w:rPr>
        <w:t>US$</w:t>
      </w:r>
      <w:r w:rsidR="007722AE">
        <w:rPr>
          <w:lang w:val="en-US"/>
        </w:rPr>
        <w:t>25</w:t>
      </w:r>
      <w:r w:rsidR="004C2C26" w:rsidRPr="00844BD4">
        <w:rPr>
          <w:lang w:val="en-US"/>
        </w:rPr>
        <w:t xml:space="preserve"> billion</w:t>
      </w:r>
      <w:r w:rsidR="00165DB9" w:rsidRPr="00844BD4">
        <w:rPr>
          <w:lang w:val="en-US"/>
        </w:rPr>
        <w:t xml:space="preserve"> (column </w:t>
      </w:r>
      <w:r w:rsidR="00C558B9">
        <w:rPr>
          <w:lang w:val="en-US"/>
        </w:rPr>
        <w:t xml:space="preserve">2 </w:t>
      </w:r>
      <w:r w:rsidR="00165DB9" w:rsidRPr="00844BD4">
        <w:rPr>
          <w:lang w:val="en-US"/>
        </w:rPr>
        <w:t xml:space="preserve">of Table </w:t>
      </w:r>
      <w:r w:rsidR="00003B37">
        <w:rPr>
          <w:lang w:val="en-US"/>
        </w:rPr>
        <w:t>2</w:t>
      </w:r>
      <w:r w:rsidR="00E8009F" w:rsidRPr="00844BD4">
        <w:rPr>
          <w:lang w:val="en-US"/>
        </w:rPr>
        <w:t>)</w:t>
      </w:r>
      <w:r w:rsidR="004C2C26" w:rsidRPr="00844BD4">
        <w:rPr>
          <w:lang w:val="en-US"/>
        </w:rPr>
        <w:t xml:space="preserve">. This event </w:t>
      </w:r>
      <w:r w:rsidR="00026DA9" w:rsidRPr="00844BD4">
        <w:rPr>
          <w:lang w:val="en-US"/>
        </w:rPr>
        <w:t xml:space="preserve">also </w:t>
      </w:r>
      <w:r w:rsidR="004C2C26" w:rsidRPr="00844BD4">
        <w:rPr>
          <w:lang w:val="en-US"/>
        </w:rPr>
        <w:t>had consequence</w:t>
      </w:r>
      <w:r w:rsidR="00522B84" w:rsidRPr="00844BD4">
        <w:rPr>
          <w:lang w:val="en-US"/>
        </w:rPr>
        <w:t>s</w:t>
      </w:r>
      <w:r w:rsidR="004C2C26" w:rsidRPr="00844BD4">
        <w:rPr>
          <w:lang w:val="en-US"/>
        </w:rPr>
        <w:t xml:space="preserve"> </w:t>
      </w:r>
      <w:r w:rsidR="00026DA9" w:rsidRPr="00844BD4">
        <w:rPr>
          <w:lang w:val="en-US"/>
        </w:rPr>
        <w:t xml:space="preserve">for </w:t>
      </w:r>
      <w:r w:rsidR="004C2C26" w:rsidRPr="00844BD4">
        <w:rPr>
          <w:lang w:val="en-US"/>
        </w:rPr>
        <w:t xml:space="preserve">the </w:t>
      </w:r>
      <w:r w:rsidR="00E03679" w:rsidRPr="00844BD4">
        <w:rPr>
          <w:lang w:val="en-US"/>
        </w:rPr>
        <w:t xml:space="preserve">different steps of the </w:t>
      </w:r>
      <w:r w:rsidRPr="00844BD4">
        <w:rPr>
          <w:lang w:val="en-US"/>
        </w:rPr>
        <w:t>supply</w:t>
      </w:r>
      <w:r w:rsidR="00501B9B" w:rsidRPr="00844BD4">
        <w:rPr>
          <w:lang w:val="en-US"/>
        </w:rPr>
        <w:t xml:space="preserve"> </w:t>
      </w:r>
      <w:r w:rsidRPr="00844BD4">
        <w:rPr>
          <w:lang w:val="en-US"/>
        </w:rPr>
        <w:t xml:space="preserve">chain of the </w:t>
      </w:r>
      <w:r w:rsidR="00F77FA2" w:rsidRPr="00844BD4">
        <w:rPr>
          <w:lang w:val="en-US"/>
        </w:rPr>
        <w:t>TEI</w:t>
      </w:r>
      <w:r w:rsidRPr="00844BD4">
        <w:rPr>
          <w:lang w:val="en-US"/>
        </w:rPr>
        <w:t xml:space="preserve"> all over the world</w:t>
      </w:r>
      <w:r w:rsidR="00522B84" w:rsidRPr="00844BD4">
        <w:rPr>
          <w:lang w:val="en-US"/>
        </w:rPr>
        <w:t>, generating additiona</w:t>
      </w:r>
      <w:r w:rsidR="00165DB9" w:rsidRPr="00844BD4">
        <w:rPr>
          <w:lang w:val="en-US"/>
        </w:rPr>
        <w:t xml:space="preserve">l </w:t>
      </w:r>
      <w:r w:rsidR="00026DA9" w:rsidRPr="00844BD4">
        <w:rPr>
          <w:lang w:val="en-US"/>
        </w:rPr>
        <w:t xml:space="preserve">losses of </w:t>
      </w:r>
      <w:r w:rsidR="00D54F1A" w:rsidRPr="00844BD4">
        <w:rPr>
          <w:lang w:val="en-US"/>
        </w:rPr>
        <w:t>US$</w:t>
      </w:r>
      <w:r w:rsidR="007722AE">
        <w:rPr>
          <w:lang w:val="en-US"/>
        </w:rPr>
        <w:t>11</w:t>
      </w:r>
      <w:r w:rsidR="00C558B9">
        <w:rPr>
          <w:lang w:val="en-US"/>
        </w:rPr>
        <w:t>4</w:t>
      </w:r>
      <w:r w:rsidR="005E4B76">
        <w:rPr>
          <w:lang w:val="en-US"/>
        </w:rPr>
        <w:t xml:space="preserve"> </w:t>
      </w:r>
      <w:r w:rsidR="00165DB9" w:rsidRPr="00844BD4">
        <w:rPr>
          <w:lang w:val="en-US"/>
        </w:rPr>
        <w:t xml:space="preserve">billion (Table </w:t>
      </w:r>
      <w:r w:rsidR="00003B37">
        <w:rPr>
          <w:lang w:val="en-US"/>
        </w:rPr>
        <w:t>2</w:t>
      </w:r>
      <w:r w:rsidR="00522B84" w:rsidRPr="00844BD4">
        <w:rPr>
          <w:lang w:val="en-US"/>
        </w:rPr>
        <w:t>, column</w:t>
      </w:r>
      <w:r w:rsidR="00D11BF0">
        <w:rPr>
          <w:lang w:val="en-US"/>
        </w:rPr>
        <w:t>s 3 to 7</w:t>
      </w:r>
      <w:r w:rsidR="00522B84" w:rsidRPr="00844BD4">
        <w:rPr>
          <w:lang w:val="en-US"/>
        </w:rPr>
        <w:t xml:space="preserve">). Thus, the total reduction in the global value added </w:t>
      </w:r>
      <w:r w:rsidR="00875561" w:rsidRPr="00844BD4">
        <w:rPr>
          <w:lang w:val="en-US"/>
        </w:rPr>
        <w:t>totaled</w:t>
      </w:r>
      <w:r w:rsidR="00522B84" w:rsidRPr="00844BD4">
        <w:rPr>
          <w:lang w:val="en-US"/>
        </w:rPr>
        <w:t xml:space="preserve"> </w:t>
      </w:r>
      <w:r w:rsidR="00D54F1A" w:rsidRPr="00844BD4">
        <w:rPr>
          <w:lang w:val="en-US"/>
        </w:rPr>
        <w:t>US$</w:t>
      </w:r>
      <w:r w:rsidR="007722AE">
        <w:rPr>
          <w:lang w:val="en-US"/>
        </w:rPr>
        <w:t>13</w:t>
      </w:r>
      <w:r w:rsidR="00C558B9">
        <w:rPr>
          <w:lang w:val="en-US"/>
        </w:rPr>
        <w:t>9</w:t>
      </w:r>
      <w:r w:rsidR="00522B84" w:rsidRPr="00844BD4">
        <w:rPr>
          <w:lang w:val="en-US"/>
        </w:rPr>
        <w:t xml:space="preserve"> billion</w:t>
      </w:r>
      <w:r w:rsidR="004B0518" w:rsidRPr="00844BD4">
        <w:rPr>
          <w:lang w:val="en-US"/>
        </w:rPr>
        <w:t xml:space="preserve"> </w:t>
      </w:r>
      <w:r w:rsidR="00522B84" w:rsidRPr="00844BD4">
        <w:rPr>
          <w:lang w:val="en-US"/>
        </w:rPr>
        <w:t xml:space="preserve">(Table </w:t>
      </w:r>
      <w:r w:rsidR="00003B37">
        <w:rPr>
          <w:lang w:val="en-US"/>
        </w:rPr>
        <w:t>2</w:t>
      </w:r>
      <w:r w:rsidR="00522B84" w:rsidRPr="00844BD4">
        <w:rPr>
          <w:lang w:val="en-US"/>
        </w:rPr>
        <w:t>, column</w:t>
      </w:r>
      <w:r w:rsidR="00C558B9">
        <w:rPr>
          <w:lang w:val="en-US"/>
        </w:rPr>
        <w:t xml:space="preserve"> </w:t>
      </w:r>
      <w:r w:rsidR="00D11BF0">
        <w:rPr>
          <w:lang w:val="en-US"/>
        </w:rPr>
        <w:t>8</w:t>
      </w:r>
      <w:r w:rsidR="00522B84" w:rsidRPr="00844BD4">
        <w:rPr>
          <w:lang w:val="en-US"/>
        </w:rPr>
        <w:t>)</w:t>
      </w:r>
      <w:r w:rsidR="004B0518" w:rsidRPr="00844BD4">
        <w:rPr>
          <w:lang w:val="en-US"/>
        </w:rPr>
        <w:t>, equivalent to 0.2</w:t>
      </w:r>
      <w:r w:rsidR="00C558B9">
        <w:rPr>
          <w:lang w:val="en-US"/>
        </w:rPr>
        <w:t>3</w:t>
      </w:r>
      <w:r w:rsidR="004B0518" w:rsidRPr="00844BD4">
        <w:rPr>
          <w:lang w:val="en-US"/>
        </w:rPr>
        <w:t>% of world's value added</w:t>
      </w:r>
      <w:r w:rsidR="007722AE">
        <w:rPr>
          <w:lang w:val="en-US"/>
        </w:rPr>
        <w:t xml:space="preserve"> in 2010</w:t>
      </w:r>
      <w:r w:rsidR="00522B84" w:rsidRPr="00844BD4">
        <w:rPr>
          <w:lang w:val="en-US"/>
        </w:rPr>
        <w:t>.</w:t>
      </w:r>
    </w:p>
    <w:p w:rsidR="00003B37" w:rsidRDefault="00003B37" w:rsidP="00CE33BD">
      <w:pPr>
        <w:spacing w:line="360" w:lineRule="auto"/>
        <w:jc w:val="both"/>
        <w:rPr>
          <w:lang w:val="en-US"/>
        </w:rPr>
      </w:pPr>
    </w:p>
    <w:p w:rsidR="00003B37" w:rsidRDefault="00003B37" w:rsidP="00CE33BD">
      <w:pPr>
        <w:spacing w:line="360" w:lineRule="auto"/>
        <w:jc w:val="center"/>
        <w:rPr>
          <w:lang w:val="en-US"/>
        </w:rPr>
      </w:pPr>
      <w:r>
        <w:rPr>
          <w:lang w:val="en-US"/>
        </w:rPr>
        <w:t>***INSERT Table 2 ABOUT HERE***</w:t>
      </w:r>
    </w:p>
    <w:p w:rsidR="00522B84" w:rsidRPr="00844BD4" w:rsidRDefault="004B0518" w:rsidP="00CE33BD">
      <w:pPr>
        <w:spacing w:line="360" w:lineRule="auto"/>
        <w:jc w:val="both"/>
        <w:rPr>
          <w:lang w:val="en-US"/>
        </w:rPr>
      </w:pPr>
      <w:r w:rsidRPr="00844BD4">
        <w:rPr>
          <w:lang w:val="en-US"/>
        </w:rPr>
        <w:t xml:space="preserve"> </w:t>
      </w:r>
    </w:p>
    <w:p w:rsidR="004B0518" w:rsidRPr="00844BD4" w:rsidRDefault="004B0518" w:rsidP="00CE33BD">
      <w:pPr>
        <w:spacing w:line="360" w:lineRule="auto"/>
        <w:jc w:val="both"/>
      </w:pPr>
      <w:r w:rsidRPr="00844BD4">
        <w:t xml:space="preserve">All the regions analyzed suffered negative effects in terms of value added. In particular, Japan absorbed </w:t>
      </w:r>
      <w:r w:rsidR="007722AE">
        <w:t>39.</w:t>
      </w:r>
      <w:r w:rsidR="00C558B9">
        <w:t>5</w:t>
      </w:r>
      <w:r w:rsidRPr="00844BD4">
        <w:t xml:space="preserve">% of the total impact, with a reduction of the value added of </w:t>
      </w:r>
      <w:r w:rsidR="00D54F1A" w:rsidRPr="00844BD4">
        <w:t>US$</w:t>
      </w:r>
      <w:r w:rsidR="00C558B9">
        <w:t>54.9</w:t>
      </w:r>
      <w:r w:rsidRPr="00844BD4">
        <w:t xml:space="preserve"> billion (</w:t>
      </w:r>
      <w:r w:rsidR="00BE450E">
        <w:t>-1</w:t>
      </w:r>
      <w:r w:rsidRPr="00844BD4">
        <w:t xml:space="preserve">%). </w:t>
      </w:r>
      <w:r w:rsidR="00AF60BA" w:rsidRPr="00844BD4">
        <w:t>Excluding Japan, the United States was the country with the largest reduction in value added (</w:t>
      </w:r>
      <w:r w:rsidR="00D54F1A" w:rsidRPr="00844BD4">
        <w:t>US$</w:t>
      </w:r>
      <w:r w:rsidR="00C558B9">
        <w:t>35.1</w:t>
      </w:r>
      <w:r w:rsidR="00AF60BA" w:rsidRPr="00844BD4">
        <w:t xml:space="preserve"> billion and </w:t>
      </w:r>
      <w:r w:rsidR="00BE450E">
        <w:t>25.</w:t>
      </w:r>
      <w:r w:rsidR="00C558B9">
        <w:t>2</w:t>
      </w:r>
      <w:r w:rsidR="00AF60BA" w:rsidRPr="00844BD4">
        <w:t xml:space="preserve">% of total losses). </w:t>
      </w:r>
      <w:r w:rsidR="00B87B5A" w:rsidRPr="00844BD4">
        <w:t>China</w:t>
      </w:r>
      <w:r w:rsidRPr="00844BD4">
        <w:t xml:space="preserve"> was also </w:t>
      </w:r>
      <w:r w:rsidR="00026DA9" w:rsidRPr="00844BD4">
        <w:t xml:space="preserve">seriously </w:t>
      </w:r>
      <w:r w:rsidRPr="00844BD4">
        <w:t xml:space="preserve">affected by the disruption in the supply-production chain, with an aggregated reduction in the total value added of </w:t>
      </w:r>
      <w:r w:rsidR="00D54F1A" w:rsidRPr="00844BD4">
        <w:t>US$</w:t>
      </w:r>
      <w:r w:rsidR="00C558B9">
        <w:t>11.1</w:t>
      </w:r>
      <w:r w:rsidRPr="00844BD4">
        <w:t xml:space="preserve"> billion (</w:t>
      </w:r>
      <w:r w:rsidR="00C558B9">
        <w:t>8</w:t>
      </w:r>
      <w:r w:rsidRPr="00844BD4">
        <w:t xml:space="preserve">% of the total losses). It is also worth pointing out the reduction in the value added of </w:t>
      </w:r>
      <w:r w:rsidR="00B87B5A" w:rsidRPr="00844BD4">
        <w:t xml:space="preserve">the EU </w:t>
      </w:r>
      <w:r w:rsidRPr="00844BD4">
        <w:t>(</w:t>
      </w:r>
      <w:r w:rsidR="00D54F1A" w:rsidRPr="00844BD4">
        <w:t>US$</w:t>
      </w:r>
      <w:r w:rsidR="00C558B9">
        <w:t>10.4</w:t>
      </w:r>
      <w:r w:rsidRPr="00844BD4">
        <w:t xml:space="preserve"> billion) and Canada (</w:t>
      </w:r>
      <w:r w:rsidR="00D54F1A" w:rsidRPr="00844BD4">
        <w:t>US$</w:t>
      </w:r>
      <w:r w:rsidR="00C558B9">
        <w:t>10.1</w:t>
      </w:r>
      <w:r w:rsidRPr="00844BD4">
        <w:t xml:space="preserve"> billion). </w:t>
      </w:r>
      <w:r w:rsidR="00B87B5A" w:rsidRPr="00844BD4">
        <w:t xml:space="preserve">Within the EU, </w:t>
      </w:r>
      <w:r w:rsidR="00026DA9" w:rsidRPr="00844BD4">
        <w:t xml:space="preserve">the </w:t>
      </w:r>
      <w:r w:rsidR="00B87B5A" w:rsidRPr="00844BD4">
        <w:t>United Kingdom (</w:t>
      </w:r>
      <w:r w:rsidR="00D54F1A" w:rsidRPr="00844BD4">
        <w:t>US$</w:t>
      </w:r>
      <w:r w:rsidR="00BE450E">
        <w:t>4.3</w:t>
      </w:r>
      <w:r w:rsidR="00B87B5A" w:rsidRPr="00844BD4">
        <w:t xml:space="preserve"> billion), Germany (</w:t>
      </w:r>
      <w:r w:rsidR="00D54F1A" w:rsidRPr="00844BD4">
        <w:t>US$</w:t>
      </w:r>
      <w:r w:rsidR="00B87B5A" w:rsidRPr="00844BD4">
        <w:t>1.5 billion) and France (</w:t>
      </w:r>
      <w:r w:rsidR="00D54F1A" w:rsidRPr="00844BD4">
        <w:t>US$</w:t>
      </w:r>
      <w:r w:rsidR="009B05F4">
        <w:t>1.5</w:t>
      </w:r>
      <w:r w:rsidR="00B87B5A" w:rsidRPr="00844BD4">
        <w:t xml:space="preserve"> billion)</w:t>
      </w:r>
      <w:r w:rsidR="00B87B5A" w:rsidRPr="00D90C0B">
        <w:t xml:space="preserve"> </w:t>
      </w:r>
      <w:r w:rsidR="00B87B5A" w:rsidRPr="00844BD4">
        <w:t xml:space="preserve">were the countries with the largest value added losses. </w:t>
      </w:r>
      <w:r w:rsidRPr="00844BD4">
        <w:t xml:space="preserve">In relative terms, apart from Japan, </w:t>
      </w:r>
      <w:r w:rsidR="00BE450E">
        <w:t>Canada</w:t>
      </w:r>
      <w:r w:rsidR="00BE450E" w:rsidRPr="00844BD4">
        <w:t xml:space="preserve"> </w:t>
      </w:r>
      <w:r w:rsidRPr="00844BD4">
        <w:t>suffered the largest drop in the value added (</w:t>
      </w:r>
      <w:r w:rsidR="00BE450E">
        <w:t>-0.69</w:t>
      </w:r>
      <w:r w:rsidRPr="00844BD4">
        <w:t xml:space="preserve">%), followed by </w:t>
      </w:r>
      <w:r w:rsidR="00BE450E">
        <w:t>Indonesia</w:t>
      </w:r>
      <w:r w:rsidR="00BE450E" w:rsidRPr="00844BD4">
        <w:t xml:space="preserve"> </w:t>
      </w:r>
      <w:r w:rsidRPr="00844BD4">
        <w:t>(</w:t>
      </w:r>
      <w:r w:rsidR="00BE450E">
        <w:t>-0.4</w:t>
      </w:r>
      <w:r w:rsidRPr="00844BD4">
        <w:t xml:space="preserve">%), </w:t>
      </w:r>
      <w:r w:rsidR="00026DA9" w:rsidRPr="00844BD4">
        <w:t xml:space="preserve">the </w:t>
      </w:r>
      <w:r w:rsidR="00B87B5A" w:rsidRPr="00844BD4">
        <w:t xml:space="preserve">United States </w:t>
      </w:r>
      <w:r w:rsidR="00B87B5A" w:rsidRPr="00D90C0B">
        <w:t>(-</w:t>
      </w:r>
      <w:r w:rsidR="00BE450E">
        <w:t>0.24</w:t>
      </w:r>
      <w:r w:rsidR="00B87B5A" w:rsidRPr="00844BD4">
        <w:t>%),</w:t>
      </w:r>
      <w:r w:rsidR="00BE450E" w:rsidRPr="00BE450E">
        <w:t xml:space="preserve"> </w:t>
      </w:r>
      <w:r w:rsidR="00BE450E" w:rsidRPr="00844BD4">
        <w:t>the United Kingdom (</w:t>
      </w:r>
      <w:r w:rsidR="00BE450E">
        <w:t>-0.21</w:t>
      </w:r>
      <w:r w:rsidR="00BE450E" w:rsidRPr="00844BD4">
        <w:t>%),</w:t>
      </w:r>
      <w:r w:rsidR="00B87B5A" w:rsidRPr="00844BD4">
        <w:t xml:space="preserve"> </w:t>
      </w:r>
      <w:r w:rsidRPr="00844BD4">
        <w:t xml:space="preserve">Australia </w:t>
      </w:r>
      <w:r w:rsidRPr="00D90C0B">
        <w:t>(-</w:t>
      </w:r>
      <w:r w:rsidR="00BE450E">
        <w:t>0.18%</w:t>
      </w:r>
      <w:r w:rsidRPr="00844BD4">
        <w:t>), China (</w:t>
      </w:r>
      <w:r w:rsidR="00BE450E">
        <w:t>-0.18</w:t>
      </w:r>
      <w:r w:rsidRPr="00844BD4">
        <w:t>%),</w:t>
      </w:r>
      <w:r w:rsidR="00B87B5A" w:rsidRPr="00844BD4">
        <w:t xml:space="preserve"> </w:t>
      </w:r>
      <w:r w:rsidRPr="00844BD4">
        <w:t>Mexico (</w:t>
      </w:r>
      <w:r w:rsidR="00BE450E">
        <w:t>-0.1</w:t>
      </w:r>
      <w:r w:rsidR="009B05F4">
        <w:t>6</w:t>
      </w:r>
      <w:r w:rsidRPr="00844BD4">
        <w:t>%)</w:t>
      </w:r>
      <w:r w:rsidR="00B87B5A" w:rsidRPr="00844BD4">
        <w:t xml:space="preserve"> and</w:t>
      </w:r>
      <w:r w:rsidRPr="00844BD4">
        <w:t xml:space="preserve"> Taiwan (</w:t>
      </w:r>
      <w:r w:rsidR="009B05F4">
        <w:t>-0.16</w:t>
      </w:r>
      <w:r w:rsidRPr="00844BD4">
        <w:t>%)</w:t>
      </w:r>
      <w:r w:rsidR="00EF09BB">
        <w:t>.</w:t>
      </w:r>
    </w:p>
    <w:p w:rsidR="004C2C26" w:rsidRDefault="00165DB9" w:rsidP="00CE33BD">
      <w:pPr>
        <w:spacing w:line="360" w:lineRule="auto"/>
        <w:ind w:firstLine="567"/>
        <w:jc w:val="both"/>
        <w:rPr>
          <w:lang w:val="en-US"/>
        </w:rPr>
      </w:pPr>
      <w:r w:rsidRPr="00844BD4">
        <w:rPr>
          <w:lang w:val="en-US"/>
        </w:rPr>
        <w:t>C</w:t>
      </w:r>
      <w:r w:rsidR="00E8009F" w:rsidRPr="00844BD4">
        <w:rPr>
          <w:lang w:val="en-US"/>
        </w:rPr>
        <w:t>olumns 3</w:t>
      </w:r>
      <w:r w:rsidR="00F77FA2" w:rsidRPr="00844BD4">
        <w:rPr>
          <w:lang w:val="en-US"/>
        </w:rPr>
        <w:t xml:space="preserve"> </w:t>
      </w:r>
      <w:r w:rsidR="00E8009F" w:rsidRPr="00844BD4">
        <w:rPr>
          <w:lang w:val="en-US"/>
        </w:rPr>
        <w:t>to 7</w:t>
      </w:r>
      <w:r w:rsidR="00F77FA2" w:rsidRPr="00844BD4">
        <w:rPr>
          <w:lang w:val="en-US"/>
        </w:rPr>
        <w:t xml:space="preserve"> </w:t>
      </w:r>
      <w:r w:rsidR="00E8009F" w:rsidRPr="00844BD4">
        <w:rPr>
          <w:lang w:val="en-US"/>
        </w:rPr>
        <w:t xml:space="preserve">of </w:t>
      </w:r>
      <w:r w:rsidRPr="00844BD4">
        <w:rPr>
          <w:lang w:val="en-US"/>
        </w:rPr>
        <w:t xml:space="preserve">Table </w:t>
      </w:r>
      <w:r w:rsidR="00EF09BB">
        <w:rPr>
          <w:lang w:val="en-US"/>
        </w:rPr>
        <w:t>2</w:t>
      </w:r>
      <w:r w:rsidRPr="00844BD4">
        <w:rPr>
          <w:lang w:val="en-US"/>
        </w:rPr>
        <w:t xml:space="preserve"> </w:t>
      </w:r>
      <w:r w:rsidR="00E03679" w:rsidRPr="00844BD4">
        <w:rPr>
          <w:lang w:val="en-US"/>
        </w:rPr>
        <w:t xml:space="preserve">show the impacts </w:t>
      </w:r>
      <w:r w:rsidR="00026DA9" w:rsidRPr="00844BD4">
        <w:rPr>
          <w:lang w:val="en-US"/>
        </w:rPr>
        <w:t xml:space="preserve">on </w:t>
      </w:r>
      <w:r w:rsidR="00E03679" w:rsidRPr="00844BD4">
        <w:rPr>
          <w:lang w:val="en-US"/>
        </w:rPr>
        <w:t xml:space="preserve">the value added of the different countries according to the step of the </w:t>
      </w:r>
      <w:r w:rsidR="00F77FA2" w:rsidRPr="00844BD4">
        <w:rPr>
          <w:lang w:val="en-US"/>
        </w:rPr>
        <w:t>supply chain</w:t>
      </w:r>
      <w:r w:rsidR="00E03679" w:rsidRPr="00844BD4">
        <w:rPr>
          <w:lang w:val="en-US"/>
        </w:rPr>
        <w:t xml:space="preserve"> in which they were generated.</w:t>
      </w:r>
      <w:r w:rsidR="00522B84" w:rsidRPr="00844BD4">
        <w:rPr>
          <w:lang w:val="en-US"/>
        </w:rPr>
        <w:t xml:space="preserve"> </w:t>
      </w:r>
      <w:r w:rsidR="009B05F4">
        <w:rPr>
          <w:lang w:val="en-US"/>
        </w:rPr>
        <w:t>On the one hand</w:t>
      </w:r>
      <w:r w:rsidR="00E03679" w:rsidRPr="00844BD4">
        <w:rPr>
          <w:lang w:val="en-US"/>
        </w:rPr>
        <w:t xml:space="preserve">, </w:t>
      </w:r>
      <w:r w:rsidR="00C754DD" w:rsidRPr="00844BD4">
        <w:rPr>
          <w:lang w:val="en-US"/>
        </w:rPr>
        <w:t xml:space="preserve">many companies </w:t>
      </w:r>
      <w:r w:rsidR="004C2C26" w:rsidRPr="00844BD4">
        <w:rPr>
          <w:lang w:val="en-US"/>
        </w:rPr>
        <w:t>supplying components</w:t>
      </w:r>
      <w:r w:rsidR="00A25ADD" w:rsidRPr="00844BD4">
        <w:rPr>
          <w:lang w:val="en-US"/>
        </w:rPr>
        <w:t xml:space="preserve"> directly </w:t>
      </w:r>
      <w:r w:rsidR="004C2C26" w:rsidRPr="00844BD4">
        <w:rPr>
          <w:lang w:val="en-US"/>
        </w:rPr>
        <w:t xml:space="preserve">to the </w:t>
      </w:r>
      <w:r w:rsidR="00A25ADD" w:rsidRPr="00844BD4">
        <w:rPr>
          <w:lang w:val="en-US"/>
        </w:rPr>
        <w:t xml:space="preserve">Japanese </w:t>
      </w:r>
      <w:r w:rsidR="00115C9D" w:rsidRPr="00844BD4">
        <w:t xml:space="preserve">TEI </w:t>
      </w:r>
      <w:r w:rsidR="00C754DD" w:rsidRPr="00844BD4">
        <w:rPr>
          <w:lang w:val="en-US"/>
        </w:rPr>
        <w:t xml:space="preserve">were forced to stop their production processes, </w:t>
      </w:r>
      <w:r w:rsidR="004C2C26" w:rsidRPr="00844BD4">
        <w:rPr>
          <w:lang w:val="en-US"/>
        </w:rPr>
        <w:t>with losses in terms of val</w:t>
      </w:r>
      <w:r w:rsidR="00B87B5A" w:rsidRPr="00844BD4">
        <w:rPr>
          <w:lang w:val="en-US"/>
        </w:rPr>
        <w:t>u</w:t>
      </w:r>
      <w:r w:rsidR="004C2C26" w:rsidRPr="00844BD4">
        <w:rPr>
          <w:lang w:val="en-US"/>
        </w:rPr>
        <w:t xml:space="preserve">e added of </w:t>
      </w:r>
      <w:r w:rsidR="00D54F1A" w:rsidRPr="00844BD4">
        <w:rPr>
          <w:lang w:val="en-US"/>
        </w:rPr>
        <w:t>US$</w:t>
      </w:r>
      <w:r w:rsidR="00BE450E">
        <w:rPr>
          <w:lang w:val="en-US"/>
        </w:rPr>
        <w:t xml:space="preserve">24.6 </w:t>
      </w:r>
      <w:r w:rsidR="004C2C26" w:rsidRPr="00844BD4">
        <w:rPr>
          <w:lang w:val="en-US"/>
        </w:rPr>
        <w:t>billion</w:t>
      </w:r>
      <w:r w:rsidR="00E8009F" w:rsidRPr="00844BD4">
        <w:rPr>
          <w:lang w:val="en-US"/>
        </w:rPr>
        <w:t xml:space="preserve"> (column</w:t>
      </w:r>
      <w:r w:rsidR="009B05F4">
        <w:rPr>
          <w:lang w:val="en-US"/>
        </w:rPr>
        <w:t xml:space="preserve"> 3</w:t>
      </w:r>
      <w:r w:rsidR="00E8009F" w:rsidRPr="00844BD4">
        <w:rPr>
          <w:lang w:val="en-US"/>
        </w:rPr>
        <w:t>)</w:t>
      </w:r>
      <w:r w:rsidR="004C2C26" w:rsidRPr="00844BD4">
        <w:rPr>
          <w:lang w:val="en-US"/>
        </w:rPr>
        <w:t>, of which 9</w:t>
      </w:r>
      <w:r w:rsidR="00BE450E">
        <w:rPr>
          <w:lang w:val="en-US"/>
        </w:rPr>
        <w:t>5</w:t>
      </w:r>
      <w:r w:rsidR="004C2C26" w:rsidRPr="00844BD4">
        <w:rPr>
          <w:lang w:val="en-US"/>
        </w:rPr>
        <w:t>% were generated in Japan.</w:t>
      </w:r>
      <w:r w:rsidR="00A25ADD" w:rsidRPr="00844BD4">
        <w:rPr>
          <w:lang w:val="en-US"/>
        </w:rPr>
        <w:t xml:space="preserve"> In addition, other sectors indirectly involved in the supply chain of the Japanese </w:t>
      </w:r>
      <w:r w:rsidR="00115C9D" w:rsidRPr="00844BD4">
        <w:t xml:space="preserve">TEI </w:t>
      </w:r>
      <w:r w:rsidR="00A25ADD" w:rsidRPr="00844BD4">
        <w:rPr>
          <w:lang w:val="en-US"/>
        </w:rPr>
        <w:t xml:space="preserve">faced losses of </w:t>
      </w:r>
      <w:r w:rsidR="00D54F1A" w:rsidRPr="00844BD4">
        <w:rPr>
          <w:lang w:val="en-US"/>
        </w:rPr>
        <w:t>US$</w:t>
      </w:r>
      <w:r w:rsidR="00BE450E">
        <w:rPr>
          <w:lang w:val="en-US"/>
        </w:rPr>
        <w:t>11.8</w:t>
      </w:r>
      <w:r w:rsidR="00A25ADD" w:rsidRPr="00844BD4">
        <w:rPr>
          <w:lang w:val="en-US"/>
        </w:rPr>
        <w:t xml:space="preserve"> billion</w:t>
      </w:r>
      <w:r w:rsidR="00E8009F" w:rsidRPr="00844BD4">
        <w:rPr>
          <w:lang w:val="en-US"/>
        </w:rPr>
        <w:t xml:space="preserve"> (column</w:t>
      </w:r>
      <w:r w:rsidR="009B05F4">
        <w:rPr>
          <w:lang w:val="en-US"/>
        </w:rPr>
        <w:t xml:space="preserve"> 4</w:t>
      </w:r>
      <w:r w:rsidR="00F77FA2" w:rsidRPr="00844BD4">
        <w:rPr>
          <w:lang w:val="en-US"/>
        </w:rPr>
        <w:t>)</w:t>
      </w:r>
      <w:r w:rsidR="00A25ADD" w:rsidRPr="00844BD4">
        <w:rPr>
          <w:lang w:val="en-US"/>
        </w:rPr>
        <w:t xml:space="preserve">, of which </w:t>
      </w:r>
      <w:r w:rsidR="00BE450E">
        <w:rPr>
          <w:lang w:val="en-US"/>
        </w:rPr>
        <w:t>61</w:t>
      </w:r>
      <w:r w:rsidR="00A25ADD" w:rsidRPr="00844BD4">
        <w:rPr>
          <w:lang w:val="en-US"/>
        </w:rPr>
        <w:t>% were suffered by non-Japanese countries.</w:t>
      </w:r>
    </w:p>
    <w:p w:rsidR="009460C2" w:rsidRPr="00844BD4" w:rsidRDefault="000034AE" w:rsidP="00CE33BD">
      <w:pPr>
        <w:spacing w:line="360" w:lineRule="auto"/>
        <w:ind w:firstLine="567"/>
        <w:jc w:val="both"/>
        <w:rPr>
          <w:lang w:val="en-US"/>
        </w:rPr>
      </w:pPr>
      <w:r w:rsidRPr="00844BD4">
        <w:rPr>
          <w:lang w:val="en-US"/>
        </w:rPr>
        <w:t xml:space="preserve">Meanwhile, the reduction in the output of the Japanese </w:t>
      </w:r>
      <w:r w:rsidRPr="00844BD4">
        <w:t xml:space="preserve">TEI </w:t>
      </w:r>
      <w:r w:rsidRPr="00844BD4">
        <w:rPr>
          <w:lang w:val="en-US"/>
        </w:rPr>
        <w:t xml:space="preserve">and the subsequent disruption in the global supply chain of the sector generated important impacts </w:t>
      </w:r>
      <w:r w:rsidR="009B05F4">
        <w:rPr>
          <w:lang w:val="en-US"/>
        </w:rPr>
        <w:t>worldwide</w:t>
      </w:r>
      <w:r w:rsidRPr="00844BD4">
        <w:rPr>
          <w:lang w:val="en-US"/>
        </w:rPr>
        <w:t xml:space="preserve">. </w:t>
      </w:r>
      <w:r w:rsidR="009460C2" w:rsidRPr="00844BD4">
        <w:rPr>
          <w:lang w:val="en-US"/>
        </w:rPr>
        <w:t xml:space="preserve">The value added of non-Japanese </w:t>
      </w:r>
      <w:r w:rsidR="009460C2" w:rsidRPr="00844BD4">
        <w:t xml:space="preserve">TEI </w:t>
      </w:r>
      <w:r w:rsidR="009460C2" w:rsidRPr="00844BD4">
        <w:rPr>
          <w:lang w:val="en-US"/>
        </w:rPr>
        <w:t>fell by US$</w:t>
      </w:r>
      <w:r w:rsidR="009460C2">
        <w:rPr>
          <w:lang w:val="en-US"/>
        </w:rPr>
        <w:t>24.5</w:t>
      </w:r>
      <w:r w:rsidR="009460C2" w:rsidRPr="00844BD4">
        <w:rPr>
          <w:lang w:val="en-US"/>
        </w:rPr>
        <w:t xml:space="preserve"> billion (column</w:t>
      </w:r>
      <w:r w:rsidR="009B05F4">
        <w:rPr>
          <w:lang w:val="en-US"/>
        </w:rPr>
        <w:t xml:space="preserve"> 5</w:t>
      </w:r>
      <w:r w:rsidR="009460C2" w:rsidRPr="00844BD4">
        <w:rPr>
          <w:lang w:val="en-US"/>
        </w:rPr>
        <w:t xml:space="preserve">) and the value added of the sectors directly and indirectly supplying components to non-Japanese </w:t>
      </w:r>
      <w:r w:rsidR="009460C2" w:rsidRPr="00844BD4">
        <w:t>TEI</w:t>
      </w:r>
      <w:r w:rsidR="009460C2" w:rsidRPr="00844BD4">
        <w:rPr>
          <w:lang w:val="en-US"/>
        </w:rPr>
        <w:t xml:space="preserve"> decreased by US$</w:t>
      </w:r>
      <w:r w:rsidR="009460C2">
        <w:rPr>
          <w:lang w:val="en-US"/>
        </w:rPr>
        <w:t>30.6</w:t>
      </w:r>
      <w:r w:rsidR="009460C2" w:rsidRPr="00844BD4">
        <w:rPr>
          <w:lang w:val="en-US"/>
        </w:rPr>
        <w:t xml:space="preserve"> billion and US$</w:t>
      </w:r>
      <w:r w:rsidR="009B05F4">
        <w:rPr>
          <w:lang w:val="en-US"/>
        </w:rPr>
        <w:t>22</w:t>
      </w:r>
      <w:r w:rsidR="009460C2">
        <w:rPr>
          <w:lang w:val="en-US"/>
        </w:rPr>
        <w:t>.</w:t>
      </w:r>
      <w:r w:rsidR="009B05F4">
        <w:rPr>
          <w:lang w:val="en-US"/>
        </w:rPr>
        <w:t>7</w:t>
      </w:r>
      <w:r w:rsidR="009460C2" w:rsidRPr="00844BD4">
        <w:rPr>
          <w:lang w:val="en-US"/>
        </w:rPr>
        <w:t xml:space="preserve"> billion respectively (column</w:t>
      </w:r>
      <w:r w:rsidR="009B05F4">
        <w:rPr>
          <w:lang w:val="en-US"/>
        </w:rPr>
        <w:t>s 6 and 7</w:t>
      </w:r>
      <w:r w:rsidR="009460C2" w:rsidRPr="00844BD4">
        <w:rPr>
          <w:lang w:val="en-US"/>
        </w:rPr>
        <w:t>).</w:t>
      </w:r>
    </w:p>
    <w:p w:rsidR="009460C2" w:rsidRPr="00844BD4" w:rsidRDefault="009460C2" w:rsidP="00CE33BD">
      <w:pPr>
        <w:spacing w:line="360" w:lineRule="auto"/>
        <w:ind w:firstLine="567"/>
        <w:jc w:val="both"/>
        <w:rPr>
          <w:lang w:val="en-US"/>
        </w:rPr>
      </w:pPr>
      <w:r w:rsidRPr="00844BD4">
        <w:rPr>
          <w:lang w:val="en-US"/>
        </w:rPr>
        <w:t xml:space="preserve">Comparing the share of </w:t>
      </w:r>
      <w:r w:rsidR="006C707C">
        <w:rPr>
          <w:lang w:val="en-US"/>
        </w:rPr>
        <w:t>the different effects</w:t>
      </w:r>
      <w:r w:rsidR="00B17A42">
        <w:rPr>
          <w:lang w:val="en-US"/>
        </w:rPr>
        <w:t xml:space="preserve"> over the total</w:t>
      </w:r>
      <w:r w:rsidR="00F73887" w:rsidRPr="00D90C0B">
        <w:rPr>
          <w:lang w:val="en-US"/>
        </w:rPr>
        <w:t xml:space="preserve"> impact</w:t>
      </w:r>
      <w:r w:rsidRPr="00844BD4">
        <w:rPr>
          <w:lang w:val="en-US"/>
        </w:rPr>
        <w:t xml:space="preserve">, we can conclude that the </w:t>
      </w:r>
      <w:r w:rsidR="00C239E1">
        <w:rPr>
          <w:lang w:val="en-US"/>
        </w:rPr>
        <w:t>impacts of the disruption of the supply chain</w:t>
      </w:r>
      <w:r w:rsidRPr="00844BD4">
        <w:rPr>
          <w:lang w:val="en-US"/>
        </w:rPr>
        <w:t xml:space="preserve"> are the most relevant, with a contribution to the total reduction in the value added of</w:t>
      </w:r>
      <w:r w:rsidR="00C239E1">
        <w:rPr>
          <w:lang w:val="en-US"/>
        </w:rPr>
        <w:t xml:space="preserve"> 55.9</w:t>
      </w:r>
      <w:r w:rsidRPr="00844BD4">
        <w:rPr>
          <w:lang w:val="en-US"/>
        </w:rPr>
        <w:t xml:space="preserve">%, followed by the </w:t>
      </w:r>
      <w:r w:rsidR="00C239E1">
        <w:rPr>
          <w:lang w:val="en-US"/>
        </w:rPr>
        <w:t xml:space="preserve">standard </w:t>
      </w:r>
      <w:r>
        <w:rPr>
          <w:lang w:val="en-US"/>
        </w:rPr>
        <w:t>backward</w:t>
      </w:r>
      <w:r w:rsidRPr="00844BD4">
        <w:rPr>
          <w:lang w:val="en-US"/>
        </w:rPr>
        <w:t xml:space="preserve"> (</w:t>
      </w:r>
      <w:r w:rsidR="00C239E1">
        <w:rPr>
          <w:lang w:val="en-US"/>
        </w:rPr>
        <w:t>26.1</w:t>
      </w:r>
      <w:r w:rsidRPr="00844BD4">
        <w:rPr>
          <w:lang w:val="en-US"/>
        </w:rPr>
        <w:t>%) and initial effects (</w:t>
      </w:r>
      <w:r w:rsidR="00C239E1">
        <w:rPr>
          <w:lang w:val="en-US"/>
        </w:rPr>
        <w:t>17.9</w:t>
      </w:r>
      <w:r w:rsidRPr="00844BD4">
        <w:rPr>
          <w:lang w:val="en-US"/>
        </w:rPr>
        <w:t>%).</w:t>
      </w:r>
    </w:p>
    <w:p w:rsidR="009460C2" w:rsidRPr="00844BD4" w:rsidRDefault="009460C2" w:rsidP="00CE33BD">
      <w:pPr>
        <w:spacing w:line="360" w:lineRule="auto"/>
        <w:ind w:firstLine="567"/>
        <w:jc w:val="both"/>
        <w:rPr>
          <w:lang w:val="en-US"/>
        </w:rPr>
      </w:pPr>
      <w:r w:rsidRPr="00844BD4">
        <w:rPr>
          <w:lang w:val="en-US"/>
        </w:rPr>
        <w:t xml:space="preserve">Table </w:t>
      </w:r>
      <w:r w:rsidR="00EF09BB">
        <w:rPr>
          <w:lang w:val="en-US"/>
        </w:rPr>
        <w:t>3</w:t>
      </w:r>
      <w:r w:rsidRPr="00844BD4">
        <w:rPr>
          <w:lang w:val="en-US"/>
        </w:rPr>
        <w:t xml:space="preserve"> shows the change in the value added broken down by sector. The </w:t>
      </w:r>
      <w:r w:rsidRPr="00844BD4">
        <w:t xml:space="preserve">TEI </w:t>
      </w:r>
      <w:r w:rsidRPr="00844BD4">
        <w:rPr>
          <w:lang w:val="en-US"/>
        </w:rPr>
        <w:t>absorbed most of the reduction in the total value added (</w:t>
      </w:r>
      <w:r>
        <w:rPr>
          <w:lang w:val="en-US"/>
        </w:rPr>
        <w:t>36.6</w:t>
      </w:r>
      <w:r w:rsidRPr="00844BD4">
        <w:rPr>
          <w:lang w:val="en-US"/>
        </w:rPr>
        <w:t>%), followed by renting machinery and equipment services and other business activities (</w:t>
      </w:r>
      <w:r w:rsidR="000034AE">
        <w:rPr>
          <w:lang w:val="en-US"/>
        </w:rPr>
        <w:t>10.1</w:t>
      </w:r>
      <w:r w:rsidRPr="00844BD4">
        <w:rPr>
          <w:lang w:val="en-US"/>
        </w:rPr>
        <w:t>%), manufacture of basic metals and fabricated metals (8</w:t>
      </w:r>
      <w:r w:rsidR="000034AE">
        <w:rPr>
          <w:lang w:val="en-US"/>
        </w:rPr>
        <w:t>.2</w:t>
      </w:r>
      <w:r w:rsidRPr="00844BD4">
        <w:rPr>
          <w:lang w:val="en-US"/>
        </w:rPr>
        <w:t>%), wholesale trade (7.</w:t>
      </w:r>
      <w:r w:rsidR="000034AE">
        <w:rPr>
          <w:lang w:val="en-US"/>
        </w:rPr>
        <w:t>1</w:t>
      </w:r>
      <w:r w:rsidRPr="00844BD4">
        <w:rPr>
          <w:lang w:val="en-US"/>
        </w:rPr>
        <w:t xml:space="preserve">%), and </w:t>
      </w:r>
      <w:r w:rsidR="000034AE">
        <w:rPr>
          <w:lang w:val="en-US"/>
        </w:rPr>
        <w:t>financial intermediation</w:t>
      </w:r>
      <w:r w:rsidRPr="00844BD4">
        <w:rPr>
          <w:lang w:val="en-US"/>
        </w:rPr>
        <w:t xml:space="preserve"> (4.4%). These five sectors accounted for two thirds of the total losses.</w:t>
      </w:r>
      <w:r w:rsidR="00EF09BB">
        <w:rPr>
          <w:lang w:val="en-US"/>
        </w:rPr>
        <w:t xml:space="preserve"> </w:t>
      </w:r>
      <w:r w:rsidRPr="00844BD4">
        <w:rPr>
          <w:lang w:val="en-US"/>
        </w:rPr>
        <w:t xml:space="preserve">Unsurprisingly, </w:t>
      </w:r>
      <w:r w:rsidRPr="00844BD4">
        <w:t xml:space="preserve">TEI </w:t>
      </w:r>
      <w:r w:rsidRPr="00844BD4">
        <w:rPr>
          <w:lang w:val="en-US"/>
        </w:rPr>
        <w:t>was also the sector with the largest reduction in its value added (-5.</w:t>
      </w:r>
      <w:r w:rsidR="00C239E1">
        <w:rPr>
          <w:lang w:val="en-US"/>
        </w:rPr>
        <w:t>5</w:t>
      </w:r>
      <w:r w:rsidRPr="00844BD4">
        <w:rPr>
          <w:lang w:val="en-US"/>
        </w:rPr>
        <w:t>%) followed by manufacture of basic met</w:t>
      </w:r>
      <w:r w:rsidR="000034AE">
        <w:rPr>
          <w:lang w:val="en-US"/>
        </w:rPr>
        <w:t>als and fabricated metals (-0.</w:t>
      </w:r>
      <w:r w:rsidR="00C239E1">
        <w:rPr>
          <w:lang w:val="en-US"/>
        </w:rPr>
        <w:t>82</w:t>
      </w:r>
      <w:r w:rsidRPr="00844BD4">
        <w:rPr>
          <w:lang w:val="en-US"/>
        </w:rPr>
        <w:t>%), rubber and plastics (-0.7</w:t>
      </w:r>
      <w:r w:rsidR="00C239E1">
        <w:rPr>
          <w:lang w:val="en-US"/>
        </w:rPr>
        <w:t>5</w:t>
      </w:r>
      <w:r w:rsidRPr="00844BD4">
        <w:rPr>
          <w:lang w:val="en-US"/>
        </w:rPr>
        <w:t>%) and electr</w:t>
      </w:r>
      <w:r w:rsidR="000034AE">
        <w:rPr>
          <w:lang w:val="en-US"/>
        </w:rPr>
        <w:t>ical and optical equipment (-0.3</w:t>
      </w:r>
      <w:r w:rsidR="00C239E1">
        <w:rPr>
          <w:lang w:val="en-US"/>
        </w:rPr>
        <w:t>9</w:t>
      </w:r>
      <w:r w:rsidRPr="00844BD4">
        <w:rPr>
          <w:lang w:val="en-US"/>
        </w:rPr>
        <w:t>%). All the remaining economic sectors suffered smaller impacts in terms of value added.</w:t>
      </w:r>
    </w:p>
    <w:p w:rsidR="009460C2" w:rsidRPr="00CE33BD" w:rsidRDefault="009460C2" w:rsidP="00CE33BD">
      <w:pPr>
        <w:spacing w:line="360" w:lineRule="auto"/>
        <w:jc w:val="both"/>
        <w:rPr>
          <w:lang w:val="en-US"/>
        </w:rPr>
      </w:pPr>
    </w:p>
    <w:p w:rsidR="00EF09BB" w:rsidRPr="00CE33BD" w:rsidRDefault="00EF09BB" w:rsidP="00CE33BD">
      <w:pPr>
        <w:spacing w:line="360" w:lineRule="auto"/>
        <w:jc w:val="center"/>
        <w:rPr>
          <w:lang w:val="en-US"/>
        </w:rPr>
      </w:pPr>
      <w:r w:rsidRPr="00CE33BD">
        <w:rPr>
          <w:lang w:val="en-US"/>
        </w:rPr>
        <w:t>***INSERT Table 3 ABOUT HERE***</w:t>
      </w:r>
    </w:p>
    <w:p w:rsidR="00EF09BB" w:rsidRDefault="00EF09BB" w:rsidP="00CE33BD">
      <w:pPr>
        <w:spacing w:line="360" w:lineRule="auto"/>
        <w:jc w:val="both"/>
        <w:rPr>
          <w:lang w:val="en-US"/>
        </w:rPr>
      </w:pPr>
    </w:p>
    <w:p w:rsidR="00EF09BB" w:rsidRPr="00CE33BD" w:rsidRDefault="00EF09BB" w:rsidP="00CE33BD">
      <w:pPr>
        <w:spacing w:line="360" w:lineRule="auto"/>
        <w:jc w:val="both"/>
        <w:rPr>
          <w:lang w:val="en-US"/>
        </w:rPr>
      </w:pPr>
    </w:p>
    <w:p w:rsidR="00C754DD" w:rsidRPr="00844BD4" w:rsidRDefault="00405C37" w:rsidP="00CE33BD">
      <w:pPr>
        <w:pStyle w:val="Heading1"/>
        <w:spacing w:before="0" w:after="0" w:line="360" w:lineRule="auto"/>
        <w:rPr>
          <w:rFonts w:cs="Times New Roman"/>
          <w:szCs w:val="24"/>
          <w:lang w:val="en-US"/>
        </w:rPr>
      </w:pPr>
      <w:r w:rsidRPr="00844BD4">
        <w:rPr>
          <w:rFonts w:cs="Times New Roman"/>
          <w:szCs w:val="24"/>
          <w:lang w:val="en-US"/>
        </w:rPr>
        <w:t>4</w:t>
      </w:r>
      <w:r w:rsidR="00C754DD" w:rsidRPr="00844BD4">
        <w:rPr>
          <w:rFonts w:cs="Times New Roman"/>
          <w:szCs w:val="24"/>
          <w:lang w:val="en-US"/>
        </w:rPr>
        <w:t xml:space="preserve">. </w:t>
      </w:r>
      <w:r w:rsidR="00B87B5A" w:rsidRPr="00844BD4">
        <w:rPr>
          <w:rFonts w:cs="Times New Roman"/>
          <w:szCs w:val="24"/>
          <w:lang w:val="en-US"/>
        </w:rPr>
        <w:t>Discussion</w:t>
      </w:r>
    </w:p>
    <w:p w:rsidR="00EF09BB" w:rsidRDefault="00EF09BB" w:rsidP="00CE33BD">
      <w:pPr>
        <w:spacing w:line="360" w:lineRule="auto"/>
        <w:jc w:val="both"/>
        <w:rPr>
          <w:lang w:val="en-US"/>
        </w:rPr>
      </w:pPr>
    </w:p>
    <w:p w:rsidR="00B111CE" w:rsidRPr="00844BD4" w:rsidRDefault="00C754DD" w:rsidP="00CE33BD">
      <w:pPr>
        <w:spacing w:line="360" w:lineRule="auto"/>
        <w:jc w:val="both"/>
        <w:rPr>
          <w:lang w:val="en-US"/>
        </w:rPr>
      </w:pPr>
      <w:r w:rsidRPr="00844BD4">
        <w:rPr>
          <w:lang w:val="en-US"/>
        </w:rPr>
        <w:t xml:space="preserve">This study presents the first attempt to quantify the worldwide economic impacts generated by </w:t>
      </w:r>
      <w:r w:rsidR="00432F4B" w:rsidRPr="00844BD4">
        <w:rPr>
          <w:lang w:val="en-US"/>
        </w:rPr>
        <w:t xml:space="preserve">the disruption of the supply chain of the </w:t>
      </w:r>
      <w:r w:rsidR="00115C9D" w:rsidRPr="00844BD4">
        <w:rPr>
          <w:lang w:val="en-US"/>
        </w:rPr>
        <w:t>transport equipment industry (</w:t>
      </w:r>
      <w:r w:rsidR="00115C9D" w:rsidRPr="00844BD4">
        <w:t xml:space="preserve">TEI) </w:t>
      </w:r>
      <w:r w:rsidR="00432F4B" w:rsidRPr="00844BD4">
        <w:rPr>
          <w:lang w:val="en-US"/>
        </w:rPr>
        <w:t xml:space="preserve">that followed the </w:t>
      </w:r>
      <w:r w:rsidRPr="00844BD4">
        <w:rPr>
          <w:lang w:val="en-US"/>
        </w:rPr>
        <w:t>Japanese disaster of March 2011. The use of a</w:t>
      </w:r>
      <w:r w:rsidR="00432F4B" w:rsidRPr="00844BD4">
        <w:rPr>
          <w:lang w:val="en-US"/>
        </w:rPr>
        <w:t xml:space="preserve"> mixed</w:t>
      </w:r>
      <w:r w:rsidRPr="00844BD4">
        <w:rPr>
          <w:lang w:val="en-US"/>
        </w:rPr>
        <w:t xml:space="preserve"> </w:t>
      </w:r>
      <w:r w:rsidR="003E03AD" w:rsidRPr="00844BD4">
        <w:rPr>
          <w:lang w:val="en-US"/>
        </w:rPr>
        <w:t>multi</w:t>
      </w:r>
      <w:r w:rsidR="006B2C7D" w:rsidRPr="00844BD4">
        <w:rPr>
          <w:lang w:val="en-US"/>
        </w:rPr>
        <w:t>-</w:t>
      </w:r>
      <w:r w:rsidR="003E03AD" w:rsidRPr="00844BD4">
        <w:rPr>
          <w:lang w:val="en-US"/>
        </w:rPr>
        <w:t>r</w:t>
      </w:r>
      <w:r w:rsidRPr="00844BD4">
        <w:rPr>
          <w:lang w:val="en-US"/>
        </w:rPr>
        <w:t xml:space="preserve">egional </w:t>
      </w:r>
      <w:r w:rsidR="00A416E2" w:rsidRPr="00844BD4">
        <w:rPr>
          <w:lang w:val="en-US"/>
        </w:rPr>
        <w:t>in</w:t>
      </w:r>
      <w:r w:rsidR="00432F4B" w:rsidRPr="00844BD4">
        <w:rPr>
          <w:lang w:val="en-US"/>
        </w:rPr>
        <w:t>put-</w:t>
      </w:r>
      <w:r w:rsidR="003E03AD" w:rsidRPr="00844BD4">
        <w:rPr>
          <w:lang w:val="en-US"/>
        </w:rPr>
        <w:t>output</w:t>
      </w:r>
      <w:r w:rsidR="005E2331" w:rsidRPr="00844BD4">
        <w:rPr>
          <w:lang w:val="en-US"/>
        </w:rPr>
        <w:t xml:space="preserve"> (MRIO)</w:t>
      </w:r>
      <w:r w:rsidR="003E03AD" w:rsidRPr="00844BD4">
        <w:rPr>
          <w:lang w:val="en-US"/>
        </w:rPr>
        <w:t xml:space="preserve"> </w:t>
      </w:r>
      <w:r w:rsidRPr="00844BD4">
        <w:rPr>
          <w:lang w:val="en-US"/>
        </w:rPr>
        <w:t xml:space="preserve">model </w:t>
      </w:r>
      <w:r w:rsidR="0091349F">
        <w:rPr>
          <w:lang w:val="en-US"/>
        </w:rPr>
        <w:t>together with</w:t>
      </w:r>
      <w:r w:rsidR="00432F4B" w:rsidRPr="00844BD4">
        <w:rPr>
          <w:lang w:val="en-US"/>
        </w:rPr>
        <w:t xml:space="preserve"> information on</w:t>
      </w:r>
      <w:r w:rsidR="0091349F">
        <w:rPr>
          <w:lang w:val="en-US"/>
        </w:rPr>
        <w:t xml:space="preserve"> the</w:t>
      </w:r>
      <w:r w:rsidR="00432F4B" w:rsidRPr="00844BD4">
        <w:rPr>
          <w:lang w:val="en-US"/>
        </w:rPr>
        <w:t xml:space="preserve"> first round </w:t>
      </w:r>
      <w:r w:rsidR="00DE58D6" w:rsidRPr="00844BD4">
        <w:rPr>
          <w:lang w:val="en-US"/>
        </w:rPr>
        <w:t>downstream</w:t>
      </w:r>
      <w:r w:rsidR="00432F4B" w:rsidRPr="00844BD4">
        <w:rPr>
          <w:lang w:val="en-US"/>
        </w:rPr>
        <w:t xml:space="preserve"> effect</w:t>
      </w:r>
      <w:r w:rsidR="00A001E5" w:rsidRPr="00844BD4">
        <w:rPr>
          <w:lang w:val="en-US"/>
        </w:rPr>
        <w:t>s</w:t>
      </w:r>
      <w:r w:rsidR="00432F4B" w:rsidRPr="00844BD4">
        <w:rPr>
          <w:lang w:val="en-US"/>
        </w:rPr>
        <w:t xml:space="preserve">, </w:t>
      </w:r>
      <w:r w:rsidR="0091349F">
        <w:rPr>
          <w:lang w:val="en-US"/>
        </w:rPr>
        <w:t>and</w:t>
      </w:r>
      <w:r w:rsidRPr="00844BD4">
        <w:rPr>
          <w:lang w:val="en-US"/>
        </w:rPr>
        <w:t xml:space="preserve"> the Wor</w:t>
      </w:r>
      <w:r w:rsidR="00432F4B" w:rsidRPr="00844BD4">
        <w:rPr>
          <w:lang w:val="en-US"/>
        </w:rPr>
        <w:t xml:space="preserve">ld Input-Output Database (WIOD), </w:t>
      </w:r>
      <w:r w:rsidRPr="00844BD4">
        <w:rPr>
          <w:lang w:val="en-US"/>
        </w:rPr>
        <w:t>allow</w:t>
      </w:r>
      <w:r w:rsidR="00B111CE" w:rsidRPr="00844BD4">
        <w:rPr>
          <w:lang w:val="en-US"/>
        </w:rPr>
        <w:t>s</w:t>
      </w:r>
      <w:r w:rsidRPr="00844BD4">
        <w:rPr>
          <w:lang w:val="en-US"/>
        </w:rPr>
        <w:t xml:space="preserve"> </w:t>
      </w:r>
      <w:r w:rsidR="00A001E5" w:rsidRPr="00844BD4">
        <w:rPr>
          <w:lang w:val="en-US"/>
        </w:rPr>
        <w:t xml:space="preserve">the estimation of </w:t>
      </w:r>
      <w:r w:rsidRPr="00844BD4">
        <w:rPr>
          <w:lang w:val="en-US"/>
        </w:rPr>
        <w:t xml:space="preserve">the cascading effects generated </w:t>
      </w:r>
      <w:r w:rsidR="00DD527C" w:rsidRPr="00844BD4">
        <w:rPr>
          <w:lang w:val="en-US"/>
        </w:rPr>
        <w:t xml:space="preserve">worldwide </w:t>
      </w:r>
      <w:r w:rsidRPr="00844BD4">
        <w:rPr>
          <w:lang w:val="en-US"/>
        </w:rPr>
        <w:t xml:space="preserve">by </w:t>
      </w:r>
      <w:r w:rsidR="00DD527C" w:rsidRPr="00844BD4">
        <w:rPr>
          <w:lang w:val="en-US"/>
        </w:rPr>
        <w:t xml:space="preserve">the </w:t>
      </w:r>
      <w:r w:rsidRPr="00844BD4">
        <w:rPr>
          <w:lang w:val="en-US"/>
        </w:rPr>
        <w:t xml:space="preserve">disruption </w:t>
      </w:r>
      <w:r w:rsidR="00A001E5" w:rsidRPr="00844BD4">
        <w:rPr>
          <w:lang w:val="en-US"/>
        </w:rPr>
        <w:t xml:space="preserve">to </w:t>
      </w:r>
      <w:r w:rsidRPr="00844BD4">
        <w:rPr>
          <w:lang w:val="en-US"/>
        </w:rPr>
        <w:t>the</w:t>
      </w:r>
      <w:r w:rsidR="00A001E5" w:rsidRPr="00844BD4">
        <w:rPr>
          <w:lang w:val="en-US"/>
        </w:rPr>
        <w:t xml:space="preserve"> TEI's</w:t>
      </w:r>
      <w:r w:rsidRPr="00844BD4">
        <w:rPr>
          <w:lang w:val="en-US"/>
        </w:rPr>
        <w:t xml:space="preserve"> </w:t>
      </w:r>
      <w:r w:rsidR="00432F4B" w:rsidRPr="00844BD4">
        <w:rPr>
          <w:lang w:val="en-US"/>
        </w:rPr>
        <w:t>supply chain</w:t>
      </w:r>
      <w:r w:rsidRPr="00844BD4">
        <w:rPr>
          <w:lang w:val="en-US"/>
        </w:rPr>
        <w:t>.</w:t>
      </w:r>
      <w:r w:rsidR="00B05E32" w:rsidRPr="00844BD4">
        <w:rPr>
          <w:lang w:val="en-US"/>
        </w:rPr>
        <w:t xml:space="preserve"> </w:t>
      </w:r>
      <w:r w:rsidR="00115C9D" w:rsidRPr="00844BD4">
        <w:rPr>
          <w:lang w:val="en-US"/>
        </w:rPr>
        <w:t>These cascading effects include t</w:t>
      </w:r>
      <w:r w:rsidR="009F5915" w:rsidRPr="00844BD4">
        <w:rPr>
          <w:lang w:val="en-US"/>
        </w:rPr>
        <w:t xml:space="preserve">he </w:t>
      </w:r>
      <w:r w:rsidR="00B05E32" w:rsidRPr="00844BD4">
        <w:rPr>
          <w:lang w:val="en-US"/>
        </w:rPr>
        <w:t xml:space="preserve">total </w:t>
      </w:r>
      <w:r w:rsidR="00B87B5A" w:rsidRPr="00844BD4">
        <w:rPr>
          <w:lang w:val="en-US"/>
        </w:rPr>
        <w:t xml:space="preserve">backward </w:t>
      </w:r>
      <w:r w:rsidR="009F5915" w:rsidRPr="00844BD4">
        <w:rPr>
          <w:lang w:val="en-US"/>
        </w:rPr>
        <w:t>effects in the sectors and countries providing</w:t>
      </w:r>
      <w:r w:rsidR="00115C9D" w:rsidRPr="00844BD4">
        <w:rPr>
          <w:lang w:val="en-US"/>
        </w:rPr>
        <w:t xml:space="preserve"> components to the Japanese </w:t>
      </w:r>
      <w:r w:rsidR="00115C9D" w:rsidRPr="00844BD4">
        <w:t>TEI</w:t>
      </w:r>
      <w:r w:rsidR="00115C9D" w:rsidRPr="00844BD4">
        <w:rPr>
          <w:lang w:val="en-US"/>
        </w:rPr>
        <w:t xml:space="preserve">, the </w:t>
      </w:r>
      <w:r w:rsidR="0091349F" w:rsidRPr="0091349F">
        <w:rPr>
          <w:lang w:val="en-US"/>
        </w:rPr>
        <w:t xml:space="preserve">impact in the non-Japanese TEI affected by the disruption in the intermediate deliveries of </w:t>
      </w:r>
      <w:r w:rsidR="00265372">
        <w:rPr>
          <w:lang w:val="en-US"/>
        </w:rPr>
        <w:t xml:space="preserve">key components from </w:t>
      </w:r>
      <w:r w:rsidR="0091349F" w:rsidRPr="0091349F">
        <w:rPr>
          <w:lang w:val="en-US"/>
        </w:rPr>
        <w:t>the Japanese TEI, and the subsequent cascading effects in all the other sectors supplying components to the non-Japanese</w:t>
      </w:r>
      <w:r w:rsidR="00265372">
        <w:rPr>
          <w:lang w:val="en-US"/>
        </w:rPr>
        <w:t xml:space="preserve"> TEI</w:t>
      </w:r>
      <w:r w:rsidR="00115C9D" w:rsidRPr="00844BD4">
        <w:t>.</w:t>
      </w:r>
      <w:r w:rsidR="00B87B5A" w:rsidRPr="00844BD4">
        <w:t xml:space="preserve"> </w:t>
      </w:r>
      <w:r w:rsidRPr="00844BD4">
        <w:rPr>
          <w:lang w:val="en-US"/>
        </w:rPr>
        <w:t xml:space="preserve">Results show that the </w:t>
      </w:r>
      <w:r w:rsidR="00DD527C" w:rsidRPr="00844BD4">
        <w:rPr>
          <w:lang w:val="en-US"/>
        </w:rPr>
        <w:t>initial</w:t>
      </w:r>
      <w:r w:rsidRPr="00844BD4">
        <w:rPr>
          <w:lang w:val="en-US"/>
        </w:rPr>
        <w:t xml:space="preserve"> impact on the value added of the</w:t>
      </w:r>
      <w:r w:rsidR="00DD527C" w:rsidRPr="00844BD4">
        <w:rPr>
          <w:lang w:val="en-US"/>
        </w:rPr>
        <w:t xml:space="preserve"> Japanese </w:t>
      </w:r>
      <w:r w:rsidR="00115C9D" w:rsidRPr="00844BD4">
        <w:t xml:space="preserve">TEI </w:t>
      </w:r>
      <w:r w:rsidRPr="00844BD4">
        <w:rPr>
          <w:lang w:val="en-US"/>
        </w:rPr>
        <w:t xml:space="preserve">was </w:t>
      </w:r>
      <w:r w:rsidR="00D54F1A" w:rsidRPr="00844BD4">
        <w:rPr>
          <w:lang w:val="en-US"/>
        </w:rPr>
        <w:t>US$</w:t>
      </w:r>
      <w:r w:rsidR="000034AE">
        <w:rPr>
          <w:lang w:val="en-US"/>
        </w:rPr>
        <w:t>24.5</w:t>
      </w:r>
      <w:r w:rsidR="00DD527C" w:rsidRPr="00844BD4">
        <w:rPr>
          <w:lang w:val="en-US"/>
        </w:rPr>
        <w:t xml:space="preserve"> billion</w:t>
      </w:r>
      <w:r w:rsidRPr="00844BD4">
        <w:rPr>
          <w:lang w:val="en-US"/>
        </w:rPr>
        <w:t xml:space="preserve">. However, when the </w:t>
      </w:r>
      <w:r w:rsidR="00DD527C" w:rsidRPr="00844BD4">
        <w:rPr>
          <w:lang w:val="en-US"/>
        </w:rPr>
        <w:t>cascading</w:t>
      </w:r>
      <w:r w:rsidRPr="00844BD4">
        <w:rPr>
          <w:lang w:val="en-US"/>
        </w:rPr>
        <w:t xml:space="preserve"> effects generated in other economic sectors are ac</w:t>
      </w:r>
      <w:r w:rsidR="00DD527C" w:rsidRPr="00844BD4">
        <w:rPr>
          <w:lang w:val="en-US"/>
        </w:rPr>
        <w:t>counted</w:t>
      </w:r>
      <w:r w:rsidR="00A001E5" w:rsidRPr="00844BD4">
        <w:rPr>
          <w:lang w:val="en-US"/>
        </w:rPr>
        <w:t xml:space="preserve"> for</w:t>
      </w:r>
      <w:r w:rsidR="00DD527C" w:rsidRPr="00844BD4">
        <w:rPr>
          <w:lang w:val="en-US"/>
        </w:rPr>
        <w:t xml:space="preserve">, the total reduction </w:t>
      </w:r>
      <w:r w:rsidR="00A001E5" w:rsidRPr="00844BD4">
        <w:rPr>
          <w:lang w:val="en-US"/>
        </w:rPr>
        <w:t xml:space="preserve">in </w:t>
      </w:r>
      <w:r w:rsidR="00DD527C" w:rsidRPr="00844BD4">
        <w:rPr>
          <w:lang w:val="en-US"/>
        </w:rPr>
        <w:t xml:space="preserve">global </w:t>
      </w:r>
      <w:r w:rsidRPr="00844BD4">
        <w:rPr>
          <w:lang w:val="en-US"/>
        </w:rPr>
        <w:t xml:space="preserve">value added rises to </w:t>
      </w:r>
      <w:r w:rsidR="00D54F1A" w:rsidRPr="00844BD4">
        <w:rPr>
          <w:lang w:val="en-US"/>
        </w:rPr>
        <w:t>US$</w:t>
      </w:r>
      <w:r w:rsidR="000034AE">
        <w:rPr>
          <w:lang w:val="en-US"/>
        </w:rPr>
        <w:t>13</w:t>
      </w:r>
      <w:r w:rsidR="00C239E1">
        <w:rPr>
          <w:lang w:val="en-US"/>
        </w:rPr>
        <w:t>9</w:t>
      </w:r>
      <w:r w:rsidR="000034AE">
        <w:rPr>
          <w:lang w:val="en-US"/>
        </w:rPr>
        <w:t xml:space="preserve"> </w:t>
      </w:r>
      <w:r w:rsidRPr="00844BD4">
        <w:rPr>
          <w:lang w:val="en-US"/>
        </w:rPr>
        <w:t xml:space="preserve">billion. </w:t>
      </w:r>
      <w:r w:rsidR="00C239E1">
        <w:rPr>
          <w:lang w:val="en-US"/>
        </w:rPr>
        <w:t>Supply chain disruption</w:t>
      </w:r>
      <w:r w:rsidR="00C239E1" w:rsidRPr="00844BD4">
        <w:rPr>
          <w:lang w:val="en-US"/>
        </w:rPr>
        <w:t xml:space="preserve"> </w:t>
      </w:r>
      <w:r w:rsidR="00B05E32" w:rsidRPr="00844BD4">
        <w:rPr>
          <w:lang w:val="en-US"/>
        </w:rPr>
        <w:t xml:space="preserve">effects </w:t>
      </w:r>
      <w:r w:rsidR="009614D2" w:rsidRPr="00844BD4">
        <w:rPr>
          <w:lang w:val="en-US"/>
        </w:rPr>
        <w:t>made up</w:t>
      </w:r>
      <w:r w:rsidR="00B05E32" w:rsidRPr="00844BD4">
        <w:rPr>
          <w:lang w:val="en-US"/>
        </w:rPr>
        <w:t xml:space="preserve"> </w:t>
      </w:r>
      <w:r w:rsidR="00265372">
        <w:rPr>
          <w:lang w:val="en-US"/>
        </w:rPr>
        <w:t xml:space="preserve">more than a </w:t>
      </w:r>
      <w:r w:rsidR="00B05E32" w:rsidRPr="00844BD4">
        <w:rPr>
          <w:lang w:val="en-US"/>
        </w:rPr>
        <w:t xml:space="preserve">half of the reduction in the value added, while </w:t>
      </w:r>
      <w:r w:rsidR="009614D2" w:rsidRPr="00844BD4">
        <w:rPr>
          <w:lang w:val="en-US"/>
        </w:rPr>
        <w:t xml:space="preserve">the </w:t>
      </w:r>
      <w:r w:rsidR="00B87B5A" w:rsidRPr="00844BD4">
        <w:rPr>
          <w:lang w:val="en-US"/>
        </w:rPr>
        <w:t xml:space="preserve">backward </w:t>
      </w:r>
      <w:r w:rsidR="009614D2" w:rsidRPr="00844BD4">
        <w:rPr>
          <w:lang w:val="en-US"/>
        </w:rPr>
        <w:t>impacts</w:t>
      </w:r>
      <w:r w:rsidR="00B05E32" w:rsidRPr="00844BD4">
        <w:rPr>
          <w:lang w:val="en-US"/>
        </w:rPr>
        <w:t xml:space="preserve"> and the initial impact in the Japanese TEI accounted for </w:t>
      </w:r>
      <w:r w:rsidR="000034AE">
        <w:rPr>
          <w:lang w:val="en-US"/>
        </w:rPr>
        <w:t>26.</w:t>
      </w:r>
      <w:r w:rsidR="00C239E1">
        <w:rPr>
          <w:lang w:val="en-US"/>
        </w:rPr>
        <w:t>1</w:t>
      </w:r>
      <w:r w:rsidR="00B05E32" w:rsidRPr="00844BD4">
        <w:rPr>
          <w:lang w:val="en-US"/>
        </w:rPr>
        <w:t xml:space="preserve">% and </w:t>
      </w:r>
      <w:r w:rsidR="00C239E1">
        <w:rPr>
          <w:lang w:val="en-US"/>
        </w:rPr>
        <w:t>17.9</w:t>
      </w:r>
      <w:r w:rsidR="00B05E32" w:rsidRPr="00844BD4">
        <w:rPr>
          <w:lang w:val="en-US"/>
        </w:rPr>
        <w:t>% respectively.</w:t>
      </w:r>
    </w:p>
    <w:p w:rsidR="00D14A22" w:rsidRPr="00844BD4" w:rsidRDefault="009614D2" w:rsidP="00CE33BD">
      <w:pPr>
        <w:spacing w:line="360" w:lineRule="auto"/>
        <w:ind w:firstLine="567"/>
        <w:jc w:val="both"/>
        <w:rPr>
          <w:lang w:val="en-US"/>
        </w:rPr>
      </w:pPr>
      <w:r w:rsidRPr="00844BD4">
        <w:t>The results also show the relevance of taking the impacts from a global inter-regional perspective</w:t>
      </w:r>
      <w:r w:rsidR="00A001E5" w:rsidRPr="00844BD4">
        <w:t xml:space="preserve"> into account</w:t>
      </w:r>
      <w:r w:rsidRPr="00844BD4">
        <w:t xml:space="preserve">. Thus, while </w:t>
      </w:r>
      <w:r w:rsidR="00C754DD" w:rsidRPr="00844BD4">
        <w:t xml:space="preserve">Japan </w:t>
      </w:r>
      <w:r w:rsidR="005F723D" w:rsidRPr="00844BD4">
        <w:t xml:space="preserve">suffered </w:t>
      </w:r>
      <w:r w:rsidR="00265372">
        <w:t>around</w:t>
      </w:r>
      <w:r w:rsidR="00265372" w:rsidRPr="00844BD4">
        <w:t xml:space="preserve"> </w:t>
      </w:r>
      <w:r w:rsidR="005F723D" w:rsidRPr="00844BD4">
        <w:t>40</w:t>
      </w:r>
      <w:r w:rsidR="00DD527C" w:rsidRPr="00844BD4">
        <w:t>%</w:t>
      </w:r>
      <w:r w:rsidR="00C754DD" w:rsidRPr="00844BD4">
        <w:t xml:space="preserve"> of the total impact, </w:t>
      </w:r>
      <w:r w:rsidR="005F723D" w:rsidRPr="00844BD4">
        <w:t xml:space="preserve">the rest of the world </w:t>
      </w:r>
      <w:r w:rsidR="003B69FF" w:rsidRPr="00844BD4">
        <w:t>bore</w:t>
      </w:r>
      <w:r w:rsidR="005F723D" w:rsidRPr="00844BD4">
        <w:t xml:space="preserve"> </w:t>
      </w:r>
      <w:r w:rsidR="00B87B5A" w:rsidRPr="00844BD4">
        <w:t xml:space="preserve">almost </w:t>
      </w:r>
      <w:r w:rsidR="005F723D" w:rsidRPr="00844BD4">
        <w:t xml:space="preserve">60%, </w:t>
      </w:r>
      <w:r w:rsidR="00FE00FD" w:rsidRPr="00844BD4">
        <w:t xml:space="preserve">with </w:t>
      </w:r>
      <w:r w:rsidR="005F723D" w:rsidRPr="00844BD4">
        <w:t>the</w:t>
      </w:r>
      <w:r w:rsidR="00DD527C" w:rsidRPr="00844BD4">
        <w:t xml:space="preserve"> United States</w:t>
      </w:r>
      <w:r w:rsidR="00C754DD" w:rsidRPr="00844BD4">
        <w:t xml:space="preserve"> </w:t>
      </w:r>
      <w:r w:rsidR="005F723D" w:rsidRPr="00844BD4">
        <w:t>(</w:t>
      </w:r>
      <w:r w:rsidR="000034AE">
        <w:t>25</w:t>
      </w:r>
      <w:r w:rsidR="005F723D" w:rsidRPr="00844BD4">
        <w:t xml:space="preserve">% of total impact), </w:t>
      </w:r>
      <w:r w:rsidR="00B87B5A" w:rsidRPr="00844BD4">
        <w:t>China (</w:t>
      </w:r>
      <w:r w:rsidR="00C239E1">
        <w:t>8</w:t>
      </w:r>
      <w:r w:rsidR="00B87B5A" w:rsidRPr="00844BD4">
        <w:t xml:space="preserve">%), </w:t>
      </w:r>
      <w:r w:rsidR="005F723D" w:rsidRPr="00844BD4">
        <w:t xml:space="preserve">the </w:t>
      </w:r>
      <w:r w:rsidR="00C754DD" w:rsidRPr="00844BD4">
        <w:t xml:space="preserve">European Union </w:t>
      </w:r>
      <w:r w:rsidR="00DD527C" w:rsidRPr="00844BD4">
        <w:t>(</w:t>
      </w:r>
      <w:r w:rsidR="00EF09BB">
        <w:t>8</w:t>
      </w:r>
      <w:r w:rsidR="005F723D" w:rsidRPr="00844BD4">
        <w:t>%</w:t>
      </w:r>
      <w:r w:rsidR="00DD527C" w:rsidRPr="00844BD4">
        <w:t>)</w:t>
      </w:r>
      <w:r w:rsidR="00C754DD" w:rsidRPr="00844BD4">
        <w:t>, and Canada</w:t>
      </w:r>
      <w:r w:rsidR="00DD527C" w:rsidRPr="00844BD4">
        <w:t xml:space="preserve"> </w:t>
      </w:r>
      <w:r w:rsidR="004E2DFD" w:rsidRPr="00844BD4">
        <w:t>(</w:t>
      </w:r>
      <w:r w:rsidR="00EB636A">
        <w:t>7</w:t>
      </w:r>
      <w:r w:rsidR="005F723D" w:rsidRPr="00844BD4">
        <w:t>%</w:t>
      </w:r>
      <w:r w:rsidR="00C754DD" w:rsidRPr="00844BD4">
        <w:t xml:space="preserve">) </w:t>
      </w:r>
      <w:r w:rsidR="005F723D" w:rsidRPr="00844BD4">
        <w:t>the most impacted</w:t>
      </w:r>
      <w:r w:rsidR="00FE00FD" w:rsidRPr="00844BD4">
        <w:t xml:space="preserve"> regions</w:t>
      </w:r>
      <w:r w:rsidR="00C754DD" w:rsidRPr="00844BD4">
        <w:t>.</w:t>
      </w:r>
      <w:r w:rsidRPr="00844BD4">
        <w:t xml:space="preserve"> </w:t>
      </w:r>
      <w:r w:rsidR="00A24957">
        <w:t>The WIOD covers 35 sectors, and includes</w:t>
      </w:r>
      <w:r w:rsidR="00A24957" w:rsidRPr="00DF71DC">
        <w:t xml:space="preserve"> only one transport equipment manufacturing industry</w:t>
      </w:r>
      <w:r w:rsidR="00A24957">
        <w:t xml:space="preserve"> (which includes the production of many different transport vehicles and parts). Thus, the results derived from the analysis should be interpreted as indications. Nevertheless, </w:t>
      </w:r>
      <w:r w:rsidR="00A24957">
        <w:rPr>
          <w:lang w:val="en-US"/>
        </w:rPr>
        <w:t>t</w:t>
      </w:r>
      <w:r w:rsidR="004232E8" w:rsidRPr="00844BD4">
        <w:rPr>
          <w:lang w:val="en-US"/>
        </w:rPr>
        <w:t xml:space="preserve">he increasing globalization of the international supply-production chain and the large interconnectivity of the different economies </w:t>
      </w:r>
      <w:r w:rsidR="00A24957">
        <w:rPr>
          <w:lang w:val="en-US"/>
        </w:rPr>
        <w:t xml:space="preserve">certainly </w:t>
      </w:r>
      <w:r w:rsidR="004232E8" w:rsidRPr="00844BD4">
        <w:rPr>
          <w:lang w:val="en-US"/>
        </w:rPr>
        <w:t xml:space="preserve">contribute to increase </w:t>
      </w:r>
      <w:r w:rsidR="00265372">
        <w:rPr>
          <w:lang w:val="en-US"/>
        </w:rPr>
        <w:t xml:space="preserve">the </w:t>
      </w:r>
      <w:r w:rsidR="004232E8" w:rsidRPr="00844BD4">
        <w:rPr>
          <w:lang w:val="en-US"/>
        </w:rPr>
        <w:t>vulnerability of regional economies to any kind of disaster occurring anywhere in the world</w:t>
      </w:r>
      <w:r w:rsidR="009C19BA">
        <w:rPr>
          <w:lang w:val="en-US"/>
        </w:rPr>
        <w:t xml:space="preserve"> </w:t>
      </w:r>
      <w:r w:rsidR="009C19BA">
        <w:rPr>
          <w:lang w:val="en-US"/>
        </w:rPr>
        <w:fldChar w:fldCharType="begin"/>
      </w:r>
      <w:r w:rsidR="009C19BA">
        <w:rPr>
          <w:lang w:val="en-US"/>
        </w:rPr>
        <w:instrText xml:space="preserve"> ADDIN ZOTERO_ITEM CSL_CITATION {"citationID":"1a1lnu7f2o","properties":{"formattedCitation":"(Barker and Santos, 2010; Yamano et al., 2007)","plainCitation":"(Barker and Santos, 2010; Yamano et al., 2007)"},"citationItems":[{"id":2784,"uris":["http://zotero.org/groups/271383/items/GRJ4AFQN"],"uri":["http://zotero.org/groups/271383/items/GRJ4AFQN"],"itemData":{"id":2784,"type":"article-journal","title":"Measuring the efficacy of inventory with a dynamic input–output model","container-title":"International Journal of Production Economics","collection-title":"Improving Disaster Supply Chain Management – Key supply chain factors for humanitarian relief","page":"130-143","volume":"126","issue":"1","source":"ScienceDirect","abstract":"This paper extends the recently developed dynamic inoperability input–output model (DIIM) for assessing productivity degradations due to disasters. Inventory policies are formulated and incorporated within the DIIM to evaluate the impact of inventories on the resilience of disrupted interdependent systems. The Inventory DIIM can provide practical insights to preparedness decision making through explicit tradeoff analysis of multiple objectives, including inventory costs and economic loss reductions. The model is demonstrated in several illustrative examples to depict various nuances of inventory policies. The paper then culminates in a case study that utilizes input–output and inventory accounts from the Bureau of Economic Analysis.","DOI":"10.1016/j.ijpe.2009.08.011","ISSN":"0925-5273","journalAbbreviation":"International Journal of Production Economics","author":[{"family":"Barker","given":"Kash"},{"family":"Santos","given":"Joost R."}],"issued":{"date-parts":[["2010",7]]},"accessed":{"date-parts":[["2014",8,13]]}}},{"id":2833,"uris":["http://zotero.org/groups/271383/items/FMHI6B6X"],"uri":["http://zotero.org/groups/271383/items/FMHI6B6X"],"itemData":{"id":2833,"type":"article-journal","title":"Modeling the Regional Economic Loss of Natural Disasters: The Search for Economic Hotspots","container-title":"Economic Systems Research","page":"163-181","volume":"19","issue":"2","source":"Taylor and Francis+NEJM","abstract":"Abstract This paper examines the economic impacts of natural disasters using the originally estimated finer geographical scale production datasets and the redefined interregional input–output table. For more effective estimates of direct losses of the disasters, the precise geographical information of industrial distribution is required, because most economic data are published according to political boundaries that may be too aggregated to be the practical information for disaster preventions and retrofit policies. The direct losses are captured by the output data at the district level (500-meter square) by sector and the population density. The map of economic hotspots is obtained after estimating the economic importance of each district. The numerical examples clearly show that the advantages of finer geographical scale datasets and the total economic losses are not proportional to the distributions of population and industrial activities. In other words, the disaster prevention and retrofit policies have to consider the higher-order effects to reduce the total economic loss.","DOI":"10.1080/09535310701330191","ISSN":"0953-5314","shortTitle":"Modeling the Regional Economic Loss of Natural Disasters","author":[{"family":"Yamano","given":"Norihiko"},{"family":"Kajitani","given":"Yoshio"},{"family":"Shumuta","given":"Yoshiharu"}],"issued":{"date-parts":[["2007"]]},"accessed":{"date-parts":[["2014",8,13]]}}}],"schema":"https://github.com/citation-style-language/schema/raw/master/csl-citation.json"} </w:instrText>
      </w:r>
      <w:r w:rsidR="009C19BA">
        <w:rPr>
          <w:lang w:val="en-US"/>
        </w:rPr>
        <w:fldChar w:fldCharType="separate"/>
      </w:r>
      <w:r w:rsidR="005B3396" w:rsidRPr="005B3396">
        <w:t>(</w:t>
      </w:r>
      <w:r w:rsidR="00EF09BB" w:rsidRPr="005B3396">
        <w:t>Yamano et al., 2007</w:t>
      </w:r>
      <w:r w:rsidR="00EF09BB">
        <w:t xml:space="preserve">; </w:t>
      </w:r>
      <w:r w:rsidR="005B3396" w:rsidRPr="005B3396">
        <w:t>Barker and Santos, 2010;)</w:t>
      </w:r>
      <w:r w:rsidR="009C19BA">
        <w:rPr>
          <w:lang w:val="en-US"/>
        </w:rPr>
        <w:fldChar w:fldCharType="end"/>
      </w:r>
      <w:r w:rsidR="004232E8" w:rsidRPr="00844BD4">
        <w:rPr>
          <w:lang w:val="en-US"/>
        </w:rPr>
        <w:t xml:space="preserve">. Thus, the results of these studies </w:t>
      </w:r>
      <w:r w:rsidR="00D14A22" w:rsidRPr="00844BD4">
        <w:rPr>
          <w:lang w:val="en-US"/>
        </w:rPr>
        <w:t>could be useful for decision making in many different areas such as</w:t>
      </w:r>
      <w:r w:rsidR="00D14A22" w:rsidRPr="00844BD4">
        <w:t xml:space="preserve"> risk management strategies (diversification of suppliers),</w:t>
      </w:r>
      <w:r w:rsidR="00D14A22" w:rsidRPr="00844BD4">
        <w:rPr>
          <w:lang w:val="en-US"/>
        </w:rPr>
        <w:t xml:space="preserve"> logistics and production organization strategies (especially inventories management). </w:t>
      </w:r>
    </w:p>
    <w:p w:rsidR="00A942F7" w:rsidRPr="00844BD4" w:rsidRDefault="007E7458" w:rsidP="00CE33BD">
      <w:pPr>
        <w:spacing w:line="360" w:lineRule="auto"/>
        <w:ind w:firstLine="567"/>
        <w:jc w:val="both"/>
      </w:pPr>
      <w:r w:rsidRPr="00844BD4">
        <w:t>Although the model</w:t>
      </w:r>
      <w:r w:rsidR="00FE00FD" w:rsidRPr="00844BD4">
        <w:t xml:space="preserve"> used</w:t>
      </w:r>
      <w:r w:rsidRPr="00844BD4">
        <w:t xml:space="preserve"> is </w:t>
      </w:r>
      <w:r w:rsidR="00FE00FD" w:rsidRPr="00844BD4">
        <w:t>suitable</w:t>
      </w:r>
      <w:r w:rsidRPr="00844BD4">
        <w:t xml:space="preserve"> for computing the effects of disruptions in the supply chain, it shows some shortcomings. </w:t>
      </w:r>
      <w:r w:rsidR="00C40E7B" w:rsidRPr="00844BD4">
        <w:t>It</w:t>
      </w:r>
      <w:r w:rsidRPr="00844BD4">
        <w:t xml:space="preserve"> is able to capture most of the impacts generated by the disruption of the supply chain, but not all. For instance, the impacts generated in other sectors </w:t>
      </w:r>
      <w:r w:rsidR="00C40E7B" w:rsidRPr="00844BD4">
        <w:t>besides</w:t>
      </w:r>
      <w:r w:rsidRPr="00844BD4">
        <w:t xml:space="preserve"> the TEI, but using inputs from the TEI sector</w:t>
      </w:r>
      <w:r w:rsidR="00C40E7B" w:rsidRPr="00844BD4">
        <w:t>,</w:t>
      </w:r>
      <w:r w:rsidRPr="00844BD4">
        <w:t xml:space="preserve"> would not be captured (e.g. automotive repair and maintenance sector), although th</w:t>
      </w:r>
      <w:r w:rsidR="00C40E7B" w:rsidRPr="00844BD4">
        <w:t>e</w:t>
      </w:r>
      <w:r w:rsidRPr="00844BD4">
        <w:t>s</w:t>
      </w:r>
      <w:r w:rsidR="00C40E7B" w:rsidRPr="00844BD4">
        <w:t>e</w:t>
      </w:r>
      <w:r w:rsidRPr="00844BD4">
        <w:t xml:space="preserve"> impacts are relatively small compared to the ones already captured by the model (</w:t>
      </w:r>
      <w:r w:rsidR="00265372">
        <w:t xml:space="preserve">e.g. </w:t>
      </w:r>
      <w:r w:rsidRPr="00844BD4">
        <w:t>in the case of Japan</w:t>
      </w:r>
      <w:r w:rsidR="00C40E7B" w:rsidRPr="00844BD4">
        <w:t>,</w:t>
      </w:r>
      <w:r w:rsidRPr="00844BD4">
        <w:t xml:space="preserve"> 90% of the intermediate output of the TEI is used by the Japanese and foreign TEI). In addition, the </w:t>
      </w:r>
      <w:r w:rsidR="00265372">
        <w:t>supply chain</w:t>
      </w:r>
      <w:r w:rsidR="00265372" w:rsidRPr="00844BD4">
        <w:t xml:space="preserve"> </w:t>
      </w:r>
      <w:r w:rsidRPr="00844BD4">
        <w:t xml:space="preserve">effect computed by the model also includes some </w:t>
      </w:r>
      <w:r w:rsidR="00265372">
        <w:t xml:space="preserve">of the </w:t>
      </w:r>
      <w:r w:rsidRPr="00844BD4">
        <w:t>backward effects</w:t>
      </w:r>
      <w:r w:rsidR="00265372">
        <w:t xml:space="preserve"> derived from the reduction in the intermediate demand of the Japanese TEI</w:t>
      </w:r>
      <w:r w:rsidR="009B4A06">
        <w:t xml:space="preserve"> (i.e.</w:t>
      </w:r>
      <w:r w:rsidR="00C40E7B" w:rsidRPr="00844BD4">
        <w:t xml:space="preserve"> </w:t>
      </w:r>
      <w:r w:rsidRPr="00844BD4">
        <w:t>part of</w:t>
      </w:r>
      <w:r w:rsidR="009B4A06">
        <w:t xml:space="preserve"> the</w:t>
      </w:r>
      <w:r w:rsidRPr="00844BD4">
        <w:t xml:space="preserve"> </w:t>
      </w:r>
      <w:r w:rsidR="005E2331" w:rsidRPr="00844BD4">
        <w:t>impact in the</w:t>
      </w:r>
      <w:r w:rsidRPr="00844BD4">
        <w:t xml:space="preserve"> </w:t>
      </w:r>
      <w:r w:rsidR="005E2331" w:rsidRPr="00844BD4">
        <w:t>non-Japanese TEI</w:t>
      </w:r>
      <w:r w:rsidRPr="00844BD4">
        <w:t xml:space="preserve"> could be due to the reduction in the demand </w:t>
      </w:r>
      <w:r w:rsidR="00C40E7B" w:rsidRPr="00844BD4">
        <w:t xml:space="preserve">for </w:t>
      </w:r>
      <w:r w:rsidRPr="00844BD4">
        <w:t xml:space="preserve">intermediates </w:t>
      </w:r>
      <w:r w:rsidR="00C40E7B" w:rsidRPr="00844BD4">
        <w:t xml:space="preserve">from </w:t>
      </w:r>
      <w:r w:rsidRPr="00844BD4">
        <w:t>the Japanese TEI</w:t>
      </w:r>
      <w:r w:rsidR="009B4A06">
        <w:t>)</w:t>
      </w:r>
      <w:r w:rsidRPr="00844BD4">
        <w:t xml:space="preserve"> This would be the case </w:t>
      </w:r>
      <w:r w:rsidR="00C40E7B" w:rsidRPr="00844BD4">
        <w:t xml:space="preserve">for </w:t>
      </w:r>
      <w:r w:rsidRPr="00844BD4">
        <w:t xml:space="preserve">the non-Japanese TEIs affected by the disruption in the supply chain </w:t>
      </w:r>
      <w:r w:rsidR="00C40E7B" w:rsidRPr="00844BD4">
        <w:t xml:space="preserve">that </w:t>
      </w:r>
      <w:r w:rsidRPr="00844BD4">
        <w:t xml:space="preserve">are also suppliers of inputs to the Japanese TEI. However, in this case study, the Japanese exports from foreign TEI are 3.5 times higher than the imports and it would be expected that only a fraction of the impact computed as </w:t>
      </w:r>
      <w:r w:rsidR="00265372">
        <w:t>supply chain</w:t>
      </w:r>
      <w:r w:rsidR="00265372" w:rsidRPr="00844BD4">
        <w:t xml:space="preserve"> </w:t>
      </w:r>
      <w:r w:rsidRPr="00844BD4">
        <w:t>would</w:t>
      </w:r>
      <w:r w:rsidR="00C40E7B" w:rsidRPr="00844BD4">
        <w:t xml:space="preserve"> actually</w:t>
      </w:r>
      <w:r w:rsidRPr="00844BD4">
        <w:t xml:space="preserve"> be backward. Finally, although the model </w:t>
      </w:r>
      <w:r w:rsidR="00C40E7B" w:rsidRPr="00844BD4">
        <w:t xml:space="preserve">explicitly </w:t>
      </w:r>
      <w:r w:rsidRPr="00844BD4">
        <w:t xml:space="preserve">computes the feedback loops between all the sectors involved in </w:t>
      </w:r>
      <w:r w:rsidR="009B4A06">
        <w:t>supply chain of the TEI</w:t>
      </w:r>
      <w:r w:rsidRPr="00844BD4">
        <w:t>, it does not explicitly capture the feedback loop within the TEI worldwide. However, this effect is implicitly accounted</w:t>
      </w:r>
      <w:r w:rsidR="00C40E7B" w:rsidRPr="00844BD4">
        <w:t xml:space="preserve"> for</w:t>
      </w:r>
      <w:r w:rsidRPr="00844BD4">
        <w:t xml:space="preserve"> in the initial effect</w:t>
      </w:r>
      <w:r w:rsidR="00C40E7B" w:rsidRPr="00844BD4">
        <w:t>,</w:t>
      </w:r>
      <w:r w:rsidRPr="00844BD4">
        <w:t xml:space="preserve"> which covers the total reduction in the production of the TEI.</w:t>
      </w:r>
    </w:p>
    <w:p w:rsidR="00DF71DC" w:rsidRPr="00844BD4" w:rsidRDefault="007E7458" w:rsidP="00CE33BD">
      <w:pPr>
        <w:spacing w:line="360" w:lineRule="auto"/>
        <w:ind w:firstLine="567"/>
        <w:jc w:val="both"/>
        <w:rPr>
          <w:lang w:val="en-US"/>
        </w:rPr>
      </w:pPr>
      <w:r w:rsidRPr="00844BD4">
        <w:t xml:space="preserve">In recent years, computable general equilibrium (CGE) models are becoming more popular for disaster impact analysis. Unlike IO models, CGE models are non-linear, can respond to price changes, can accommodate input and import substitutions, and can explicitly handle supply constraints </w:t>
      </w:r>
      <w:r w:rsidR="005D0274">
        <w:fldChar w:fldCharType="begin"/>
      </w:r>
      <w:r w:rsidR="005D0274">
        <w:instrText xml:space="preserve"> ADDIN ZOTERO_ITEM CSL_CITATION {"citationID":"155bhgj096","properties":{"formattedCitation":"(Okuyama and Santos, 2014)","plainCitation":"(Okuyama and Santos, 2014)"},"citationItems":[{"id":2820,"uris":["http://zotero.org/groups/271383/items/GS6TKVT8"],"uri":["http://zotero.org/groups/271383/items/GS6TKVT8"],"itemData":{"id":2820,"type":"article-journal","title":"Disaster Impact and Input–Output Analysis","container-title":"Economic Systems Research","page":"1-12","volume":"26","issue":"1","source":"Taylor and Francis+NEJM","abstract":"Macroeconomics models, such as the input–output model, the social accounting matrix, and the computable general equilibrium model, have been used for impact analysis of catastrophic disasters for some time. While the use of such models to disaster situation, which may quite differ from the ordinary economic setting, has been critiqued (for recent example, see Albala-Bertrand, 2013), there are still valuable reasons for the use of such models. In particular, such models can be used in order to quickly provide a ballpark estimate of the system-wide impact for recovery plan and finance and/or to evaluate disaster countermeasures in the pre-event period. This paper presents how these methodologies have evolved to incorporate with disaster-specific feature and discusses how far they still need to go from the current stage. This paper also serves as a preface to this special issue, which encompasses several papers devoted to the use of macroeconomic data and models to assess economic losses from disasters.","DOI":"10.1080/09535314.2013.871505","ISSN":"0953-5314","author":[{"family":"Okuyama","given":"Yasuhide"},{"family":"Santos","given":"Joost R."}],"issued":{"date-parts":[["2014"]]},"accessed":{"date-parts":[["2014",8,13]]}}}],"schema":"https://github.com/citation-style-language/schema/raw/master/csl-citation.json"} </w:instrText>
      </w:r>
      <w:r w:rsidR="005D0274">
        <w:fldChar w:fldCharType="separate"/>
      </w:r>
      <w:r w:rsidR="005B3396" w:rsidRPr="005B3396">
        <w:t>(Okuyama and Santos, 2014)</w:t>
      </w:r>
      <w:r w:rsidR="005D0274">
        <w:fldChar w:fldCharType="end"/>
      </w:r>
      <w:r w:rsidRPr="00844BD4">
        <w:t xml:space="preserve">. However, these advantages with respect </w:t>
      </w:r>
      <w:r w:rsidR="00DE0953" w:rsidRPr="00844BD4">
        <w:t xml:space="preserve">to </w:t>
      </w:r>
      <w:r w:rsidRPr="00844BD4">
        <w:t xml:space="preserve">IO models may turn into disadvantages when assessing the disruption of the supply of key components that, in the </w:t>
      </w:r>
      <w:r w:rsidR="00875561">
        <w:t xml:space="preserve">very </w:t>
      </w:r>
      <w:r w:rsidRPr="00844BD4">
        <w:t>short run, cannot be supplied by any other producer</w:t>
      </w:r>
      <w:r w:rsidR="000E6A96">
        <w:t xml:space="preserve">, and </w:t>
      </w:r>
      <w:r w:rsidR="00DF71DC">
        <w:t>therefore,</w:t>
      </w:r>
      <w:r w:rsidR="00875561" w:rsidRPr="00875561">
        <w:t xml:space="preserve"> all </w:t>
      </w:r>
      <w:r w:rsidR="000E6A96">
        <w:t xml:space="preserve">the </w:t>
      </w:r>
      <w:r w:rsidR="00875561" w:rsidRPr="00875561">
        <w:t>adjustments in CGE-models cannot take place completely</w:t>
      </w:r>
      <w:r w:rsidR="00DF71DC">
        <w:t>.</w:t>
      </w:r>
      <w:r w:rsidRPr="00844BD4">
        <w:t xml:space="preserve"> In this sense, CGEs could be considered too flexible for the assessment of disruption in the supply chain of key components, while the rigidity and simplicity of the mixed </w:t>
      </w:r>
      <w:r w:rsidR="003E03AD" w:rsidRPr="00844BD4">
        <w:t>MRIO</w:t>
      </w:r>
      <w:r w:rsidRPr="00844BD4">
        <w:t xml:space="preserve"> model would represent an advantage in this case.</w:t>
      </w:r>
      <w:r w:rsidR="00A24957" w:rsidRPr="00CE414C" w:rsidDel="00A24957">
        <w:t xml:space="preserve"> </w:t>
      </w:r>
    </w:p>
    <w:p w:rsidR="00C754DD" w:rsidRDefault="00C754DD" w:rsidP="00CE33BD">
      <w:pPr>
        <w:spacing w:line="360" w:lineRule="auto"/>
        <w:jc w:val="both"/>
        <w:rPr>
          <w:lang w:val="en-US"/>
        </w:rPr>
      </w:pPr>
    </w:p>
    <w:p w:rsidR="00A24957" w:rsidRPr="00844BD4" w:rsidRDefault="00A24957" w:rsidP="00CE33BD">
      <w:pPr>
        <w:spacing w:line="360" w:lineRule="auto"/>
        <w:jc w:val="both"/>
        <w:rPr>
          <w:lang w:val="en-US"/>
        </w:rPr>
      </w:pPr>
    </w:p>
    <w:p w:rsidR="00C754DD" w:rsidRDefault="00C754DD" w:rsidP="00CE33BD">
      <w:pPr>
        <w:spacing w:line="360" w:lineRule="auto"/>
        <w:jc w:val="both"/>
        <w:rPr>
          <w:b/>
          <w:lang w:val="en-US"/>
        </w:rPr>
      </w:pPr>
      <w:r w:rsidRPr="00844BD4">
        <w:rPr>
          <w:b/>
          <w:lang w:val="en-US"/>
        </w:rPr>
        <w:t>References</w:t>
      </w:r>
    </w:p>
    <w:p w:rsidR="00A24957" w:rsidRPr="00844BD4" w:rsidRDefault="00A24957" w:rsidP="00CE33BD">
      <w:pPr>
        <w:spacing w:line="360" w:lineRule="auto"/>
        <w:jc w:val="both"/>
        <w:rPr>
          <w:b/>
          <w:lang w:val="en-US"/>
        </w:rPr>
      </w:pPr>
    </w:p>
    <w:p w:rsidR="005B3396" w:rsidRPr="005B3396" w:rsidRDefault="005D0274" w:rsidP="00CE33BD">
      <w:pPr>
        <w:pStyle w:val="Bibliography"/>
        <w:spacing w:line="360" w:lineRule="auto"/>
        <w:jc w:val="both"/>
      </w:pPr>
      <w:r>
        <w:fldChar w:fldCharType="begin"/>
      </w:r>
      <w:r w:rsidR="005B3396">
        <w:instrText xml:space="preserve"> ADDIN ZOTERO_BIBL {"custom":[]} CSL_BIBLIOGRAPHY </w:instrText>
      </w:r>
      <w:r>
        <w:fldChar w:fldCharType="separate"/>
      </w:r>
      <w:r w:rsidR="005B3396" w:rsidRPr="005B3396">
        <w:t>Arbex, M., Perobelli, F.S., 2010. Solow meets Leontief: Economic growth and energy consumption. Energy Economics</w:t>
      </w:r>
      <w:r w:rsidR="004A099F">
        <w:t>,</w:t>
      </w:r>
      <w:r w:rsidR="005B3396" w:rsidRPr="005B3396">
        <w:t xml:space="preserve"> 32, 43–53.</w:t>
      </w:r>
    </w:p>
    <w:p w:rsidR="005B3396" w:rsidRPr="005B3396" w:rsidRDefault="005B3396" w:rsidP="00CE33BD">
      <w:pPr>
        <w:pStyle w:val="Bibliography"/>
        <w:spacing w:line="360" w:lineRule="auto"/>
        <w:jc w:val="both"/>
      </w:pPr>
      <w:r w:rsidRPr="005B3396">
        <w:t>Autonews, F. wire, 2011. Opel, Renault production hit by shortage of Japanese parts http://www.autonews.com/article/20110318/COPY01/303189860/opel-renault-production-hit-by-shortage-of-japanese-parts (accessed 8.13.14).</w:t>
      </w:r>
    </w:p>
    <w:p w:rsidR="005B3396" w:rsidRPr="005B3396" w:rsidRDefault="005B3396" w:rsidP="00CE33BD">
      <w:pPr>
        <w:pStyle w:val="Bibliography"/>
        <w:spacing w:line="360" w:lineRule="auto"/>
        <w:jc w:val="both"/>
      </w:pPr>
      <w:r w:rsidRPr="005B3396">
        <w:t>Barker, K., Santos, J.R., 2010. Measuring the efficacy of inventory with a dynamic input–output model. International Journal of Production Economics</w:t>
      </w:r>
      <w:r w:rsidR="004A099F">
        <w:t>,</w:t>
      </w:r>
      <w:r w:rsidRPr="005B3396">
        <w:t xml:space="preserve"> 126, 130–143.</w:t>
      </w:r>
    </w:p>
    <w:p w:rsidR="005B3396" w:rsidRPr="005B3396" w:rsidRDefault="005B3396" w:rsidP="00CE33BD">
      <w:pPr>
        <w:pStyle w:val="Bibliography"/>
        <w:spacing w:line="360" w:lineRule="auto"/>
        <w:jc w:val="both"/>
      </w:pPr>
      <w:r w:rsidRPr="00CE33BD">
        <w:rPr>
          <w:lang w:val="en-US"/>
        </w:rPr>
        <w:t xml:space="preserve">Dietzenbacher, E., Los, B., Stehrer, R., Timmer, M., de Vries, G., 2013. </w:t>
      </w:r>
      <w:r w:rsidRPr="005B3396">
        <w:t>The construction of world input-output tables in the WIOD project. Economic Systems Research</w:t>
      </w:r>
      <w:r w:rsidR="004A099F">
        <w:t>,</w:t>
      </w:r>
      <w:r w:rsidRPr="005B3396">
        <w:t xml:space="preserve"> 25, 71–98.</w:t>
      </w:r>
    </w:p>
    <w:p w:rsidR="005B3396" w:rsidRPr="005B3396" w:rsidRDefault="005B3396" w:rsidP="00CE33BD">
      <w:pPr>
        <w:pStyle w:val="Bibliography"/>
        <w:spacing w:line="360" w:lineRule="auto"/>
        <w:jc w:val="both"/>
      </w:pPr>
      <w:r w:rsidRPr="005B3396">
        <w:t>Haimes, Y., Jiang, P., 2001. Leontief-Based Model of Risk in Complex Interconnected Infrastructures. Journal of Infrastructure Systems</w:t>
      </w:r>
      <w:r w:rsidR="004A099F">
        <w:t>,</w:t>
      </w:r>
      <w:r w:rsidRPr="005B3396">
        <w:t xml:space="preserve"> 7, 1–12.</w:t>
      </w:r>
    </w:p>
    <w:p w:rsidR="005B3396" w:rsidRPr="005B3396" w:rsidRDefault="005B3396" w:rsidP="00CE33BD">
      <w:pPr>
        <w:pStyle w:val="Bibliography"/>
        <w:spacing w:line="360" w:lineRule="auto"/>
        <w:jc w:val="both"/>
      </w:pPr>
      <w:r w:rsidRPr="005B3396">
        <w:t>Hallegatte, S., 2008. An adaptive regional input-output model and its application to the assessment of the economic cost of Katrina. Risk Anal</w:t>
      </w:r>
      <w:r w:rsidR="004A099F">
        <w:t>ysis,</w:t>
      </w:r>
      <w:r w:rsidRPr="005B3396">
        <w:t xml:space="preserve"> 28, 779–799.</w:t>
      </w:r>
    </w:p>
    <w:p w:rsidR="005B3396" w:rsidRPr="005B3396" w:rsidRDefault="005B3396" w:rsidP="00CE33BD">
      <w:pPr>
        <w:pStyle w:val="Bibliography"/>
        <w:spacing w:line="360" w:lineRule="auto"/>
        <w:jc w:val="both"/>
      </w:pPr>
      <w:r w:rsidRPr="005B3396">
        <w:t>Jiang, P., Haimes, Y.Y., 2004. Risk management for Leontief-based interdependent systems. Risk Anal</w:t>
      </w:r>
      <w:r w:rsidR="004A099F">
        <w:t>ysis,</w:t>
      </w:r>
      <w:r w:rsidRPr="005B3396">
        <w:t xml:space="preserve"> 24, 1215–1229.</w:t>
      </w:r>
    </w:p>
    <w:p w:rsidR="005B3396" w:rsidRPr="005B3396" w:rsidRDefault="005B3396" w:rsidP="00CE33BD">
      <w:pPr>
        <w:pStyle w:val="Bibliography"/>
        <w:spacing w:line="360" w:lineRule="auto"/>
        <w:jc w:val="both"/>
      </w:pPr>
      <w:r w:rsidRPr="005B3396">
        <w:t>Jonkeren, O., Giannopoulos, G., 2014. Analysing Critical Infrastructure Failure with a Resilience Inoperability Input–Output Model. Economic Systems Research</w:t>
      </w:r>
      <w:r w:rsidR="004A099F">
        <w:t>,</w:t>
      </w:r>
      <w:r w:rsidRPr="005B3396">
        <w:t xml:space="preserve"> 26, 39–59.</w:t>
      </w:r>
    </w:p>
    <w:p w:rsidR="005B3396" w:rsidRPr="005B3396" w:rsidRDefault="005B3396" w:rsidP="00CE33BD">
      <w:pPr>
        <w:pStyle w:val="Bibliography"/>
        <w:spacing w:line="360" w:lineRule="auto"/>
        <w:jc w:val="both"/>
      </w:pPr>
      <w:r w:rsidRPr="005B3396">
        <w:t>Kajitani, Y., Chang, S.E., Tatano, H., 2013. Economic Impacts of the 2011 Tohoku-Oki Earthquake and Tsunami. Earthquake Spectra</w:t>
      </w:r>
      <w:r w:rsidR="004A099F">
        <w:t>,</w:t>
      </w:r>
      <w:r w:rsidRPr="005B3396">
        <w:t xml:space="preserve"> 29, S457–S478.</w:t>
      </w:r>
    </w:p>
    <w:p w:rsidR="005B3396" w:rsidRPr="005B3396" w:rsidRDefault="005B3396" w:rsidP="00CE33BD">
      <w:pPr>
        <w:pStyle w:val="Bibliography"/>
        <w:spacing w:line="360" w:lineRule="auto"/>
        <w:jc w:val="both"/>
      </w:pPr>
      <w:r w:rsidRPr="005B3396">
        <w:t>Kerschner, C., Bermejo, R., Arto, I., 2009. Petróleo y carbón: del cenit del petróleo al cenit del carbón. Ecología Política 39, Cambio Climático y Energías Renovables, 23–36</w:t>
      </w:r>
      <w:r w:rsidR="004A099F">
        <w:t xml:space="preserve"> (in Spanish)</w:t>
      </w:r>
      <w:r w:rsidRPr="005B3396">
        <w:t>.</w:t>
      </w:r>
    </w:p>
    <w:p w:rsidR="005B3396" w:rsidRPr="005B3396" w:rsidRDefault="005B3396" w:rsidP="00CE33BD">
      <w:pPr>
        <w:pStyle w:val="Bibliography"/>
        <w:spacing w:line="360" w:lineRule="auto"/>
        <w:jc w:val="both"/>
      </w:pPr>
      <w:r w:rsidRPr="005B3396">
        <w:t>Leckcivilize, A., 2013. The Impact of Supply Chain Disruptions: Evidence from the Japanese Tsunami. Presented at the 21st International Input-Output Conference, Kitakyushu, Japan.</w:t>
      </w:r>
    </w:p>
    <w:p w:rsidR="005B3396" w:rsidRPr="005B3396" w:rsidRDefault="005B3396" w:rsidP="00CE33BD">
      <w:pPr>
        <w:pStyle w:val="Bibliography"/>
        <w:spacing w:line="360" w:lineRule="auto"/>
        <w:jc w:val="both"/>
      </w:pPr>
      <w:r w:rsidRPr="005B3396">
        <w:t>Lian, C., Haimes, Y.Y., 2006. Managing the risk of terrorism to interdependent infrastructure systems through the dynamic inoperability input–output model. Syst</w:t>
      </w:r>
      <w:r w:rsidR="004A099F">
        <w:t>ems</w:t>
      </w:r>
      <w:r w:rsidRPr="005B3396">
        <w:t xml:space="preserve"> Engin</w:t>
      </w:r>
      <w:r w:rsidR="004A099F">
        <w:t>eering,</w:t>
      </w:r>
      <w:r w:rsidRPr="005B3396">
        <w:t xml:space="preserve"> 9, 241–258.</w:t>
      </w:r>
    </w:p>
    <w:p w:rsidR="005B3396" w:rsidRPr="005B3396" w:rsidRDefault="005B3396" w:rsidP="00CE33BD">
      <w:pPr>
        <w:pStyle w:val="Bibliography"/>
        <w:spacing w:line="360" w:lineRule="auto"/>
        <w:jc w:val="both"/>
      </w:pPr>
      <w:r w:rsidRPr="005B3396">
        <w:t>Miller, R.E., Blair, P.D., 2009. Input-Output Analysis: Foundations and Extensions, 2nd ed. Cambridge University Press, Cambridge UK.</w:t>
      </w:r>
    </w:p>
    <w:p w:rsidR="005B3396" w:rsidRPr="005B3396" w:rsidRDefault="005B3396" w:rsidP="00CE33BD">
      <w:pPr>
        <w:pStyle w:val="Bibliography"/>
        <w:spacing w:line="360" w:lineRule="auto"/>
        <w:jc w:val="both"/>
      </w:pPr>
      <w:r w:rsidRPr="005B3396">
        <w:t>Mirza, M.M.Q., 2003. Climate change and extreme weather events: can developing countries adapt? Climate Policy</w:t>
      </w:r>
      <w:r w:rsidR="004A099F">
        <w:t>,</w:t>
      </w:r>
      <w:r w:rsidRPr="005B3396">
        <w:t xml:space="preserve"> 3, 233–248.</w:t>
      </w:r>
    </w:p>
    <w:p w:rsidR="005B3396" w:rsidRPr="005B3396" w:rsidRDefault="005B3396" w:rsidP="00CE33BD">
      <w:pPr>
        <w:pStyle w:val="Bibliography"/>
        <w:spacing w:line="360" w:lineRule="auto"/>
        <w:jc w:val="both"/>
      </w:pPr>
      <w:r w:rsidRPr="005B3396">
        <w:t>OICA, 2012. Production Statistics. 2010 Statistics http://oica.net/category/production-statistics/2010-statistics/</w:t>
      </w:r>
    </w:p>
    <w:p w:rsidR="005B3396" w:rsidRPr="005B3396" w:rsidRDefault="005B3396" w:rsidP="00CE33BD">
      <w:pPr>
        <w:pStyle w:val="Bibliography"/>
        <w:spacing w:line="360" w:lineRule="auto"/>
        <w:jc w:val="both"/>
      </w:pPr>
      <w:r w:rsidRPr="005B3396">
        <w:t>Okuyama, Y., 2004. Modeling spatial economic impacts of an earthquake: input-output approaches. Disaster Prevention and Management</w:t>
      </w:r>
      <w:r w:rsidR="004A099F">
        <w:t>,</w:t>
      </w:r>
      <w:r w:rsidRPr="005B3396">
        <w:t xml:space="preserve"> 13, 297–306.</w:t>
      </w:r>
    </w:p>
    <w:p w:rsidR="005B3396" w:rsidRPr="005B3396" w:rsidRDefault="005B3396" w:rsidP="00CE33BD">
      <w:pPr>
        <w:pStyle w:val="Bibliography"/>
        <w:spacing w:line="360" w:lineRule="auto"/>
        <w:jc w:val="both"/>
      </w:pPr>
      <w:r w:rsidRPr="005B3396">
        <w:t>Okuyama, Y., 2010. Globalization and Localization of Disaster Impacts: An Empirical Examination. CESifo Forum, CESifo Forum 11, 56–66.</w:t>
      </w:r>
    </w:p>
    <w:p w:rsidR="005B3396" w:rsidRPr="005B3396" w:rsidRDefault="005B3396" w:rsidP="00CE33BD">
      <w:pPr>
        <w:pStyle w:val="Bibliography"/>
        <w:spacing w:line="360" w:lineRule="auto"/>
        <w:jc w:val="both"/>
      </w:pPr>
      <w:r w:rsidRPr="005B3396">
        <w:t>Okuyama, Y., Hewings, G.J.D., Sonis, M., 2004. Measuring Economic Impacts of Disasters: Interregional Input-Output Analysis Using Sequential Interindustry Model, in: Okuyama, D.Y., Chang, P.S.E. (Eds.), Modeling Spatial and Economic Impacts of Disasters, Advances in Spatial Science. Springer Berlin Heidelberg, pp. 77–101.</w:t>
      </w:r>
    </w:p>
    <w:p w:rsidR="005B3396" w:rsidRPr="005B3396" w:rsidRDefault="005B3396" w:rsidP="00CE33BD">
      <w:pPr>
        <w:pStyle w:val="Bibliography"/>
        <w:spacing w:line="360" w:lineRule="auto"/>
        <w:jc w:val="both"/>
      </w:pPr>
      <w:r w:rsidRPr="005B3396">
        <w:t>Okuyama, Y., Sahin, S., 2009. Impact Estimation of Disasters: A Global Aggregate for 1960 to 2007 (SSRN Scholarly Paper No. ID 1421704). Social Science Research Network, Rochester, NY.</w:t>
      </w:r>
    </w:p>
    <w:p w:rsidR="005B3396" w:rsidRPr="005B3396" w:rsidRDefault="005B3396" w:rsidP="00CE33BD">
      <w:pPr>
        <w:pStyle w:val="Bibliography"/>
        <w:spacing w:line="360" w:lineRule="auto"/>
        <w:jc w:val="both"/>
      </w:pPr>
      <w:r w:rsidRPr="005B3396">
        <w:t>Okuyama, Y., Santos, J.R., 2014. Disaster Impact and Input–Output Analysis. Economic Systems Research</w:t>
      </w:r>
      <w:r w:rsidR="004A099F">
        <w:t>,</w:t>
      </w:r>
      <w:r w:rsidRPr="005B3396">
        <w:t xml:space="preserve"> 26, 1–12.</w:t>
      </w:r>
    </w:p>
    <w:p w:rsidR="005B3396" w:rsidRPr="005B3396" w:rsidRDefault="005B3396" w:rsidP="00CE33BD">
      <w:pPr>
        <w:pStyle w:val="Bibliography"/>
        <w:spacing w:line="360" w:lineRule="auto"/>
        <w:jc w:val="both"/>
      </w:pPr>
      <w:r w:rsidRPr="005B3396">
        <w:t>Okuyama, Y., Sonis, M., Hewings, G.J.D., 1999. Economic Impacts of an Unscheduled, Disruptive Event: A Miyazawa Multiplier Analysis, in: Hewings, P.G.J.D., Sonis, P.M., Madden, P.M., Kimura, P.Y. (Eds.), Understanding and Interpreting Economic Structure, Advances in Spatial Science. Springer Berlin Heidelberg, pp. 113–143.</w:t>
      </w:r>
    </w:p>
    <w:p w:rsidR="005B3396" w:rsidRPr="005B3396" w:rsidRDefault="005B3396" w:rsidP="00CE33BD">
      <w:pPr>
        <w:pStyle w:val="Bibliography"/>
        <w:spacing w:line="360" w:lineRule="auto"/>
        <w:jc w:val="both"/>
      </w:pPr>
      <w:r w:rsidRPr="005B3396">
        <w:t>Ranghieri, F., Ishiwatari, M., 2012. Learning from Megadisasters : Lessons from the Great East Japan Earthquake. World Bank, Washington DC.</w:t>
      </w:r>
    </w:p>
    <w:p w:rsidR="005B3396" w:rsidRPr="005B3396" w:rsidRDefault="005B3396" w:rsidP="00CE33BD">
      <w:pPr>
        <w:pStyle w:val="Bibliography"/>
        <w:spacing w:line="360" w:lineRule="auto"/>
        <w:jc w:val="both"/>
      </w:pPr>
      <w:r w:rsidRPr="005B3396">
        <w:t>Robinet, M., 2011. Japan Disaster Output Impacts Update</w:t>
      </w:r>
      <w:r w:rsidR="000724CB">
        <w:t>.</w:t>
      </w:r>
      <w:r w:rsidRPr="005B3396">
        <w:t xml:space="preserve"> http://www.oesa.org/Doc-Vault/Knowledge-Center/Archived-Docs/Japan-Earthquake-Information/IHS-Japan-Disaster-Output-Impact-Update-June-10.pdf</w:t>
      </w:r>
    </w:p>
    <w:p w:rsidR="005B3396" w:rsidRPr="005B3396" w:rsidRDefault="005B3396" w:rsidP="00CE33BD">
      <w:pPr>
        <w:pStyle w:val="Bibliography"/>
        <w:spacing w:line="360" w:lineRule="auto"/>
        <w:jc w:val="both"/>
      </w:pPr>
      <w:r w:rsidRPr="005B3396">
        <w:t>Rose, A., Wei, D., 2013. Estimating the Economic Consequences of a Port Shutdown: The Special Role of Resilience. Economic Systems Research</w:t>
      </w:r>
      <w:r w:rsidR="000724CB">
        <w:t>,</w:t>
      </w:r>
      <w:r w:rsidRPr="005B3396">
        <w:t xml:space="preserve"> 25, 212–232. </w:t>
      </w:r>
    </w:p>
    <w:p w:rsidR="005B3396" w:rsidRPr="005B3396" w:rsidRDefault="005B3396" w:rsidP="00CE33BD">
      <w:pPr>
        <w:pStyle w:val="Bibliography"/>
        <w:spacing w:line="360" w:lineRule="auto"/>
        <w:jc w:val="both"/>
      </w:pPr>
      <w:r w:rsidRPr="005B3396">
        <w:t>Santos, J.R., Haimes, Y.Y., 2004. Modeling the demand reduction input-output (I-O) inoperability due to terrorism of interconnected infrastructures. Risk Anal</w:t>
      </w:r>
      <w:r w:rsidR="000724CB">
        <w:t>ysis,</w:t>
      </w:r>
      <w:r w:rsidRPr="005B3396">
        <w:t xml:space="preserve"> 24, 1437–1451.</w:t>
      </w:r>
    </w:p>
    <w:p w:rsidR="005B3396" w:rsidRPr="005B3396" w:rsidRDefault="005B3396" w:rsidP="00CE33BD">
      <w:pPr>
        <w:pStyle w:val="Bibliography"/>
        <w:spacing w:line="360" w:lineRule="auto"/>
        <w:jc w:val="both"/>
      </w:pPr>
      <w:r w:rsidRPr="005B3396">
        <w:t>Steinback, S.R., 2004. Using Ready-Made Regional Input-Output Models to Estimate Backward-Linkage Effects of Exogenous Output Shocks. The Review of Regional Studies</w:t>
      </w:r>
      <w:r w:rsidR="000724CB">
        <w:t>,</w:t>
      </w:r>
      <w:r w:rsidRPr="005B3396">
        <w:t xml:space="preserve"> 34, 57–71.</w:t>
      </w:r>
    </w:p>
    <w:p w:rsidR="005B3396" w:rsidRPr="005B3396" w:rsidRDefault="000724CB" w:rsidP="00CE33BD">
      <w:pPr>
        <w:pStyle w:val="Bibliography"/>
        <w:spacing w:line="360" w:lineRule="auto"/>
        <w:jc w:val="both"/>
      </w:pPr>
      <w:r w:rsidRPr="00CE33BD">
        <w:rPr>
          <w:lang w:val="nl-NL"/>
        </w:rPr>
        <w:t>va</w:t>
      </w:r>
      <w:r>
        <w:rPr>
          <w:lang w:val="nl-NL"/>
        </w:rPr>
        <w:t xml:space="preserve">n der </w:t>
      </w:r>
      <w:r w:rsidR="005B3396" w:rsidRPr="00CE33BD">
        <w:rPr>
          <w:lang w:val="nl-NL"/>
        </w:rPr>
        <w:t xml:space="preserve">Veen, A., Logtmeijer, C., 2005. </w:t>
      </w:r>
      <w:r w:rsidR="005B3396" w:rsidRPr="005B3396">
        <w:t>Economic Hotspots: Visualizing Vulnerability to Flooding. Nat</w:t>
      </w:r>
      <w:r>
        <w:t>ural</w:t>
      </w:r>
      <w:r w:rsidR="005B3396" w:rsidRPr="005B3396">
        <w:t xml:space="preserve"> Hazards</w:t>
      </w:r>
      <w:r>
        <w:t>,</w:t>
      </w:r>
      <w:r w:rsidR="005B3396" w:rsidRPr="005B3396">
        <w:t xml:space="preserve"> 36, 65–80.</w:t>
      </w:r>
    </w:p>
    <w:p w:rsidR="005B3396" w:rsidRPr="005B3396" w:rsidRDefault="005B3396" w:rsidP="00CE33BD">
      <w:pPr>
        <w:pStyle w:val="Bibliography"/>
        <w:spacing w:line="360" w:lineRule="auto"/>
        <w:jc w:val="both"/>
      </w:pPr>
      <w:r w:rsidRPr="005B3396">
        <w:t>Yamano, N., Kajitani, Y., Shumuta, Y., 2007. Modeling the Regional Economic Loss of Natural Disasters: The Search for Economic Hotspots. Economic Systems Research</w:t>
      </w:r>
      <w:r w:rsidR="000724CB">
        <w:t>,</w:t>
      </w:r>
      <w:r w:rsidRPr="005B3396">
        <w:t xml:space="preserve"> 19, 163–181.</w:t>
      </w:r>
    </w:p>
    <w:p w:rsidR="005B3396" w:rsidRPr="005B3396" w:rsidRDefault="005B3396" w:rsidP="00CE33BD">
      <w:pPr>
        <w:pStyle w:val="Bibliography"/>
        <w:spacing w:line="360" w:lineRule="auto"/>
        <w:jc w:val="both"/>
      </w:pPr>
      <w:r w:rsidRPr="005B3396">
        <w:t xml:space="preserve">Yuan, C., Liu, S., Xie, N., 2010. The impact on chinese economic growth and energy consumption of the Global Financial Crisis: An input–output analysis. Energy, 35, 1805–1812. </w:t>
      </w:r>
    </w:p>
    <w:p w:rsidR="005D0274" w:rsidRDefault="005D0274" w:rsidP="00CE33BD">
      <w:pPr>
        <w:spacing w:line="360" w:lineRule="auto"/>
        <w:ind w:left="720" w:hanging="720"/>
        <w:jc w:val="both"/>
      </w:pPr>
      <w:r>
        <w:fldChar w:fldCharType="end"/>
      </w:r>
    </w:p>
    <w:p w:rsidR="000724CB" w:rsidRPr="00844BD4" w:rsidRDefault="000724CB" w:rsidP="000724CB">
      <w:pPr>
        <w:spacing w:line="480" w:lineRule="auto"/>
        <w:jc w:val="both"/>
        <w:rPr>
          <w:b/>
        </w:rPr>
      </w:pPr>
      <w:r>
        <w:br w:type="page"/>
      </w:r>
      <w:r>
        <w:rPr>
          <w:b/>
        </w:rPr>
        <w:t>Figure</w:t>
      </w:r>
      <w:r w:rsidRPr="00844BD4">
        <w:rPr>
          <w:b/>
        </w:rPr>
        <w:t xml:space="preserve"> 1: Multi-regional input-output table for two regions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
        <w:gridCol w:w="790"/>
        <w:gridCol w:w="1116"/>
        <w:gridCol w:w="1116"/>
        <w:gridCol w:w="676"/>
        <w:gridCol w:w="696"/>
        <w:gridCol w:w="615"/>
      </w:tblGrid>
      <w:tr w:rsidR="000724CB" w:rsidRPr="00844BD4" w:rsidTr="00FC4A2F">
        <w:trPr>
          <w:trHeight w:val="350"/>
        </w:trPr>
        <w:tc>
          <w:tcPr>
            <w:tcW w:w="830" w:type="dxa"/>
            <w:tcBorders>
              <w:bottom w:val="nil"/>
              <w:right w:val="nil"/>
            </w:tcBorders>
            <w:shd w:val="clear" w:color="auto" w:fill="auto"/>
            <w:vAlign w:val="center"/>
          </w:tcPr>
          <w:p w:rsidR="000724CB" w:rsidRPr="00844BD4" w:rsidRDefault="000724CB" w:rsidP="00FC4A2F">
            <w:pPr>
              <w:spacing w:line="480" w:lineRule="auto"/>
              <w:jc w:val="center"/>
            </w:pPr>
            <w:r w:rsidRPr="00844BD4">
              <w:t>region</w:t>
            </w:r>
          </w:p>
        </w:tc>
        <w:tc>
          <w:tcPr>
            <w:tcW w:w="790" w:type="dxa"/>
            <w:tcBorders>
              <w:left w:val="nil"/>
              <w:bottom w:val="single" w:sz="4" w:space="0" w:color="auto"/>
            </w:tcBorders>
            <w:shd w:val="clear" w:color="auto" w:fill="auto"/>
            <w:vAlign w:val="center"/>
          </w:tcPr>
          <w:p w:rsidR="000724CB" w:rsidRPr="00844BD4" w:rsidRDefault="000724CB" w:rsidP="00FC4A2F">
            <w:pPr>
              <w:spacing w:line="480" w:lineRule="auto"/>
              <w:jc w:val="center"/>
            </w:pPr>
          </w:p>
        </w:tc>
        <w:tc>
          <w:tcPr>
            <w:tcW w:w="1116" w:type="dxa"/>
            <w:tcBorders>
              <w:bottom w:val="single" w:sz="4" w:space="0" w:color="auto"/>
            </w:tcBorders>
            <w:shd w:val="clear" w:color="auto" w:fill="auto"/>
            <w:vAlign w:val="center"/>
          </w:tcPr>
          <w:p w:rsidR="000724CB" w:rsidRPr="00844BD4" w:rsidRDefault="000724CB" w:rsidP="00FC4A2F">
            <w:pPr>
              <w:spacing w:line="480" w:lineRule="auto"/>
              <w:jc w:val="center"/>
            </w:pPr>
            <w:r w:rsidRPr="00844BD4">
              <w:t>R</w:t>
            </w:r>
          </w:p>
        </w:tc>
        <w:tc>
          <w:tcPr>
            <w:tcW w:w="1116" w:type="dxa"/>
            <w:vAlign w:val="center"/>
          </w:tcPr>
          <w:p w:rsidR="000724CB" w:rsidRPr="00844BD4" w:rsidRDefault="000724CB" w:rsidP="00FC4A2F">
            <w:pPr>
              <w:spacing w:line="480" w:lineRule="auto"/>
              <w:jc w:val="center"/>
            </w:pPr>
            <w:r w:rsidRPr="00844BD4">
              <w:t>S</w:t>
            </w:r>
          </w:p>
        </w:tc>
        <w:tc>
          <w:tcPr>
            <w:tcW w:w="676" w:type="dxa"/>
            <w:tcBorders>
              <w:bottom w:val="nil"/>
            </w:tcBorders>
            <w:shd w:val="clear" w:color="auto" w:fill="auto"/>
            <w:vAlign w:val="center"/>
          </w:tcPr>
          <w:p w:rsidR="000724CB" w:rsidRPr="00844BD4" w:rsidRDefault="000724CB" w:rsidP="00FC4A2F">
            <w:pPr>
              <w:spacing w:line="480" w:lineRule="auto"/>
              <w:jc w:val="center"/>
            </w:pPr>
            <w:r w:rsidRPr="00844BD4">
              <w:t>R</w:t>
            </w:r>
          </w:p>
        </w:tc>
        <w:tc>
          <w:tcPr>
            <w:tcW w:w="696" w:type="dxa"/>
            <w:tcBorders>
              <w:bottom w:val="nil"/>
            </w:tcBorders>
            <w:vAlign w:val="center"/>
          </w:tcPr>
          <w:p w:rsidR="000724CB" w:rsidRPr="00844BD4" w:rsidRDefault="000724CB" w:rsidP="00FC4A2F">
            <w:pPr>
              <w:spacing w:line="480" w:lineRule="auto"/>
              <w:jc w:val="center"/>
            </w:pPr>
            <w:r w:rsidRPr="00844BD4">
              <w:t>S</w:t>
            </w:r>
          </w:p>
        </w:tc>
        <w:tc>
          <w:tcPr>
            <w:tcW w:w="615" w:type="dxa"/>
            <w:tcBorders>
              <w:top w:val="nil"/>
              <w:bottom w:val="nil"/>
              <w:right w:val="nil"/>
            </w:tcBorders>
            <w:shd w:val="clear" w:color="auto" w:fill="auto"/>
            <w:vAlign w:val="center"/>
          </w:tcPr>
          <w:p w:rsidR="000724CB" w:rsidRPr="00844BD4" w:rsidRDefault="000724CB" w:rsidP="00FC4A2F">
            <w:pPr>
              <w:spacing w:line="480" w:lineRule="auto"/>
              <w:jc w:val="center"/>
            </w:pPr>
          </w:p>
        </w:tc>
      </w:tr>
      <w:tr w:rsidR="000724CB" w:rsidRPr="00844BD4" w:rsidTr="00FC4A2F">
        <w:tc>
          <w:tcPr>
            <w:tcW w:w="830" w:type="dxa"/>
            <w:tcBorders>
              <w:top w:val="nil"/>
              <w:right w:val="single" w:sz="4" w:space="0" w:color="auto"/>
            </w:tcBorders>
            <w:shd w:val="clear" w:color="auto" w:fill="auto"/>
            <w:vAlign w:val="center"/>
          </w:tcPr>
          <w:p w:rsidR="000724CB" w:rsidRPr="00844BD4" w:rsidRDefault="000724CB" w:rsidP="00FC4A2F">
            <w:pPr>
              <w:spacing w:line="480" w:lineRule="auto"/>
              <w:jc w:val="center"/>
            </w:pPr>
          </w:p>
        </w:tc>
        <w:tc>
          <w:tcPr>
            <w:tcW w:w="790" w:type="dxa"/>
            <w:tcBorders>
              <w:left w:val="single" w:sz="4" w:space="0" w:color="auto"/>
            </w:tcBorders>
            <w:shd w:val="clear" w:color="auto" w:fill="auto"/>
            <w:vAlign w:val="center"/>
          </w:tcPr>
          <w:p w:rsidR="000724CB" w:rsidRPr="00844BD4" w:rsidRDefault="000724CB" w:rsidP="00FC4A2F">
            <w:pPr>
              <w:spacing w:line="480" w:lineRule="auto"/>
              <w:jc w:val="center"/>
            </w:pPr>
            <w:r w:rsidRPr="00844BD4">
              <w:t>sector</w:t>
            </w:r>
          </w:p>
        </w:tc>
        <w:tc>
          <w:tcPr>
            <w:tcW w:w="1116" w:type="dxa"/>
            <w:shd w:val="clear" w:color="auto" w:fill="auto"/>
            <w:vAlign w:val="center"/>
          </w:tcPr>
          <w:p w:rsidR="000724CB" w:rsidRPr="00844BD4" w:rsidRDefault="000724CB" w:rsidP="00FC4A2F">
            <w:pPr>
              <w:spacing w:line="480" w:lineRule="auto"/>
              <w:jc w:val="center"/>
            </w:pPr>
            <w:r w:rsidRPr="00844BD4">
              <w:t>1 2</w:t>
            </w:r>
          </w:p>
        </w:tc>
        <w:tc>
          <w:tcPr>
            <w:tcW w:w="1116" w:type="dxa"/>
            <w:vAlign w:val="center"/>
          </w:tcPr>
          <w:p w:rsidR="000724CB" w:rsidRPr="00844BD4" w:rsidRDefault="000724CB" w:rsidP="00FC4A2F">
            <w:pPr>
              <w:spacing w:line="480" w:lineRule="auto"/>
              <w:jc w:val="center"/>
            </w:pPr>
            <w:r w:rsidRPr="00844BD4">
              <w:t>1 2</w:t>
            </w:r>
          </w:p>
        </w:tc>
        <w:tc>
          <w:tcPr>
            <w:tcW w:w="676" w:type="dxa"/>
            <w:tcBorders>
              <w:top w:val="nil"/>
            </w:tcBorders>
            <w:shd w:val="clear" w:color="auto" w:fill="auto"/>
            <w:vAlign w:val="center"/>
          </w:tcPr>
          <w:p w:rsidR="000724CB" w:rsidRPr="00844BD4" w:rsidRDefault="000724CB" w:rsidP="00FC4A2F">
            <w:pPr>
              <w:spacing w:line="480" w:lineRule="auto"/>
              <w:jc w:val="center"/>
            </w:pPr>
          </w:p>
        </w:tc>
        <w:tc>
          <w:tcPr>
            <w:tcW w:w="696" w:type="dxa"/>
            <w:tcBorders>
              <w:top w:val="nil"/>
            </w:tcBorders>
            <w:vAlign w:val="center"/>
          </w:tcPr>
          <w:p w:rsidR="000724CB" w:rsidRPr="00844BD4" w:rsidRDefault="000724CB" w:rsidP="00FC4A2F">
            <w:pPr>
              <w:spacing w:line="480" w:lineRule="auto"/>
              <w:jc w:val="center"/>
            </w:pPr>
          </w:p>
        </w:tc>
        <w:tc>
          <w:tcPr>
            <w:tcW w:w="615" w:type="dxa"/>
            <w:tcBorders>
              <w:top w:val="nil"/>
              <w:right w:val="nil"/>
            </w:tcBorders>
            <w:shd w:val="clear" w:color="auto" w:fill="auto"/>
            <w:vAlign w:val="center"/>
          </w:tcPr>
          <w:p w:rsidR="000724CB" w:rsidRPr="00844BD4" w:rsidRDefault="000724CB" w:rsidP="00FC4A2F">
            <w:pPr>
              <w:spacing w:line="480" w:lineRule="auto"/>
              <w:jc w:val="center"/>
            </w:pPr>
          </w:p>
        </w:tc>
      </w:tr>
      <w:tr w:rsidR="000724CB" w:rsidRPr="00844BD4" w:rsidTr="00FC4A2F">
        <w:tc>
          <w:tcPr>
            <w:tcW w:w="830" w:type="dxa"/>
            <w:shd w:val="clear" w:color="auto" w:fill="auto"/>
            <w:vAlign w:val="center"/>
          </w:tcPr>
          <w:p w:rsidR="000724CB" w:rsidRPr="00844BD4" w:rsidRDefault="000724CB" w:rsidP="00FC4A2F">
            <w:pPr>
              <w:spacing w:line="480" w:lineRule="auto"/>
              <w:jc w:val="center"/>
            </w:pPr>
            <w:r w:rsidRPr="00844BD4">
              <w:t>R</w:t>
            </w:r>
          </w:p>
        </w:tc>
        <w:tc>
          <w:tcPr>
            <w:tcW w:w="790" w:type="dxa"/>
            <w:shd w:val="clear" w:color="auto" w:fill="auto"/>
            <w:vAlign w:val="center"/>
          </w:tcPr>
          <w:p w:rsidR="000724CB" w:rsidRPr="00844BD4" w:rsidRDefault="000724CB" w:rsidP="00FC4A2F">
            <w:pPr>
              <w:spacing w:line="480" w:lineRule="auto"/>
              <w:jc w:val="center"/>
            </w:pPr>
            <w:r w:rsidRPr="00844BD4">
              <w:t>1</w:t>
            </w:r>
          </w:p>
          <w:p w:rsidR="000724CB" w:rsidRPr="00844BD4" w:rsidRDefault="000724CB" w:rsidP="00FC4A2F">
            <w:pPr>
              <w:spacing w:line="480" w:lineRule="auto"/>
              <w:jc w:val="center"/>
            </w:pPr>
            <w:r w:rsidRPr="00844BD4">
              <w:t>2</w:t>
            </w:r>
          </w:p>
        </w:tc>
        <w:tc>
          <w:tcPr>
            <w:tcW w:w="1116" w:type="dxa"/>
            <w:shd w:val="clear" w:color="auto" w:fill="auto"/>
            <w:vAlign w:val="center"/>
          </w:tcPr>
          <w:p w:rsidR="000724CB" w:rsidRPr="00844BD4" w:rsidRDefault="000724CB" w:rsidP="00FC4A2F">
            <w:pPr>
              <w:spacing w:line="480" w:lineRule="auto"/>
              <w:jc w:val="center"/>
              <w:rPr>
                <w:rFonts w:ascii="Arial" w:hAnsi="Arial" w:cs="Arial"/>
                <w:b/>
              </w:rPr>
            </w:pPr>
            <w:r w:rsidRPr="00844BD4">
              <w:rPr>
                <w:rFonts w:ascii="Arial" w:hAnsi="Arial" w:cs="Arial"/>
                <w:b/>
              </w:rPr>
              <w:t>Z</w:t>
            </w:r>
            <w:r w:rsidRPr="00844BD4">
              <w:rPr>
                <w:rFonts w:ascii="Arial" w:hAnsi="Arial" w:cs="Arial"/>
                <w:b/>
                <w:vertAlign w:val="superscript"/>
              </w:rPr>
              <w:t>RR</w:t>
            </w:r>
          </w:p>
        </w:tc>
        <w:tc>
          <w:tcPr>
            <w:tcW w:w="1116" w:type="dxa"/>
            <w:vAlign w:val="center"/>
          </w:tcPr>
          <w:p w:rsidR="000724CB" w:rsidRPr="00844BD4" w:rsidRDefault="000724CB" w:rsidP="00FC4A2F">
            <w:pPr>
              <w:spacing w:line="480" w:lineRule="auto"/>
              <w:jc w:val="center"/>
            </w:pPr>
            <w:r w:rsidRPr="00844BD4">
              <w:rPr>
                <w:rFonts w:ascii="Arial" w:hAnsi="Arial" w:cs="Arial"/>
                <w:b/>
              </w:rPr>
              <w:t>Z</w:t>
            </w:r>
            <w:r w:rsidRPr="00844BD4">
              <w:rPr>
                <w:rFonts w:ascii="Arial" w:hAnsi="Arial" w:cs="Arial"/>
                <w:b/>
                <w:vertAlign w:val="superscript"/>
              </w:rPr>
              <w:t>RS</w:t>
            </w:r>
          </w:p>
        </w:tc>
        <w:tc>
          <w:tcPr>
            <w:tcW w:w="676" w:type="dxa"/>
            <w:shd w:val="clear" w:color="auto" w:fill="auto"/>
            <w:vAlign w:val="center"/>
          </w:tcPr>
          <w:p w:rsidR="000724CB" w:rsidRPr="00844BD4" w:rsidRDefault="000724CB" w:rsidP="00FC4A2F">
            <w:pPr>
              <w:spacing w:line="480" w:lineRule="auto"/>
              <w:jc w:val="center"/>
            </w:pPr>
            <w:r w:rsidRPr="00844BD4">
              <w:rPr>
                <w:rFonts w:ascii="Arial" w:hAnsi="Arial" w:cs="Arial"/>
                <w:b/>
              </w:rPr>
              <w:t>y</w:t>
            </w:r>
            <w:r w:rsidRPr="00844BD4">
              <w:rPr>
                <w:rFonts w:ascii="Arial" w:hAnsi="Arial" w:cs="Arial"/>
                <w:b/>
                <w:vertAlign w:val="superscript"/>
              </w:rPr>
              <w:t>RR</w:t>
            </w:r>
          </w:p>
        </w:tc>
        <w:tc>
          <w:tcPr>
            <w:tcW w:w="696" w:type="dxa"/>
            <w:vAlign w:val="center"/>
          </w:tcPr>
          <w:p w:rsidR="000724CB" w:rsidRPr="00844BD4" w:rsidRDefault="000724CB" w:rsidP="00FC4A2F">
            <w:pPr>
              <w:spacing w:line="480" w:lineRule="auto"/>
              <w:jc w:val="center"/>
            </w:pPr>
            <w:r w:rsidRPr="00844BD4">
              <w:rPr>
                <w:rFonts w:ascii="Arial" w:hAnsi="Arial" w:cs="Arial"/>
                <w:b/>
              </w:rPr>
              <w:t>y</w:t>
            </w:r>
            <w:r w:rsidRPr="00844BD4">
              <w:rPr>
                <w:rFonts w:ascii="Arial" w:hAnsi="Arial" w:cs="Arial"/>
                <w:b/>
                <w:vertAlign w:val="superscript"/>
              </w:rPr>
              <w:t>RS</w:t>
            </w:r>
          </w:p>
        </w:tc>
        <w:tc>
          <w:tcPr>
            <w:tcW w:w="615" w:type="dxa"/>
            <w:shd w:val="clear" w:color="auto" w:fill="auto"/>
            <w:vAlign w:val="center"/>
          </w:tcPr>
          <w:p w:rsidR="000724CB" w:rsidRPr="00844BD4" w:rsidRDefault="000724CB" w:rsidP="00FC4A2F">
            <w:pPr>
              <w:spacing w:line="480" w:lineRule="auto"/>
              <w:jc w:val="center"/>
            </w:pPr>
            <w:r w:rsidRPr="00844BD4">
              <w:rPr>
                <w:rFonts w:ascii="Arial" w:hAnsi="Arial" w:cs="Arial"/>
                <w:b/>
              </w:rPr>
              <w:t>x</w:t>
            </w:r>
            <w:r w:rsidRPr="00844BD4">
              <w:rPr>
                <w:rFonts w:ascii="Arial" w:hAnsi="Arial" w:cs="Arial"/>
                <w:b/>
                <w:vertAlign w:val="superscript"/>
              </w:rPr>
              <w:t>R</w:t>
            </w:r>
          </w:p>
        </w:tc>
      </w:tr>
      <w:tr w:rsidR="000724CB" w:rsidRPr="00844BD4" w:rsidTr="00FC4A2F">
        <w:tc>
          <w:tcPr>
            <w:tcW w:w="830" w:type="dxa"/>
            <w:shd w:val="clear" w:color="auto" w:fill="auto"/>
            <w:vAlign w:val="center"/>
          </w:tcPr>
          <w:p w:rsidR="000724CB" w:rsidRPr="00844BD4" w:rsidRDefault="000724CB" w:rsidP="00FC4A2F">
            <w:pPr>
              <w:spacing w:line="480" w:lineRule="auto"/>
              <w:jc w:val="center"/>
            </w:pPr>
            <w:r w:rsidRPr="00844BD4">
              <w:t>S</w:t>
            </w:r>
          </w:p>
        </w:tc>
        <w:tc>
          <w:tcPr>
            <w:tcW w:w="790" w:type="dxa"/>
            <w:shd w:val="clear" w:color="auto" w:fill="auto"/>
            <w:vAlign w:val="center"/>
          </w:tcPr>
          <w:p w:rsidR="000724CB" w:rsidRPr="00844BD4" w:rsidRDefault="000724CB" w:rsidP="00FC4A2F">
            <w:pPr>
              <w:spacing w:line="480" w:lineRule="auto"/>
              <w:jc w:val="center"/>
            </w:pPr>
            <w:r w:rsidRPr="00844BD4">
              <w:t>1</w:t>
            </w:r>
          </w:p>
          <w:p w:rsidR="000724CB" w:rsidRPr="00844BD4" w:rsidRDefault="000724CB" w:rsidP="00FC4A2F">
            <w:pPr>
              <w:spacing w:line="480" w:lineRule="auto"/>
              <w:jc w:val="center"/>
            </w:pPr>
            <w:r w:rsidRPr="00844BD4">
              <w:t>2</w:t>
            </w:r>
          </w:p>
        </w:tc>
        <w:tc>
          <w:tcPr>
            <w:tcW w:w="1116" w:type="dxa"/>
            <w:shd w:val="clear" w:color="auto" w:fill="auto"/>
            <w:vAlign w:val="center"/>
          </w:tcPr>
          <w:p w:rsidR="000724CB" w:rsidRPr="00844BD4" w:rsidRDefault="000724CB" w:rsidP="00FC4A2F">
            <w:pPr>
              <w:spacing w:line="480" w:lineRule="auto"/>
              <w:jc w:val="center"/>
            </w:pPr>
            <w:r w:rsidRPr="00844BD4">
              <w:rPr>
                <w:rFonts w:ascii="Arial" w:hAnsi="Arial" w:cs="Arial"/>
                <w:b/>
              </w:rPr>
              <w:t>Z</w:t>
            </w:r>
            <w:r w:rsidRPr="00844BD4">
              <w:rPr>
                <w:rFonts w:ascii="Arial" w:hAnsi="Arial" w:cs="Arial"/>
                <w:b/>
                <w:vertAlign w:val="superscript"/>
              </w:rPr>
              <w:t>SR</w:t>
            </w:r>
          </w:p>
        </w:tc>
        <w:tc>
          <w:tcPr>
            <w:tcW w:w="1116" w:type="dxa"/>
            <w:vAlign w:val="center"/>
          </w:tcPr>
          <w:p w:rsidR="000724CB" w:rsidRPr="00844BD4" w:rsidRDefault="000724CB" w:rsidP="00FC4A2F">
            <w:pPr>
              <w:spacing w:line="480" w:lineRule="auto"/>
              <w:jc w:val="center"/>
            </w:pPr>
            <w:r w:rsidRPr="00844BD4">
              <w:rPr>
                <w:rFonts w:ascii="Arial" w:hAnsi="Arial" w:cs="Arial"/>
                <w:b/>
              </w:rPr>
              <w:t>Z</w:t>
            </w:r>
            <w:r w:rsidRPr="00844BD4">
              <w:rPr>
                <w:rFonts w:ascii="Arial" w:hAnsi="Arial" w:cs="Arial"/>
                <w:b/>
                <w:vertAlign w:val="superscript"/>
              </w:rPr>
              <w:t>SS</w:t>
            </w:r>
          </w:p>
        </w:tc>
        <w:tc>
          <w:tcPr>
            <w:tcW w:w="676" w:type="dxa"/>
            <w:shd w:val="clear" w:color="auto" w:fill="auto"/>
            <w:vAlign w:val="center"/>
          </w:tcPr>
          <w:p w:rsidR="000724CB" w:rsidRPr="00844BD4" w:rsidRDefault="000724CB" w:rsidP="00FC4A2F">
            <w:pPr>
              <w:spacing w:line="480" w:lineRule="auto"/>
              <w:jc w:val="center"/>
            </w:pPr>
            <w:r w:rsidRPr="00844BD4">
              <w:rPr>
                <w:rFonts w:ascii="Arial" w:hAnsi="Arial" w:cs="Arial"/>
                <w:b/>
              </w:rPr>
              <w:t>y</w:t>
            </w:r>
            <w:r w:rsidRPr="00844BD4">
              <w:rPr>
                <w:rFonts w:ascii="Arial" w:hAnsi="Arial" w:cs="Arial"/>
                <w:b/>
                <w:vertAlign w:val="superscript"/>
              </w:rPr>
              <w:t>SR</w:t>
            </w:r>
          </w:p>
        </w:tc>
        <w:tc>
          <w:tcPr>
            <w:tcW w:w="696" w:type="dxa"/>
            <w:vAlign w:val="center"/>
          </w:tcPr>
          <w:p w:rsidR="000724CB" w:rsidRPr="00844BD4" w:rsidRDefault="000724CB" w:rsidP="00FC4A2F">
            <w:pPr>
              <w:spacing w:line="480" w:lineRule="auto"/>
              <w:jc w:val="center"/>
            </w:pPr>
            <w:r w:rsidRPr="00844BD4">
              <w:rPr>
                <w:rFonts w:ascii="Arial" w:hAnsi="Arial" w:cs="Arial"/>
                <w:b/>
              </w:rPr>
              <w:t>y</w:t>
            </w:r>
            <w:r w:rsidRPr="00844BD4">
              <w:rPr>
                <w:rFonts w:ascii="Arial" w:hAnsi="Arial" w:cs="Arial"/>
                <w:b/>
                <w:vertAlign w:val="superscript"/>
              </w:rPr>
              <w:t>SS</w:t>
            </w:r>
          </w:p>
        </w:tc>
        <w:tc>
          <w:tcPr>
            <w:tcW w:w="615" w:type="dxa"/>
            <w:shd w:val="clear" w:color="auto" w:fill="auto"/>
            <w:vAlign w:val="center"/>
          </w:tcPr>
          <w:p w:rsidR="000724CB" w:rsidRPr="00844BD4" w:rsidRDefault="000724CB" w:rsidP="00FC4A2F">
            <w:pPr>
              <w:spacing w:line="480" w:lineRule="auto"/>
              <w:jc w:val="center"/>
            </w:pPr>
            <w:r w:rsidRPr="00844BD4">
              <w:rPr>
                <w:rFonts w:ascii="Arial" w:hAnsi="Arial" w:cs="Arial"/>
                <w:b/>
              </w:rPr>
              <w:t>x</w:t>
            </w:r>
            <w:r w:rsidRPr="00844BD4">
              <w:rPr>
                <w:rFonts w:ascii="Arial" w:hAnsi="Arial" w:cs="Arial"/>
                <w:b/>
                <w:vertAlign w:val="superscript"/>
              </w:rPr>
              <w:t>S</w:t>
            </w:r>
          </w:p>
        </w:tc>
      </w:tr>
      <w:tr w:rsidR="000724CB" w:rsidRPr="00844BD4" w:rsidTr="00FC4A2F">
        <w:tc>
          <w:tcPr>
            <w:tcW w:w="830" w:type="dxa"/>
            <w:shd w:val="clear" w:color="auto" w:fill="auto"/>
            <w:vAlign w:val="center"/>
          </w:tcPr>
          <w:p w:rsidR="000724CB" w:rsidRPr="00844BD4" w:rsidRDefault="000724CB" w:rsidP="00FC4A2F">
            <w:pPr>
              <w:spacing w:line="480" w:lineRule="auto"/>
              <w:jc w:val="center"/>
            </w:pPr>
          </w:p>
        </w:tc>
        <w:tc>
          <w:tcPr>
            <w:tcW w:w="790" w:type="dxa"/>
            <w:shd w:val="clear" w:color="auto" w:fill="auto"/>
            <w:vAlign w:val="center"/>
          </w:tcPr>
          <w:p w:rsidR="000724CB" w:rsidRPr="00844BD4" w:rsidRDefault="000724CB" w:rsidP="00FC4A2F">
            <w:pPr>
              <w:spacing w:line="480" w:lineRule="auto"/>
              <w:jc w:val="center"/>
            </w:pPr>
          </w:p>
        </w:tc>
        <w:tc>
          <w:tcPr>
            <w:tcW w:w="1116" w:type="dxa"/>
            <w:shd w:val="clear" w:color="auto" w:fill="auto"/>
            <w:vAlign w:val="center"/>
          </w:tcPr>
          <w:p w:rsidR="000724CB" w:rsidRPr="00844BD4" w:rsidRDefault="000724CB" w:rsidP="00FC4A2F">
            <w:pPr>
              <w:spacing w:line="480" w:lineRule="auto"/>
              <w:jc w:val="center"/>
            </w:pPr>
            <w:r w:rsidRPr="00844BD4">
              <w:rPr>
                <w:rFonts w:ascii="Arial" w:hAnsi="Arial" w:cs="Arial"/>
                <w:b/>
              </w:rPr>
              <w:t>(w</w:t>
            </w:r>
            <w:r w:rsidRPr="00844BD4">
              <w:rPr>
                <w:rFonts w:ascii="Arial" w:hAnsi="Arial" w:cs="Arial"/>
                <w:b/>
                <w:vertAlign w:val="superscript"/>
              </w:rPr>
              <w:t>R</w:t>
            </w:r>
            <w:r w:rsidRPr="00844BD4">
              <w:rPr>
                <w:rFonts w:ascii="Arial" w:hAnsi="Arial" w:cs="Arial"/>
                <w:b/>
              </w:rPr>
              <w:t>)'</w:t>
            </w:r>
          </w:p>
        </w:tc>
        <w:tc>
          <w:tcPr>
            <w:tcW w:w="1116" w:type="dxa"/>
            <w:vAlign w:val="center"/>
          </w:tcPr>
          <w:p w:rsidR="000724CB" w:rsidRPr="00844BD4" w:rsidRDefault="000724CB" w:rsidP="00FC4A2F">
            <w:pPr>
              <w:spacing w:line="480" w:lineRule="auto"/>
              <w:jc w:val="center"/>
            </w:pPr>
            <w:r w:rsidRPr="00844BD4">
              <w:rPr>
                <w:rFonts w:ascii="Arial" w:hAnsi="Arial" w:cs="Arial"/>
                <w:b/>
              </w:rPr>
              <w:t>(w</w:t>
            </w:r>
            <w:r w:rsidRPr="00844BD4">
              <w:rPr>
                <w:rFonts w:ascii="Arial" w:hAnsi="Arial" w:cs="Arial"/>
                <w:b/>
                <w:vertAlign w:val="superscript"/>
              </w:rPr>
              <w:t>S</w:t>
            </w:r>
            <w:r w:rsidRPr="00844BD4">
              <w:rPr>
                <w:rFonts w:ascii="Arial" w:hAnsi="Arial" w:cs="Arial"/>
                <w:b/>
              </w:rPr>
              <w:t>)'</w:t>
            </w:r>
          </w:p>
        </w:tc>
        <w:tc>
          <w:tcPr>
            <w:tcW w:w="676" w:type="dxa"/>
            <w:shd w:val="clear" w:color="auto" w:fill="auto"/>
            <w:vAlign w:val="center"/>
          </w:tcPr>
          <w:p w:rsidR="000724CB" w:rsidRPr="00844BD4" w:rsidRDefault="000724CB" w:rsidP="00FC4A2F">
            <w:pPr>
              <w:spacing w:line="480" w:lineRule="auto"/>
              <w:jc w:val="center"/>
            </w:pPr>
          </w:p>
        </w:tc>
        <w:tc>
          <w:tcPr>
            <w:tcW w:w="696" w:type="dxa"/>
            <w:vAlign w:val="center"/>
          </w:tcPr>
          <w:p w:rsidR="000724CB" w:rsidRPr="00844BD4" w:rsidRDefault="000724CB" w:rsidP="00FC4A2F">
            <w:pPr>
              <w:spacing w:line="480" w:lineRule="auto"/>
              <w:jc w:val="center"/>
            </w:pPr>
          </w:p>
        </w:tc>
        <w:tc>
          <w:tcPr>
            <w:tcW w:w="615" w:type="dxa"/>
            <w:shd w:val="clear" w:color="auto" w:fill="auto"/>
            <w:vAlign w:val="center"/>
          </w:tcPr>
          <w:p w:rsidR="000724CB" w:rsidRPr="00844BD4" w:rsidRDefault="000724CB" w:rsidP="00FC4A2F">
            <w:pPr>
              <w:spacing w:line="480" w:lineRule="auto"/>
              <w:jc w:val="center"/>
            </w:pPr>
          </w:p>
        </w:tc>
      </w:tr>
      <w:tr w:rsidR="000724CB" w:rsidRPr="00844BD4" w:rsidTr="00FC4A2F">
        <w:tc>
          <w:tcPr>
            <w:tcW w:w="830" w:type="dxa"/>
            <w:shd w:val="clear" w:color="auto" w:fill="auto"/>
            <w:vAlign w:val="center"/>
          </w:tcPr>
          <w:p w:rsidR="000724CB" w:rsidRPr="00844BD4" w:rsidRDefault="000724CB" w:rsidP="00FC4A2F">
            <w:pPr>
              <w:spacing w:line="480" w:lineRule="auto"/>
              <w:jc w:val="center"/>
            </w:pPr>
          </w:p>
        </w:tc>
        <w:tc>
          <w:tcPr>
            <w:tcW w:w="790" w:type="dxa"/>
            <w:shd w:val="clear" w:color="auto" w:fill="auto"/>
            <w:vAlign w:val="center"/>
          </w:tcPr>
          <w:p w:rsidR="000724CB" w:rsidRPr="00844BD4" w:rsidRDefault="000724CB" w:rsidP="00FC4A2F">
            <w:pPr>
              <w:spacing w:line="480" w:lineRule="auto"/>
              <w:jc w:val="center"/>
            </w:pPr>
          </w:p>
        </w:tc>
        <w:tc>
          <w:tcPr>
            <w:tcW w:w="1116" w:type="dxa"/>
            <w:shd w:val="clear" w:color="auto" w:fill="auto"/>
            <w:vAlign w:val="center"/>
          </w:tcPr>
          <w:p w:rsidR="000724CB" w:rsidRPr="00844BD4" w:rsidRDefault="000724CB" w:rsidP="00FC4A2F">
            <w:pPr>
              <w:spacing w:line="480" w:lineRule="auto"/>
              <w:jc w:val="center"/>
            </w:pPr>
            <w:r w:rsidRPr="00844BD4">
              <w:rPr>
                <w:rFonts w:ascii="Arial" w:hAnsi="Arial" w:cs="Arial"/>
                <w:b/>
              </w:rPr>
              <w:t>(x</w:t>
            </w:r>
            <w:r w:rsidRPr="00844BD4">
              <w:rPr>
                <w:rFonts w:ascii="Arial" w:hAnsi="Arial" w:cs="Arial"/>
                <w:b/>
                <w:vertAlign w:val="superscript"/>
              </w:rPr>
              <w:t>R</w:t>
            </w:r>
            <w:r w:rsidRPr="00844BD4">
              <w:rPr>
                <w:rFonts w:ascii="Arial" w:hAnsi="Arial" w:cs="Arial"/>
                <w:b/>
              </w:rPr>
              <w:t>)'</w:t>
            </w:r>
          </w:p>
        </w:tc>
        <w:tc>
          <w:tcPr>
            <w:tcW w:w="1116" w:type="dxa"/>
            <w:vAlign w:val="center"/>
          </w:tcPr>
          <w:p w:rsidR="000724CB" w:rsidRPr="00844BD4" w:rsidRDefault="000724CB" w:rsidP="00FC4A2F">
            <w:pPr>
              <w:spacing w:line="480" w:lineRule="auto"/>
              <w:jc w:val="center"/>
            </w:pPr>
            <w:r w:rsidRPr="00844BD4">
              <w:rPr>
                <w:rFonts w:ascii="Arial" w:hAnsi="Arial" w:cs="Arial"/>
                <w:b/>
              </w:rPr>
              <w:t>(x</w:t>
            </w:r>
            <w:r w:rsidRPr="00844BD4">
              <w:rPr>
                <w:rFonts w:ascii="Arial" w:hAnsi="Arial" w:cs="Arial"/>
                <w:b/>
                <w:vertAlign w:val="superscript"/>
              </w:rPr>
              <w:t>S</w:t>
            </w:r>
            <w:r w:rsidRPr="00844BD4">
              <w:rPr>
                <w:rFonts w:ascii="Arial" w:hAnsi="Arial" w:cs="Arial"/>
                <w:b/>
              </w:rPr>
              <w:t>)'</w:t>
            </w:r>
          </w:p>
        </w:tc>
        <w:tc>
          <w:tcPr>
            <w:tcW w:w="676" w:type="dxa"/>
            <w:shd w:val="clear" w:color="auto" w:fill="auto"/>
            <w:vAlign w:val="center"/>
          </w:tcPr>
          <w:p w:rsidR="000724CB" w:rsidRPr="00844BD4" w:rsidRDefault="000724CB" w:rsidP="00FC4A2F">
            <w:pPr>
              <w:spacing w:line="480" w:lineRule="auto"/>
              <w:jc w:val="center"/>
            </w:pPr>
          </w:p>
        </w:tc>
        <w:tc>
          <w:tcPr>
            <w:tcW w:w="696" w:type="dxa"/>
            <w:vAlign w:val="center"/>
          </w:tcPr>
          <w:p w:rsidR="000724CB" w:rsidRPr="00844BD4" w:rsidRDefault="000724CB" w:rsidP="00FC4A2F">
            <w:pPr>
              <w:spacing w:line="480" w:lineRule="auto"/>
              <w:jc w:val="center"/>
            </w:pPr>
          </w:p>
        </w:tc>
        <w:tc>
          <w:tcPr>
            <w:tcW w:w="615" w:type="dxa"/>
            <w:shd w:val="clear" w:color="auto" w:fill="auto"/>
            <w:vAlign w:val="center"/>
          </w:tcPr>
          <w:p w:rsidR="000724CB" w:rsidRPr="00844BD4" w:rsidRDefault="000724CB" w:rsidP="00FC4A2F">
            <w:pPr>
              <w:spacing w:line="480" w:lineRule="auto"/>
              <w:jc w:val="center"/>
            </w:pPr>
          </w:p>
        </w:tc>
      </w:tr>
    </w:tbl>
    <w:p w:rsidR="000724CB" w:rsidRDefault="000724CB" w:rsidP="000724CB">
      <w:pPr>
        <w:spacing w:line="480" w:lineRule="auto"/>
        <w:jc w:val="both"/>
        <w:rPr>
          <w:bCs/>
        </w:rPr>
      </w:pPr>
    </w:p>
    <w:p w:rsidR="00A24957" w:rsidRPr="00844BD4" w:rsidRDefault="00A24957" w:rsidP="000724CB">
      <w:pPr>
        <w:spacing w:line="480" w:lineRule="auto"/>
        <w:jc w:val="both"/>
        <w:rPr>
          <w:bCs/>
        </w:rPr>
      </w:pPr>
    </w:p>
    <w:p w:rsidR="00D74099" w:rsidRPr="00844BD4" w:rsidRDefault="00D74099" w:rsidP="00D74099">
      <w:pPr>
        <w:jc w:val="both"/>
        <w:rPr>
          <w:b/>
        </w:rPr>
      </w:pPr>
      <w:r w:rsidRPr="00844BD4">
        <w:rPr>
          <w:b/>
        </w:rPr>
        <w:t xml:space="preserve">Figure </w:t>
      </w:r>
      <w:r>
        <w:rPr>
          <w:b/>
        </w:rPr>
        <w:t>2</w:t>
      </w:r>
      <w:r w:rsidRPr="00844BD4">
        <w:rPr>
          <w:b/>
        </w:rPr>
        <w:t>. Flowchart of backward impacts calculated with the standard mixed MRIO model</w:t>
      </w:r>
    </w:p>
    <w:p w:rsidR="00D74099" w:rsidRPr="00844BD4" w:rsidRDefault="00D74099" w:rsidP="00D74099">
      <w:pPr>
        <w:spacing w:line="480" w:lineRule="auto"/>
        <w:jc w:val="both"/>
      </w:pPr>
      <w:r>
        <w:rPr>
          <w:noProof/>
        </w:rPr>
        <w:drawing>
          <wp:inline distT="0" distB="0" distL="0" distR="0" wp14:anchorId="04E55697" wp14:editId="6D379B52">
            <wp:extent cx="5943600" cy="2695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5943600" cy="2695575"/>
                    </a:xfrm>
                    <a:prstGeom prst="rect">
                      <a:avLst/>
                    </a:prstGeom>
                    <a:noFill/>
                    <a:ln>
                      <a:noFill/>
                    </a:ln>
                  </pic:spPr>
                </pic:pic>
              </a:graphicData>
            </a:graphic>
          </wp:inline>
        </w:drawing>
      </w:r>
    </w:p>
    <w:p w:rsidR="00D74099" w:rsidRPr="00844BD4" w:rsidRDefault="00D74099" w:rsidP="00D74099">
      <w:pPr>
        <w:jc w:val="both"/>
        <w:rPr>
          <w:sz w:val="20"/>
          <w:szCs w:val="20"/>
        </w:rPr>
      </w:pPr>
      <w:r w:rsidRPr="00844BD4">
        <w:rPr>
          <w:sz w:val="20"/>
          <w:szCs w:val="20"/>
        </w:rPr>
        <w:t>Source: own elaboration.</w:t>
      </w:r>
    </w:p>
    <w:p w:rsidR="00D74099" w:rsidRPr="00844BD4" w:rsidRDefault="00D74099" w:rsidP="00D74099">
      <w:pPr>
        <w:jc w:val="both"/>
        <w:rPr>
          <w:sz w:val="20"/>
          <w:szCs w:val="20"/>
        </w:rPr>
      </w:pPr>
      <w:r w:rsidRPr="00844BD4">
        <w:rPr>
          <w:sz w:val="20"/>
          <w:szCs w:val="20"/>
        </w:rPr>
        <w:t>Note: circles denote exogenous variables; rectangles denote endogenous variables;</w:t>
      </w:r>
      <w:r w:rsidR="00A24957">
        <w:rPr>
          <w:sz w:val="20"/>
          <w:szCs w:val="20"/>
        </w:rPr>
        <w:t xml:space="preserve"> solid</w:t>
      </w:r>
      <w:r w:rsidRPr="00844BD4">
        <w:rPr>
          <w:sz w:val="20"/>
          <w:szCs w:val="20"/>
        </w:rPr>
        <w:t xml:space="preserve"> arrows denote interactions explicitly captured by the model; arrowheads denote the direction of the impacts.</w:t>
      </w:r>
    </w:p>
    <w:p w:rsidR="00D74099" w:rsidRPr="00844BD4" w:rsidRDefault="00D74099" w:rsidP="00D74099">
      <w:pPr>
        <w:spacing w:line="480" w:lineRule="auto"/>
        <w:jc w:val="both"/>
      </w:pPr>
    </w:p>
    <w:p w:rsidR="005C7F82" w:rsidRDefault="005C7F82" w:rsidP="005C7F82">
      <w:pPr>
        <w:jc w:val="center"/>
        <w:rPr>
          <w:b/>
        </w:rPr>
      </w:pPr>
      <w:r>
        <w:rPr>
          <w:b/>
        </w:rPr>
        <w:br w:type="page"/>
      </w:r>
      <w:r w:rsidRPr="00844BD4">
        <w:rPr>
          <w:b/>
        </w:rPr>
        <w:t xml:space="preserve">Figure </w:t>
      </w:r>
      <w:r>
        <w:rPr>
          <w:b/>
        </w:rPr>
        <w:t>3</w:t>
      </w:r>
      <w:r w:rsidRPr="00844BD4">
        <w:rPr>
          <w:b/>
        </w:rPr>
        <w:t xml:space="preserve">. Flowchart of impacts </w:t>
      </w:r>
      <w:r>
        <w:rPr>
          <w:b/>
        </w:rPr>
        <w:t xml:space="preserve">due to the disruption of the supply chain </w:t>
      </w:r>
      <w:r w:rsidRPr="00844BD4">
        <w:rPr>
          <w:b/>
        </w:rPr>
        <w:t>calculated with the</w:t>
      </w:r>
      <w:r>
        <w:rPr>
          <w:b/>
        </w:rPr>
        <w:t xml:space="preserve"> </w:t>
      </w:r>
      <w:r w:rsidRPr="00844BD4">
        <w:rPr>
          <w:b/>
        </w:rPr>
        <w:t>mixed MRIO model with information on the first</w:t>
      </w:r>
      <w:r>
        <w:rPr>
          <w:b/>
        </w:rPr>
        <w:t xml:space="preserve"> </w:t>
      </w:r>
      <w:r w:rsidRPr="00844BD4">
        <w:rPr>
          <w:b/>
        </w:rPr>
        <w:t>round impacts</w:t>
      </w:r>
    </w:p>
    <w:p w:rsidR="005C7F82" w:rsidRPr="00844BD4" w:rsidRDefault="005C7F82" w:rsidP="005C7F82">
      <w:pPr>
        <w:jc w:val="center"/>
        <w:rPr>
          <w:b/>
        </w:rPr>
      </w:pPr>
      <w:r>
        <w:rPr>
          <w:noProof/>
        </w:rPr>
        <w:drawing>
          <wp:inline distT="0" distB="0" distL="0" distR="0" wp14:anchorId="2871A8EB" wp14:editId="2B69F5B2">
            <wp:extent cx="5943600" cy="2667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5943600" cy="2667000"/>
                    </a:xfrm>
                    <a:prstGeom prst="rect">
                      <a:avLst/>
                    </a:prstGeom>
                    <a:noFill/>
                    <a:ln>
                      <a:noFill/>
                    </a:ln>
                  </pic:spPr>
                </pic:pic>
              </a:graphicData>
            </a:graphic>
          </wp:inline>
        </w:drawing>
      </w:r>
    </w:p>
    <w:p w:rsidR="005C7F82" w:rsidRPr="00844BD4" w:rsidRDefault="005C7F82" w:rsidP="005C7F82">
      <w:pPr>
        <w:jc w:val="center"/>
        <w:rPr>
          <w:b/>
        </w:rPr>
      </w:pPr>
    </w:p>
    <w:p w:rsidR="005C7F82" w:rsidRPr="00844BD4" w:rsidRDefault="005C7F82" w:rsidP="005C7F82">
      <w:pPr>
        <w:jc w:val="both"/>
        <w:rPr>
          <w:sz w:val="20"/>
          <w:szCs w:val="20"/>
        </w:rPr>
      </w:pPr>
      <w:r w:rsidRPr="00844BD4">
        <w:rPr>
          <w:sz w:val="20"/>
          <w:szCs w:val="20"/>
        </w:rPr>
        <w:t>Source: own elaboration.</w:t>
      </w:r>
    </w:p>
    <w:p w:rsidR="005C7F82" w:rsidRPr="00844BD4" w:rsidRDefault="005C7F82" w:rsidP="005C7F82">
      <w:pPr>
        <w:jc w:val="both"/>
        <w:rPr>
          <w:sz w:val="20"/>
          <w:szCs w:val="20"/>
        </w:rPr>
      </w:pPr>
      <w:r w:rsidRPr="00844BD4">
        <w:rPr>
          <w:sz w:val="20"/>
          <w:szCs w:val="20"/>
        </w:rPr>
        <w:t>Note: circles denote exogenous variables; rectangles denote endogenous variables;</w:t>
      </w:r>
      <w:r w:rsidR="00A24957">
        <w:rPr>
          <w:sz w:val="20"/>
          <w:szCs w:val="20"/>
        </w:rPr>
        <w:t xml:space="preserve"> solid</w:t>
      </w:r>
      <w:r w:rsidRPr="00844BD4">
        <w:rPr>
          <w:sz w:val="20"/>
          <w:szCs w:val="20"/>
        </w:rPr>
        <w:t xml:space="preserve"> arrows denote interactions explicitly capt</w:t>
      </w:r>
      <w:r w:rsidR="00A24957">
        <w:rPr>
          <w:sz w:val="20"/>
          <w:szCs w:val="20"/>
        </w:rPr>
        <w:t>ured by the model; dashed</w:t>
      </w:r>
      <w:r w:rsidRPr="00844BD4">
        <w:rPr>
          <w:sz w:val="20"/>
          <w:szCs w:val="20"/>
        </w:rPr>
        <w:t xml:space="preserve"> arrows denote interactions implicitly captured by the model; arrowheads denote the direction of the impacts.</w:t>
      </w:r>
    </w:p>
    <w:p w:rsidR="000724CB" w:rsidRDefault="000724CB" w:rsidP="00236D5B">
      <w:pPr>
        <w:spacing w:before="120" w:line="480" w:lineRule="auto"/>
        <w:ind w:left="720" w:hanging="720"/>
        <w:jc w:val="both"/>
      </w:pPr>
    </w:p>
    <w:p w:rsidR="00003B37" w:rsidRDefault="00003B37" w:rsidP="00236D5B">
      <w:pPr>
        <w:spacing w:before="120" w:line="480" w:lineRule="auto"/>
        <w:ind w:left="720" w:hanging="720"/>
        <w:jc w:val="both"/>
      </w:pPr>
    </w:p>
    <w:p w:rsidR="00003B37" w:rsidRPr="00236D5B" w:rsidRDefault="00003B37" w:rsidP="00003B37">
      <w:pPr>
        <w:jc w:val="both"/>
        <w:rPr>
          <w:b/>
        </w:rPr>
      </w:pPr>
      <w:r>
        <w:br w:type="page"/>
      </w:r>
      <w:r w:rsidRPr="00844BD4">
        <w:rPr>
          <w:b/>
        </w:rPr>
        <w:t xml:space="preserve">Table </w:t>
      </w:r>
      <w:r>
        <w:rPr>
          <w:b/>
        </w:rPr>
        <w:t>1</w:t>
      </w:r>
      <w:r w:rsidRPr="00844BD4">
        <w:rPr>
          <w:b/>
        </w:rPr>
        <w:t>. Change in the output of the "Transport Equipment" sector by region</w:t>
      </w:r>
    </w:p>
    <w:tbl>
      <w:tblPr>
        <w:tblW w:w="7865" w:type="dxa"/>
        <w:tblInd w:w="93" w:type="dxa"/>
        <w:tblLayout w:type="fixed"/>
        <w:tblLook w:val="0000" w:firstRow="0" w:lastRow="0" w:firstColumn="0" w:lastColumn="0" w:noHBand="0" w:noVBand="0"/>
      </w:tblPr>
      <w:tblGrid>
        <w:gridCol w:w="1438"/>
        <w:gridCol w:w="936"/>
        <w:gridCol w:w="876"/>
        <w:gridCol w:w="1067"/>
        <w:gridCol w:w="1184"/>
        <w:gridCol w:w="1182"/>
        <w:gridCol w:w="1182"/>
      </w:tblGrid>
      <w:tr w:rsidR="00003B37" w:rsidRPr="00844BD4" w:rsidTr="00FC4A2F">
        <w:trPr>
          <w:trHeight w:val="1127"/>
        </w:trPr>
        <w:tc>
          <w:tcPr>
            <w:tcW w:w="1438" w:type="dxa"/>
            <w:tcBorders>
              <w:top w:val="single" w:sz="8" w:space="0" w:color="auto"/>
              <w:left w:val="single" w:sz="8" w:space="0" w:color="auto"/>
              <w:bottom w:val="single" w:sz="8" w:space="0" w:color="auto"/>
              <w:right w:val="single" w:sz="8" w:space="0" w:color="auto"/>
            </w:tcBorders>
            <w:shd w:val="clear" w:color="auto" w:fill="auto"/>
            <w:noWrap/>
            <w:vAlign w:val="bottom"/>
          </w:tcPr>
          <w:p w:rsidR="00003B37" w:rsidRPr="00844BD4" w:rsidRDefault="00003B37" w:rsidP="00FC4A2F">
            <w:pPr>
              <w:jc w:val="center"/>
              <w:rPr>
                <w:sz w:val="16"/>
                <w:szCs w:val="16"/>
              </w:rPr>
            </w:pPr>
          </w:p>
        </w:tc>
        <w:tc>
          <w:tcPr>
            <w:tcW w:w="1812" w:type="dxa"/>
            <w:gridSpan w:val="2"/>
            <w:tcBorders>
              <w:top w:val="single" w:sz="8" w:space="0" w:color="auto"/>
              <w:left w:val="nil"/>
              <w:bottom w:val="single" w:sz="8" w:space="0" w:color="auto"/>
              <w:right w:val="single" w:sz="8" w:space="0" w:color="auto"/>
            </w:tcBorders>
            <w:vAlign w:val="bottom"/>
          </w:tcPr>
          <w:p w:rsidR="00003B37" w:rsidRPr="00844BD4" w:rsidRDefault="00003B37" w:rsidP="00FC4A2F">
            <w:pPr>
              <w:jc w:val="center"/>
              <w:rPr>
                <w:sz w:val="16"/>
                <w:szCs w:val="16"/>
              </w:rPr>
            </w:pPr>
            <w:r w:rsidRPr="00844BD4">
              <w:rPr>
                <w:sz w:val="16"/>
                <w:szCs w:val="16"/>
              </w:rPr>
              <w:t>Reduction</w:t>
            </w:r>
          </w:p>
          <w:p w:rsidR="00003B37" w:rsidRPr="00844BD4" w:rsidRDefault="00003B37" w:rsidP="00FC4A2F">
            <w:pPr>
              <w:jc w:val="center"/>
              <w:rPr>
                <w:sz w:val="16"/>
                <w:szCs w:val="16"/>
              </w:rPr>
            </w:pPr>
            <w:r w:rsidRPr="00844BD4">
              <w:rPr>
                <w:sz w:val="16"/>
                <w:szCs w:val="16"/>
              </w:rPr>
              <w:t>in the</w:t>
            </w:r>
          </w:p>
          <w:p w:rsidR="00003B37" w:rsidRPr="00844BD4" w:rsidRDefault="00003B37" w:rsidP="00FC4A2F">
            <w:pPr>
              <w:jc w:val="center"/>
              <w:rPr>
                <w:sz w:val="16"/>
                <w:szCs w:val="16"/>
              </w:rPr>
            </w:pPr>
            <w:r w:rsidRPr="00844BD4">
              <w:rPr>
                <w:sz w:val="16"/>
                <w:szCs w:val="16"/>
              </w:rPr>
              <w:t>production of LV</w:t>
            </w:r>
          </w:p>
          <w:p w:rsidR="00003B37" w:rsidRPr="00844BD4" w:rsidRDefault="00003B37" w:rsidP="00FC4A2F">
            <w:pPr>
              <w:jc w:val="center"/>
              <w:rPr>
                <w:sz w:val="16"/>
                <w:szCs w:val="16"/>
              </w:rPr>
            </w:pPr>
            <w:r w:rsidRPr="00844BD4">
              <w:rPr>
                <w:sz w:val="16"/>
                <w:szCs w:val="16"/>
              </w:rPr>
              <w:t>201</w:t>
            </w:r>
            <w:r>
              <w:rPr>
                <w:sz w:val="16"/>
                <w:szCs w:val="16"/>
              </w:rPr>
              <w:t>0</w:t>
            </w:r>
          </w:p>
          <w:p w:rsidR="00003B37" w:rsidRPr="00844BD4" w:rsidRDefault="00003B37" w:rsidP="00FC4A2F">
            <w:pPr>
              <w:jc w:val="center"/>
              <w:rPr>
                <w:sz w:val="16"/>
                <w:szCs w:val="16"/>
              </w:rPr>
            </w:pPr>
          </w:p>
        </w:tc>
        <w:tc>
          <w:tcPr>
            <w:tcW w:w="1067" w:type="dxa"/>
            <w:vMerge w:val="restart"/>
            <w:tcBorders>
              <w:top w:val="single" w:sz="8" w:space="0" w:color="auto"/>
              <w:left w:val="nil"/>
              <w:right w:val="single" w:sz="8" w:space="0" w:color="auto"/>
            </w:tcBorders>
            <w:shd w:val="clear" w:color="auto" w:fill="auto"/>
            <w:noWrap/>
            <w:vAlign w:val="bottom"/>
          </w:tcPr>
          <w:p w:rsidR="00003B37" w:rsidRPr="00844BD4" w:rsidRDefault="00003B37" w:rsidP="00FC4A2F">
            <w:pPr>
              <w:jc w:val="center"/>
              <w:rPr>
                <w:sz w:val="16"/>
                <w:szCs w:val="16"/>
              </w:rPr>
            </w:pPr>
            <w:r w:rsidRPr="00844BD4">
              <w:rPr>
                <w:sz w:val="16"/>
                <w:szCs w:val="16"/>
              </w:rPr>
              <w:t>LV</w:t>
            </w:r>
          </w:p>
          <w:p w:rsidR="00003B37" w:rsidRPr="00844BD4" w:rsidRDefault="00003B37" w:rsidP="00FC4A2F">
            <w:pPr>
              <w:jc w:val="center"/>
              <w:rPr>
                <w:sz w:val="16"/>
                <w:szCs w:val="16"/>
              </w:rPr>
            </w:pPr>
            <w:r w:rsidRPr="00844BD4">
              <w:rPr>
                <w:sz w:val="16"/>
                <w:szCs w:val="16"/>
              </w:rPr>
              <w:t>Production</w:t>
            </w:r>
            <w:r>
              <w:rPr>
                <w:sz w:val="16"/>
                <w:szCs w:val="16"/>
              </w:rPr>
              <w:t xml:space="preserve">, </w:t>
            </w:r>
          </w:p>
          <w:p w:rsidR="00003B37" w:rsidRPr="00844BD4" w:rsidRDefault="00003B37" w:rsidP="00FC4A2F">
            <w:pPr>
              <w:jc w:val="center"/>
              <w:rPr>
                <w:sz w:val="16"/>
                <w:szCs w:val="16"/>
              </w:rPr>
            </w:pPr>
            <w:r w:rsidRPr="00844BD4">
              <w:rPr>
                <w:sz w:val="16"/>
                <w:szCs w:val="16"/>
              </w:rPr>
              <w:t>2010 (units)</w:t>
            </w:r>
          </w:p>
          <w:p w:rsidR="00003B37" w:rsidRPr="00844BD4" w:rsidRDefault="00003B37" w:rsidP="00FC4A2F">
            <w:pPr>
              <w:jc w:val="center"/>
              <w:rPr>
                <w:sz w:val="16"/>
                <w:szCs w:val="16"/>
              </w:rPr>
            </w:pPr>
            <w:r w:rsidRPr="00844BD4">
              <w:rPr>
                <w:sz w:val="16"/>
                <w:szCs w:val="16"/>
              </w:rPr>
              <w:t>(3)</w:t>
            </w:r>
          </w:p>
        </w:tc>
        <w:tc>
          <w:tcPr>
            <w:tcW w:w="1184" w:type="dxa"/>
            <w:vMerge w:val="restart"/>
            <w:tcBorders>
              <w:top w:val="single" w:sz="8" w:space="0" w:color="auto"/>
              <w:left w:val="nil"/>
              <w:right w:val="single" w:sz="8" w:space="0" w:color="auto"/>
            </w:tcBorders>
            <w:shd w:val="clear" w:color="auto" w:fill="auto"/>
            <w:noWrap/>
            <w:vAlign w:val="bottom"/>
          </w:tcPr>
          <w:p w:rsidR="00003B37" w:rsidRPr="00844BD4" w:rsidRDefault="00003B37" w:rsidP="00FC4A2F">
            <w:pPr>
              <w:jc w:val="center"/>
              <w:rPr>
                <w:sz w:val="16"/>
                <w:szCs w:val="16"/>
              </w:rPr>
            </w:pPr>
            <w:r w:rsidRPr="00844BD4">
              <w:rPr>
                <w:sz w:val="16"/>
                <w:szCs w:val="16"/>
              </w:rPr>
              <w:t>% change</w:t>
            </w:r>
          </w:p>
          <w:p w:rsidR="00003B37" w:rsidRPr="00844BD4" w:rsidRDefault="00003B37" w:rsidP="00FC4A2F">
            <w:pPr>
              <w:jc w:val="center"/>
              <w:rPr>
                <w:sz w:val="16"/>
                <w:szCs w:val="16"/>
              </w:rPr>
            </w:pPr>
            <w:r w:rsidRPr="00844BD4">
              <w:rPr>
                <w:sz w:val="16"/>
                <w:szCs w:val="16"/>
              </w:rPr>
              <w:t>LV</w:t>
            </w:r>
          </w:p>
          <w:p w:rsidR="00003B37" w:rsidRPr="00844BD4" w:rsidRDefault="00003B37" w:rsidP="00FC4A2F">
            <w:pPr>
              <w:jc w:val="center"/>
              <w:rPr>
                <w:sz w:val="16"/>
                <w:szCs w:val="16"/>
              </w:rPr>
            </w:pPr>
            <w:r w:rsidRPr="00844BD4">
              <w:rPr>
                <w:sz w:val="16"/>
                <w:szCs w:val="16"/>
              </w:rPr>
              <w:t>production</w:t>
            </w:r>
          </w:p>
          <w:p w:rsidR="00003B37" w:rsidRPr="00844BD4" w:rsidRDefault="00003B37" w:rsidP="00FC4A2F">
            <w:pPr>
              <w:jc w:val="center"/>
              <w:rPr>
                <w:sz w:val="16"/>
                <w:szCs w:val="16"/>
              </w:rPr>
            </w:pPr>
            <w:r w:rsidRPr="00844BD4">
              <w:rPr>
                <w:sz w:val="16"/>
                <w:szCs w:val="16"/>
              </w:rPr>
              <w:t>(4)=(3)/(1)</w:t>
            </w:r>
          </w:p>
        </w:tc>
        <w:tc>
          <w:tcPr>
            <w:tcW w:w="1182" w:type="dxa"/>
            <w:vMerge w:val="restart"/>
            <w:tcBorders>
              <w:top w:val="single" w:sz="8" w:space="0" w:color="auto"/>
              <w:left w:val="nil"/>
              <w:right w:val="single" w:sz="8" w:space="0" w:color="auto"/>
            </w:tcBorders>
            <w:shd w:val="clear" w:color="auto" w:fill="auto"/>
            <w:vAlign w:val="bottom"/>
          </w:tcPr>
          <w:p w:rsidR="00003B37" w:rsidRPr="00844BD4" w:rsidRDefault="00003B37" w:rsidP="00FC4A2F">
            <w:pPr>
              <w:jc w:val="center"/>
              <w:rPr>
                <w:sz w:val="16"/>
                <w:szCs w:val="16"/>
              </w:rPr>
            </w:pPr>
            <w:r w:rsidRPr="00844BD4">
              <w:rPr>
                <w:sz w:val="16"/>
                <w:szCs w:val="16"/>
              </w:rPr>
              <w:t>Gross output</w:t>
            </w:r>
          </w:p>
          <w:p w:rsidR="00003B37" w:rsidRPr="00844BD4" w:rsidRDefault="00003B37" w:rsidP="00FC4A2F">
            <w:pPr>
              <w:jc w:val="center"/>
              <w:rPr>
                <w:sz w:val="16"/>
                <w:szCs w:val="16"/>
              </w:rPr>
            </w:pPr>
            <w:r w:rsidRPr="00844BD4">
              <w:rPr>
                <w:sz w:val="16"/>
                <w:szCs w:val="16"/>
              </w:rPr>
              <w:t>TEI</w:t>
            </w:r>
            <w:r>
              <w:rPr>
                <w:sz w:val="16"/>
                <w:szCs w:val="16"/>
              </w:rPr>
              <w:t>, 2010</w:t>
            </w:r>
          </w:p>
          <w:p w:rsidR="00003B37" w:rsidRPr="00844BD4" w:rsidRDefault="00003B37" w:rsidP="00FC4A2F">
            <w:pPr>
              <w:jc w:val="center"/>
              <w:rPr>
                <w:sz w:val="16"/>
                <w:szCs w:val="16"/>
              </w:rPr>
            </w:pPr>
            <w:r w:rsidRPr="00844BD4">
              <w:rPr>
                <w:sz w:val="16"/>
                <w:szCs w:val="16"/>
              </w:rPr>
              <w:t>(million US$)</w:t>
            </w:r>
          </w:p>
          <w:p w:rsidR="00003B37" w:rsidRPr="00844BD4" w:rsidRDefault="00003B37" w:rsidP="00FC4A2F">
            <w:pPr>
              <w:jc w:val="center"/>
              <w:rPr>
                <w:sz w:val="16"/>
                <w:szCs w:val="16"/>
              </w:rPr>
            </w:pPr>
            <w:r w:rsidRPr="00844BD4">
              <w:rPr>
                <w:sz w:val="16"/>
                <w:szCs w:val="16"/>
              </w:rPr>
              <w:t>(5)</w:t>
            </w:r>
          </w:p>
        </w:tc>
        <w:tc>
          <w:tcPr>
            <w:tcW w:w="1182" w:type="dxa"/>
            <w:vMerge w:val="restart"/>
            <w:tcBorders>
              <w:top w:val="single" w:sz="8" w:space="0" w:color="auto"/>
              <w:left w:val="nil"/>
              <w:right w:val="single" w:sz="8" w:space="0" w:color="auto"/>
            </w:tcBorders>
            <w:shd w:val="clear" w:color="auto" w:fill="auto"/>
            <w:vAlign w:val="bottom"/>
          </w:tcPr>
          <w:p w:rsidR="00003B37" w:rsidRPr="00844BD4" w:rsidRDefault="00003B37" w:rsidP="00FC4A2F">
            <w:pPr>
              <w:jc w:val="center"/>
              <w:rPr>
                <w:sz w:val="16"/>
                <w:szCs w:val="16"/>
              </w:rPr>
            </w:pPr>
            <w:r w:rsidRPr="00844BD4">
              <w:rPr>
                <w:sz w:val="16"/>
                <w:szCs w:val="16"/>
              </w:rPr>
              <w:t>Change</w:t>
            </w:r>
          </w:p>
          <w:p w:rsidR="00003B37" w:rsidRPr="00844BD4" w:rsidRDefault="00003B37" w:rsidP="00FC4A2F">
            <w:pPr>
              <w:jc w:val="center"/>
              <w:rPr>
                <w:sz w:val="16"/>
                <w:szCs w:val="16"/>
              </w:rPr>
            </w:pPr>
            <w:r w:rsidRPr="00844BD4">
              <w:rPr>
                <w:sz w:val="16"/>
                <w:szCs w:val="16"/>
              </w:rPr>
              <w:t>Gross output</w:t>
            </w:r>
          </w:p>
          <w:p w:rsidR="00003B37" w:rsidRPr="00844BD4" w:rsidRDefault="00003B37" w:rsidP="00FC4A2F">
            <w:pPr>
              <w:jc w:val="center"/>
              <w:rPr>
                <w:sz w:val="16"/>
                <w:szCs w:val="16"/>
              </w:rPr>
            </w:pPr>
            <w:r w:rsidRPr="00844BD4">
              <w:rPr>
                <w:sz w:val="16"/>
                <w:szCs w:val="16"/>
              </w:rPr>
              <w:t>TEI</w:t>
            </w:r>
            <w:r>
              <w:rPr>
                <w:sz w:val="16"/>
                <w:szCs w:val="16"/>
              </w:rPr>
              <w:t>, 2010</w:t>
            </w:r>
          </w:p>
          <w:p w:rsidR="00003B37" w:rsidRPr="00844BD4" w:rsidRDefault="00003B37" w:rsidP="00FC4A2F">
            <w:pPr>
              <w:jc w:val="center"/>
              <w:rPr>
                <w:sz w:val="16"/>
                <w:szCs w:val="16"/>
              </w:rPr>
            </w:pPr>
            <w:r w:rsidRPr="00844BD4">
              <w:rPr>
                <w:sz w:val="16"/>
                <w:szCs w:val="16"/>
              </w:rPr>
              <w:t>(million US$)</w:t>
            </w:r>
          </w:p>
          <w:p w:rsidR="00003B37" w:rsidRPr="00844BD4" w:rsidRDefault="00003B37" w:rsidP="00FC4A2F">
            <w:pPr>
              <w:jc w:val="center"/>
              <w:rPr>
                <w:sz w:val="16"/>
                <w:szCs w:val="16"/>
              </w:rPr>
            </w:pPr>
            <w:r w:rsidRPr="00844BD4">
              <w:rPr>
                <w:sz w:val="16"/>
                <w:szCs w:val="16"/>
              </w:rPr>
              <w:t>(6)=(4)*(5)</w:t>
            </w:r>
          </w:p>
        </w:tc>
      </w:tr>
      <w:tr w:rsidR="00003B37" w:rsidRPr="00844BD4" w:rsidTr="00FC4A2F">
        <w:trPr>
          <w:trHeight w:val="1127"/>
        </w:trPr>
        <w:tc>
          <w:tcPr>
            <w:tcW w:w="1438" w:type="dxa"/>
            <w:tcBorders>
              <w:top w:val="single" w:sz="8" w:space="0" w:color="auto"/>
              <w:left w:val="single" w:sz="8" w:space="0" w:color="auto"/>
              <w:bottom w:val="single" w:sz="8" w:space="0" w:color="auto"/>
              <w:right w:val="single" w:sz="8" w:space="0" w:color="auto"/>
            </w:tcBorders>
            <w:shd w:val="clear" w:color="auto" w:fill="auto"/>
            <w:noWrap/>
            <w:vAlign w:val="bottom"/>
          </w:tcPr>
          <w:p w:rsidR="00003B37" w:rsidRPr="00844BD4" w:rsidRDefault="00003B37" w:rsidP="00FC4A2F">
            <w:pPr>
              <w:jc w:val="center"/>
              <w:rPr>
                <w:sz w:val="16"/>
                <w:szCs w:val="16"/>
              </w:rPr>
            </w:pPr>
          </w:p>
        </w:tc>
        <w:tc>
          <w:tcPr>
            <w:tcW w:w="936" w:type="dxa"/>
            <w:tcBorders>
              <w:top w:val="single" w:sz="8" w:space="0" w:color="auto"/>
              <w:left w:val="nil"/>
              <w:bottom w:val="single" w:sz="8" w:space="0" w:color="auto"/>
              <w:right w:val="single" w:sz="8" w:space="0" w:color="auto"/>
            </w:tcBorders>
            <w:vAlign w:val="bottom"/>
          </w:tcPr>
          <w:p w:rsidR="00003B37" w:rsidRPr="00844BD4" w:rsidRDefault="00003B37" w:rsidP="00FC4A2F">
            <w:pPr>
              <w:jc w:val="center"/>
              <w:rPr>
                <w:sz w:val="16"/>
                <w:szCs w:val="16"/>
              </w:rPr>
            </w:pPr>
            <w:r w:rsidRPr="00844BD4">
              <w:rPr>
                <w:sz w:val="16"/>
                <w:szCs w:val="16"/>
              </w:rPr>
              <w:t>Units</w:t>
            </w:r>
          </w:p>
          <w:p w:rsidR="00003B37" w:rsidRPr="00844BD4" w:rsidRDefault="00003B37" w:rsidP="00FC4A2F">
            <w:pPr>
              <w:jc w:val="center"/>
              <w:rPr>
                <w:sz w:val="16"/>
                <w:szCs w:val="16"/>
              </w:rPr>
            </w:pPr>
            <w:r w:rsidRPr="00844BD4">
              <w:rPr>
                <w:sz w:val="16"/>
                <w:szCs w:val="16"/>
              </w:rPr>
              <w:t>(1)</w:t>
            </w:r>
          </w:p>
        </w:tc>
        <w:tc>
          <w:tcPr>
            <w:tcW w:w="876" w:type="dxa"/>
            <w:tcBorders>
              <w:top w:val="single" w:sz="8" w:space="0" w:color="auto"/>
              <w:left w:val="single" w:sz="8" w:space="0" w:color="auto"/>
              <w:bottom w:val="single" w:sz="8" w:space="0" w:color="auto"/>
              <w:right w:val="single" w:sz="8" w:space="0" w:color="auto"/>
            </w:tcBorders>
            <w:shd w:val="clear" w:color="auto" w:fill="auto"/>
            <w:noWrap/>
            <w:vAlign w:val="bottom"/>
          </w:tcPr>
          <w:p w:rsidR="00003B37" w:rsidRPr="00844BD4" w:rsidRDefault="00003B37" w:rsidP="00FC4A2F">
            <w:pPr>
              <w:jc w:val="center"/>
              <w:rPr>
                <w:sz w:val="16"/>
                <w:szCs w:val="16"/>
              </w:rPr>
            </w:pPr>
            <w:r w:rsidRPr="00844BD4">
              <w:rPr>
                <w:sz w:val="16"/>
                <w:szCs w:val="16"/>
              </w:rPr>
              <w:t>Number</w:t>
            </w:r>
          </w:p>
          <w:p w:rsidR="00003B37" w:rsidRPr="00844BD4" w:rsidRDefault="00003B37" w:rsidP="00FC4A2F">
            <w:pPr>
              <w:jc w:val="center"/>
              <w:rPr>
                <w:sz w:val="16"/>
                <w:szCs w:val="16"/>
              </w:rPr>
            </w:pPr>
            <w:r w:rsidRPr="00844BD4">
              <w:rPr>
                <w:sz w:val="16"/>
                <w:szCs w:val="16"/>
              </w:rPr>
              <w:t>Facilities</w:t>
            </w:r>
          </w:p>
          <w:p w:rsidR="00003B37" w:rsidRPr="00844BD4" w:rsidRDefault="00003B37" w:rsidP="00FC4A2F">
            <w:pPr>
              <w:jc w:val="center"/>
              <w:rPr>
                <w:sz w:val="16"/>
                <w:szCs w:val="16"/>
              </w:rPr>
            </w:pPr>
            <w:r w:rsidRPr="00844BD4">
              <w:rPr>
                <w:sz w:val="16"/>
                <w:szCs w:val="16"/>
              </w:rPr>
              <w:t>Affected</w:t>
            </w:r>
          </w:p>
          <w:p w:rsidR="00003B37" w:rsidRPr="00844BD4" w:rsidRDefault="00003B37" w:rsidP="00FC4A2F">
            <w:pPr>
              <w:jc w:val="center"/>
              <w:rPr>
                <w:sz w:val="16"/>
                <w:szCs w:val="16"/>
              </w:rPr>
            </w:pPr>
            <w:r w:rsidRPr="00844BD4">
              <w:rPr>
                <w:sz w:val="16"/>
                <w:szCs w:val="16"/>
              </w:rPr>
              <w:t>(2)</w:t>
            </w:r>
          </w:p>
        </w:tc>
        <w:tc>
          <w:tcPr>
            <w:tcW w:w="1067" w:type="dxa"/>
            <w:vMerge/>
            <w:tcBorders>
              <w:left w:val="nil"/>
              <w:bottom w:val="single" w:sz="8" w:space="0" w:color="auto"/>
              <w:right w:val="single" w:sz="8" w:space="0" w:color="auto"/>
            </w:tcBorders>
            <w:shd w:val="clear" w:color="auto" w:fill="auto"/>
            <w:noWrap/>
            <w:vAlign w:val="bottom"/>
          </w:tcPr>
          <w:p w:rsidR="00003B37" w:rsidRPr="00844BD4" w:rsidRDefault="00003B37" w:rsidP="00FC4A2F">
            <w:pPr>
              <w:jc w:val="center"/>
              <w:rPr>
                <w:sz w:val="16"/>
                <w:szCs w:val="16"/>
              </w:rPr>
            </w:pPr>
          </w:p>
        </w:tc>
        <w:tc>
          <w:tcPr>
            <w:tcW w:w="1184" w:type="dxa"/>
            <w:vMerge/>
            <w:tcBorders>
              <w:left w:val="nil"/>
              <w:bottom w:val="single" w:sz="8" w:space="0" w:color="auto"/>
              <w:right w:val="single" w:sz="8" w:space="0" w:color="auto"/>
            </w:tcBorders>
            <w:shd w:val="clear" w:color="auto" w:fill="auto"/>
            <w:noWrap/>
            <w:vAlign w:val="bottom"/>
          </w:tcPr>
          <w:p w:rsidR="00003B37" w:rsidRPr="00844BD4" w:rsidRDefault="00003B37" w:rsidP="00FC4A2F">
            <w:pPr>
              <w:jc w:val="center"/>
              <w:rPr>
                <w:sz w:val="16"/>
                <w:szCs w:val="16"/>
              </w:rPr>
            </w:pPr>
          </w:p>
        </w:tc>
        <w:tc>
          <w:tcPr>
            <w:tcW w:w="1182" w:type="dxa"/>
            <w:vMerge/>
            <w:tcBorders>
              <w:left w:val="nil"/>
              <w:bottom w:val="single" w:sz="8" w:space="0" w:color="auto"/>
              <w:right w:val="single" w:sz="8" w:space="0" w:color="auto"/>
            </w:tcBorders>
            <w:shd w:val="clear" w:color="auto" w:fill="auto"/>
            <w:vAlign w:val="bottom"/>
          </w:tcPr>
          <w:p w:rsidR="00003B37" w:rsidRPr="00844BD4" w:rsidRDefault="00003B37" w:rsidP="00FC4A2F">
            <w:pPr>
              <w:jc w:val="center"/>
              <w:rPr>
                <w:sz w:val="16"/>
                <w:szCs w:val="16"/>
              </w:rPr>
            </w:pPr>
          </w:p>
        </w:tc>
        <w:tc>
          <w:tcPr>
            <w:tcW w:w="1182" w:type="dxa"/>
            <w:vMerge/>
            <w:tcBorders>
              <w:left w:val="nil"/>
              <w:bottom w:val="single" w:sz="8" w:space="0" w:color="auto"/>
              <w:right w:val="single" w:sz="8" w:space="0" w:color="auto"/>
            </w:tcBorders>
            <w:shd w:val="clear" w:color="auto" w:fill="auto"/>
            <w:vAlign w:val="bottom"/>
          </w:tcPr>
          <w:p w:rsidR="00003B37" w:rsidRPr="00844BD4" w:rsidRDefault="00003B37" w:rsidP="00FC4A2F">
            <w:pPr>
              <w:jc w:val="center"/>
              <w:rPr>
                <w:sz w:val="16"/>
                <w:szCs w:val="16"/>
              </w:rPr>
            </w:pPr>
          </w:p>
        </w:tc>
      </w:tr>
      <w:tr w:rsidR="00003B37" w:rsidRPr="00844BD4" w:rsidTr="00FC4A2F">
        <w:trPr>
          <w:trHeight w:val="315"/>
        </w:trPr>
        <w:tc>
          <w:tcPr>
            <w:tcW w:w="1438" w:type="dxa"/>
            <w:tcBorders>
              <w:top w:val="nil"/>
              <w:left w:val="single" w:sz="8" w:space="0" w:color="auto"/>
              <w:bottom w:val="single" w:sz="8" w:space="0" w:color="auto"/>
              <w:right w:val="single" w:sz="8" w:space="0" w:color="auto"/>
            </w:tcBorders>
            <w:shd w:val="clear" w:color="auto" w:fill="auto"/>
            <w:noWrap/>
            <w:vAlign w:val="bottom"/>
          </w:tcPr>
          <w:p w:rsidR="00003B37" w:rsidRPr="00844BD4" w:rsidRDefault="00003B37" w:rsidP="00FC4A2F">
            <w:pPr>
              <w:rPr>
                <w:sz w:val="16"/>
                <w:szCs w:val="16"/>
              </w:rPr>
            </w:pPr>
            <w:r w:rsidRPr="00844BD4">
              <w:rPr>
                <w:sz w:val="16"/>
                <w:szCs w:val="16"/>
              </w:rPr>
              <w:t>Austria</w:t>
            </w:r>
          </w:p>
        </w:tc>
        <w:tc>
          <w:tcPr>
            <w:tcW w:w="936" w:type="dxa"/>
            <w:tcBorders>
              <w:top w:val="single" w:sz="8" w:space="0" w:color="auto"/>
              <w:left w:val="nil"/>
              <w:bottom w:val="single" w:sz="8" w:space="0" w:color="auto"/>
              <w:right w:val="single" w:sz="8" w:space="0" w:color="auto"/>
            </w:tcBorders>
            <w:vAlign w:val="center"/>
          </w:tcPr>
          <w:p w:rsidR="00003B37" w:rsidRPr="00BA4AD2" w:rsidRDefault="00003B37" w:rsidP="00FC4A2F">
            <w:pPr>
              <w:jc w:val="right"/>
              <w:rPr>
                <w:sz w:val="16"/>
                <w:szCs w:val="16"/>
              </w:rPr>
            </w:pPr>
            <w:r w:rsidRPr="00BA4AD2">
              <w:rPr>
                <w:sz w:val="16"/>
                <w:szCs w:val="16"/>
              </w:rPr>
              <w:t>11,863</w:t>
            </w:r>
          </w:p>
        </w:tc>
        <w:tc>
          <w:tcPr>
            <w:tcW w:w="876" w:type="dxa"/>
            <w:tcBorders>
              <w:top w:val="nil"/>
              <w:left w:val="single" w:sz="8" w:space="0" w:color="auto"/>
              <w:bottom w:val="single" w:sz="8" w:space="0" w:color="auto"/>
              <w:right w:val="single" w:sz="8" w:space="0" w:color="auto"/>
            </w:tcBorders>
            <w:shd w:val="clear" w:color="auto" w:fill="auto"/>
            <w:noWrap/>
            <w:vAlign w:val="center"/>
          </w:tcPr>
          <w:p w:rsidR="00003B37" w:rsidRPr="00BA4AD2" w:rsidRDefault="00003B37" w:rsidP="00FC4A2F">
            <w:pPr>
              <w:jc w:val="right"/>
              <w:rPr>
                <w:sz w:val="16"/>
                <w:szCs w:val="16"/>
              </w:rPr>
            </w:pPr>
            <w:r w:rsidRPr="00BA4AD2">
              <w:rPr>
                <w:sz w:val="16"/>
                <w:szCs w:val="16"/>
              </w:rPr>
              <w:t>1</w:t>
            </w:r>
          </w:p>
        </w:tc>
        <w:tc>
          <w:tcPr>
            <w:tcW w:w="1067" w:type="dxa"/>
            <w:tcBorders>
              <w:top w:val="nil"/>
              <w:left w:val="nil"/>
              <w:bottom w:val="single" w:sz="8" w:space="0" w:color="auto"/>
              <w:right w:val="single" w:sz="8" w:space="0" w:color="auto"/>
            </w:tcBorders>
            <w:shd w:val="clear" w:color="auto" w:fill="auto"/>
            <w:noWrap/>
            <w:vAlign w:val="center"/>
          </w:tcPr>
          <w:p w:rsidR="00003B37" w:rsidRPr="00BA4AD2" w:rsidRDefault="00003B37" w:rsidP="00FC4A2F">
            <w:pPr>
              <w:jc w:val="right"/>
              <w:rPr>
                <w:sz w:val="16"/>
                <w:szCs w:val="16"/>
              </w:rPr>
            </w:pPr>
            <w:r w:rsidRPr="00BA4AD2">
              <w:rPr>
                <w:sz w:val="16"/>
                <w:szCs w:val="16"/>
              </w:rPr>
              <w:t>205,334</w:t>
            </w:r>
          </w:p>
        </w:tc>
        <w:tc>
          <w:tcPr>
            <w:tcW w:w="1184" w:type="dxa"/>
            <w:tcBorders>
              <w:top w:val="nil"/>
              <w:left w:val="nil"/>
              <w:bottom w:val="single" w:sz="8" w:space="0" w:color="auto"/>
              <w:right w:val="single" w:sz="8" w:space="0" w:color="auto"/>
            </w:tcBorders>
            <w:shd w:val="clear" w:color="auto" w:fill="auto"/>
            <w:noWrap/>
            <w:vAlign w:val="center"/>
          </w:tcPr>
          <w:p w:rsidR="00003B37" w:rsidRPr="00BA4AD2" w:rsidRDefault="00003B37" w:rsidP="00FC4A2F">
            <w:pPr>
              <w:jc w:val="right"/>
              <w:rPr>
                <w:sz w:val="16"/>
                <w:szCs w:val="16"/>
              </w:rPr>
            </w:pPr>
            <w:r w:rsidRPr="00BA4AD2">
              <w:rPr>
                <w:sz w:val="16"/>
                <w:szCs w:val="16"/>
              </w:rPr>
              <w:t>-5.78%</w:t>
            </w:r>
          </w:p>
        </w:tc>
        <w:tc>
          <w:tcPr>
            <w:tcW w:w="1182" w:type="dxa"/>
            <w:tcBorders>
              <w:top w:val="nil"/>
              <w:left w:val="nil"/>
              <w:bottom w:val="single" w:sz="8" w:space="0" w:color="auto"/>
              <w:right w:val="single" w:sz="8" w:space="0" w:color="auto"/>
            </w:tcBorders>
            <w:shd w:val="clear" w:color="auto" w:fill="auto"/>
            <w:vAlign w:val="center"/>
          </w:tcPr>
          <w:p w:rsidR="00003B37" w:rsidRPr="00BA4AD2" w:rsidRDefault="00003B37" w:rsidP="00FC4A2F">
            <w:pPr>
              <w:jc w:val="right"/>
              <w:rPr>
                <w:sz w:val="16"/>
                <w:szCs w:val="16"/>
              </w:rPr>
            </w:pPr>
            <w:r w:rsidRPr="007722AE">
              <w:rPr>
                <w:sz w:val="16"/>
                <w:szCs w:val="16"/>
              </w:rPr>
              <w:t>18,684</w:t>
            </w:r>
          </w:p>
        </w:tc>
        <w:tc>
          <w:tcPr>
            <w:tcW w:w="1182" w:type="dxa"/>
            <w:tcBorders>
              <w:top w:val="nil"/>
              <w:left w:val="nil"/>
              <w:bottom w:val="single" w:sz="8" w:space="0" w:color="auto"/>
              <w:right w:val="single" w:sz="8" w:space="0" w:color="auto"/>
            </w:tcBorders>
            <w:shd w:val="clear" w:color="auto" w:fill="auto"/>
            <w:vAlign w:val="center"/>
          </w:tcPr>
          <w:p w:rsidR="00003B37" w:rsidRPr="00BA4AD2" w:rsidRDefault="00003B37" w:rsidP="00FC4A2F">
            <w:pPr>
              <w:jc w:val="right"/>
              <w:rPr>
                <w:sz w:val="16"/>
                <w:szCs w:val="16"/>
              </w:rPr>
            </w:pPr>
            <w:r w:rsidRPr="007722AE">
              <w:rPr>
                <w:sz w:val="16"/>
                <w:szCs w:val="16"/>
              </w:rPr>
              <w:t>-1,080</w:t>
            </w:r>
          </w:p>
        </w:tc>
      </w:tr>
      <w:tr w:rsidR="00003B37" w:rsidRPr="00844BD4" w:rsidTr="00FC4A2F">
        <w:trPr>
          <w:trHeight w:val="315"/>
        </w:trPr>
        <w:tc>
          <w:tcPr>
            <w:tcW w:w="1438" w:type="dxa"/>
            <w:tcBorders>
              <w:top w:val="nil"/>
              <w:left w:val="single" w:sz="8" w:space="0" w:color="auto"/>
              <w:bottom w:val="single" w:sz="8" w:space="0" w:color="auto"/>
              <w:right w:val="single" w:sz="8" w:space="0" w:color="auto"/>
            </w:tcBorders>
            <w:shd w:val="clear" w:color="auto" w:fill="auto"/>
            <w:noWrap/>
            <w:vAlign w:val="bottom"/>
          </w:tcPr>
          <w:p w:rsidR="00003B37" w:rsidRPr="00844BD4" w:rsidRDefault="00003B37" w:rsidP="00FC4A2F">
            <w:pPr>
              <w:rPr>
                <w:sz w:val="16"/>
                <w:szCs w:val="16"/>
              </w:rPr>
            </w:pPr>
            <w:r w:rsidRPr="00844BD4">
              <w:rPr>
                <w:sz w:val="16"/>
                <w:szCs w:val="16"/>
              </w:rPr>
              <w:t>Belgium</w:t>
            </w:r>
          </w:p>
        </w:tc>
        <w:tc>
          <w:tcPr>
            <w:tcW w:w="936" w:type="dxa"/>
            <w:tcBorders>
              <w:top w:val="single" w:sz="8" w:space="0" w:color="auto"/>
              <w:left w:val="nil"/>
              <w:bottom w:val="single" w:sz="8" w:space="0" w:color="auto"/>
              <w:right w:val="single" w:sz="8" w:space="0" w:color="auto"/>
            </w:tcBorders>
            <w:vAlign w:val="center"/>
          </w:tcPr>
          <w:p w:rsidR="00003B37" w:rsidRPr="00BA4AD2" w:rsidRDefault="00003B37" w:rsidP="00FC4A2F">
            <w:pPr>
              <w:jc w:val="right"/>
              <w:rPr>
                <w:sz w:val="16"/>
                <w:szCs w:val="16"/>
              </w:rPr>
            </w:pPr>
            <w:r w:rsidRPr="00BA4AD2">
              <w:rPr>
                <w:sz w:val="16"/>
                <w:szCs w:val="16"/>
              </w:rPr>
              <w:t>3,184</w:t>
            </w:r>
          </w:p>
        </w:tc>
        <w:tc>
          <w:tcPr>
            <w:tcW w:w="876" w:type="dxa"/>
            <w:tcBorders>
              <w:top w:val="nil"/>
              <w:left w:val="single" w:sz="8" w:space="0" w:color="auto"/>
              <w:bottom w:val="single" w:sz="8" w:space="0" w:color="auto"/>
              <w:right w:val="single" w:sz="8" w:space="0" w:color="auto"/>
            </w:tcBorders>
            <w:shd w:val="clear" w:color="auto" w:fill="auto"/>
            <w:noWrap/>
            <w:vAlign w:val="center"/>
          </w:tcPr>
          <w:p w:rsidR="00003B37" w:rsidRPr="00BA4AD2" w:rsidRDefault="00003B37" w:rsidP="00FC4A2F">
            <w:pPr>
              <w:jc w:val="right"/>
              <w:rPr>
                <w:sz w:val="16"/>
                <w:szCs w:val="16"/>
              </w:rPr>
            </w:pPr>
            <w:r w:rsidRPr="00BA4AD2">
              <w:rPr>
                <w:sz w:val="16"/>
                <w:szCs w:val="16"/>
              </w:rPr>
              <w:t>1</w:t>
            </w:r>
          </w:p>
        </w:tc>
        <w:tc>
          <w:tcPr>
            <w:tcW w:w="1067" w:type="dxa"/>
            <w:tcBorders>
              <w:top w:val="nil"/>
              <w:left w:val="nil"/>
              <w:bottom w:val="single" w:sz="8" w:space="0" w:color="auto"/>
              <w:right w:val="single" w:sz="8" w:space="0" w:color="auto"/>
            </w:tcBorders>
            <w:shd w:val="clear" w:color="auto" w:fill="auto"/>
            <w:noWrap/>
            <w:vAlign w:val="center"/>
          </w:tcPr>
          <w:p w:rsidR="00003B37" w:rsidRPr="00BA4AD2" w:rsidRDefault="00003B37" w:rsidP="00FC4A2F">
            <w:pPr>
              <w:jc w:val="right"/>
              <w:rPr>
                <w:sz w:val="16"/>
                <w:szCs w:val="16"/>
              </w:rPr>
            </w:pPr>
            <w:r w:rsidRPr="00BA4AD2">
              <w:rPr>
                <w:sz w:val="16"/>
                <w:szCs w:val="16"/>
              </w:rPr>
              <w:t>528,996</w:t>
            </w:r>
          </w:p>
        </w:tc>
        <w:tc>
          <w:tcPr>
            <w:tcW w:w="1184" w:type="dxa"/>
            <w:tcBorders>
              <w:top w:val="nil"/>
              <w:left w:val="nil"/>
              <w:bottom w:val="single" w:sz="8" w:space="0" w:color="auto"/>
              <w:right w:val="single" w:sz="8" w:space="0" w:color="auto"/>
            </w:tcBorders>
            <w:shd w:val="clear" w:color="auto" w:fill="auto"/>
            <w:noWrap/>
            <w:vAlign w:val="center"/>
          </w:tcPr>
          <w:p w:rsidR="00003B37" w:rsidRPr="00BA4AD2" w:rsidRDefault="00003B37" w:rsidP="00FC4A2F">
            <w:pPr>
              <w:jc w:val="right"/>
              <w:rPr>
                <w:sz w:val="16"/>
                <w:szCs w:val="16"/>
              </w:rPr>
            </w:pPr>
            <w:r w:rsidRPr="00BA4AD2">
              <w:rPr>
                <w:sz w:val="16"/>
                <w:szCs w:val="16"/>
              </w:rPr>
              <w:t>-0.60%</w:t>
            </w:r>
          </w:p>
        </w:tc>
        <w:tc>
          <w:tcPr>
            <w:tcW w:w="1182" w:type="dxa"/>
            <w:tcBorders>
              <w:top w:val="nil"/>
              <w:left w:val="nil"/>
              <w:bottom w:val="single" w:sz="8" w:space="0" w:color="auto"/>
              <w:right w:val="single" w:sz="8" w:space="0" w:color="auto"/>
            </w:tcBorders>
            <w:shd w:val="clear" w:color="auto" w:fill="auto"/>
            <w:vAlign w:val="center"/>
          </w:tcPr>
          <w:p w:rsidR="00003B37" w:rsidRPr="00BA4AD2" w:rsidRDefault="00003B37" w:rsidP="00FC4A2F">
            <w:pPr>
              <w:jc w:val="right"/>
              <w:rPr>
                <w:sz w:val="16"/>
                <w:szCs w:val="16"/>
              </w:rPr>
            </w:pPr>
            <w:r w:rsidRPr="007722AE">
              <w:rPr>
                <w:sz w:val="16"/>
                <w:szCs w:val="16"/>
              </w:rPr>
              <w:t>23,868</w:t>
            </w:r>
          </w:p>
        </w:tc>
        <w:tc>
          <w:tcPr>
            <w:tcW w:w="1182" w:type="dxa"/>
            <w:tcBorders>
              <w:top w:val="nil"/>
              <w:left w:val="nil"/>
              <w:bottom w:val="single" w:sz="8" w:space="0" w:color="auto"/>
              <w:right w:val="single" w:sz="8" w:space="0" w:color="auto"/>
            </w:tcBorders>
            <w:shd w:val="clear" w:color="auto" w:fill="auto"/>
            <w:vAlign w:val="center"/>
          </w:tcPr>
          <w:p w:rsidR="00003B37" w:rsidRPr="00BA4AD2" w:rsidRDefault="00003B37" w:rsidP="00FC4A2F">
            <w:pPr>
              <w:jc w:val="right"/>
              <w:rPr>
                <w:sz w:val="16"/>
                <w:szCs w:val="16"/>
              </w:rPr>
            </w:pPr>
            <w:r w:rsidRPr="007722AE">
              <w:rPr>
                <w:sz w:val="16"/>
                <w:szCs w:val="16"/>
              </w:rPr>
              <w:t>-143</w:t>
            </w:r>
          </w:p>
        </w:tc>
      </w:tr>
      <w:tr w:rsidR="00003B37" w:rsidRPr="00844BD4" w:rsidTr="00FC4A2F">
        <w:trPr>
          <w:trHeight w:val="315"/>
        </w:trPr>
        <w:tc>
          <w:tcPr>
            <w:tcW w:w="1438" w:type="dxa"/>
            <w:tcBorders>
              <w:top w:val="nil"/>
              <w:left w:val="single" w:sz="8" w:space="0" w:color="auto"/>
              <w:bottom w:val="single" w:sz="8" w:space="0" w:color="auto"/>
              <w:right w:val="single" w:sz="8" w:space="0" w:color="auto"/>
            </w:tcBorders>
            <w:shd w:val="clear" w:color="auto" w:fill="auto"/>
            <w:noWrap/>
            <w:vAlign w:val="bottom"/>
          </w:tcPr>
          <w:p w:rsidR="00003B37" w:rsidRPr="00844BD4" w:rsidRDefault="00003B37" w:rsidP="00FC4A2F">
            <w:pPr>
              <w:rPr>
                <w:sz w:val="16"/>
                <w:szCs w:val="16"/>
              </w:rPr>
            </w:pPr>
            <w:r w:rsidRPr="00844BD4">
              <w:rPr>
                <w:sz w:val="16"/>
                <w:szCs w:val="16"/>
              </w:rPr>
              <w:t>Brazil</w:t>
            </w:r>
          </w:p>
        </w:tc>
        <w:tc>
          <w:tcPr>
            <w:tcW w:w="936" w:type="dxa"/>
            <w:tcBorders>
              <w:top w:val="single" w:sz="8" w:space="0" w:color="auto"/>
              <w:left w:val="nil"/>
              <w:bottom w:val="single" w:sz="8" w:space="0" w:color="auto"/>
              <w:right w:val="single" w:sz="8" w:space="0" w:color="auto"/>
            </w:tcBorders>
            <w:vAlign w:val="center"/>
          </w:tcPr>
          <w:p w:rsidR="00003B37" w:rsidRPr="00BA4AD2" w:rsidRDefault="00003B37" w:rsidP="00FC4A2F">
            <w:pPr>
              <w:jc w:val="right"/>
              <w:rPr>
                <w:sz w:val="16"/>
                <w:szCs w:val="16"/>
              </w:rPr>
            </w:pPr>
            <w:r w:rsidRPr="00BA4AD2">
              <w:rPr>
                <w:sz w:val="16"/>
                <w:szCs w:val="16"/>
              </w:rPr>
              <w:t>55,820</w:t>
            </w:r>
          </w:p>
        </w:tc>
        <w:tc>
          <w:tcPr>
            <w:tcW w:w="876" w:type="dxa"/>
            <w:tcBorders>
              <w:top w:val="nil"/>
              <w:left w:val="single" w:sz="8" w:space="0" w:color="auto"/>
              <w:bottom w:val="single" w:sz="8" w:space="0" w:color="auto"/>
              <w:right w:val="single" w:sz="8" w:space="0" w:color="auto"/>
            </w:tcBorders>
            <w:shd w:val="clear" w:color="auto" w:fill="auto"/>
            <w:noWrap/>
            <w:vAlign w:val="center"/>
          </w:tcPr>
          <w:p w:rsidR="00003B37" w:rsidRPr="00BA4AD2" w:rsidRDefault="00003B37" w:rsidP="00FC4A2F">
            <w:pPr>
              <w:jc w:val="right"/>
              <w:rPr>
                <w:sz w:val="16"/>
                <w:szCs w:val="16"/>
              </w:rPr>
            </w:pPr>
            <w:r w:rsidRPr="00BA4AD2">
              <w:rPr>
                <w:sz w:val="16"/>
                <w:szCs w:val="16"/>
              </w:rPr>
              <w:t>2</w:t>
            </w:r>
          </w:p>
        </w:tc>
        <w:tc>
          <w:tcPr>
            <w:tcW w:w="1067" w:type="dxa"/>
            <w:tcBorders>
              <w:top w:val="nil"/>
              <w:left w:val="nil"/>
              <w:bottom w:val="single" w:sz="8" w:space="0" w:color="auto"/>
              <w:right w:val="single" w:sz="8" w:space="0" w:color="auto"/>
            </w:tcBorders>
            <w:shd w:val="clear" w:color="auto" w:fill="auto"/>
            <w:noWrap/>
            <w:vAlign w:val="center"/>
          </w:tcPr>
          <w:p w:rsidR="00003B37" w:rsidRPr="00BA4AD2" w:rsidRDefault="00003B37" w:rsidP="00FC4A2F">
            <w:pPr>
              <w:jc w:val="right"/>
              <w:rPr>
                <w:sz w:val="16"/>
                <w:szCs w:val="16"/>
              </w:rPr>
            </w:pPr>
            <w:r w:rsidRPr="00BA4AD2">
              <w:rPr>
                <w:sz w:val="16"/>
                <w:szCs w:val="16"/>
              </w:rPr>
              <w:t>2,828,273</w:t>
            </w:r>
          </w:p>
        </w:tc>
        <w:tc>
          <w:tcPr>
            <w:tcW w:w="1184" w:type="dxa"/>
            <w:tcBorders>
              <w:top w:val="nil"/>
              <w:left w:val="nil"/>
              <w:bottom w:val="single" w:sz="8" w:space="0" w:color="auto"/>
              <w:right w:val="single" w:sz="8" w:space="0" w:color="auto"/>
            </w:tcBorders>
            <w:shd w:val="clear" w:color="auto" w:fill="auto"/>
            <w:noWrap/>
            <w:vAlign w:val="center"/>
          </w:tcPr>
          <w:p w:rsidR="00003B37" w:rsidRPr="00BA4AD2" w:rsidRDefault="00003B37" w:rsidP="00FC4A2F">
            <w:pPr>
              <w:jc w:val="right"/>
              <w:rPr>
                <w:sz w:val="16"/>
                <w:szCs w:val="16"/>
              </w:rPr>
            </w:pPr>
            <w:r w:rsidRPr="00BA4AD2">
              <w:rPr>
                <w:sz w:val="16"/>
                <w:szCs w:val="16"/>
              </w:rPr>
              <w:t>-1.97%</w:t>
            </w:r>
          </w:p>
        </w:tc>
        <w:tc>
          <w:tcPr>
            <w:tcW w:w="1182" w:type="dxa"/>
            <w:tcBorders>
              <w:top w:val="nil"/>
              <w:left w:val="nil"/>
              <w:bottom w:val="single" w:sz="8" w:space="0" w:color="auto"/>
              <w:right w:val="single" w:sz="8" w:space="0" w:color="auto"/>
            </w:tcBorders>
            <w:shd w:val="clear" w:color="auto" w:fill="auto"/>
            <w:vAlign w:val="center"/>
          </w:tcPr>
          <w:p w:rsidR="00003B37" w:rsidRPr="00BA4AD2" w:rsidRDefault="00003B37" w:rsidP="00FC4A2F">
            <w:pPr>
              <w:jc w:val="right"/>
              <w:rPr>
                <w:sz w:val="16"/>
                <w:szCs w:val="16"/>
              </w:rPr>
            </w:pPr>
            <w:r w:rsidRPr="007722AE">
              <w:rPr>
                <w:sz w:val="16"/>
                <w:szCs w:val="16"/>
              </w:rPr>
              <w:t>136,576</w:t>
            </w:r>
          </w:p>
        </w:tc>
        <w:tc>
          <w:tcPr>
            <w:tcW w:w="1182" w:type="dxa"/>
            <w:tcBorders>
              <w:top w:val="nil"/>
              <w:left w:val="nil"/>
              <w:bottom w:val="single" w:sz="8" w:space="0" w:color="auto"/>
              <w:right w:val="single" w:sz="8" w:space="0" w:color="auto"/>
            </w:tcBorders>
            <w:shd w:val="clear" w:color="auto" w:fill="auto"/>
            <w:vAlign w:val="center"/>
          </w:tcPr>
          <w:p w:rsidR="00003B37" w:rsidRPr="00BA4AD2" w:rsidRDefault="00003B37" w:rsidP="00FC4A2F">
            <w:pPr>
              <w:jc w:val="right"/>
              <w:rPr>
                <w:sz w:val="16"/>
                <w:szCs w:val="16"/>
              </w:rPr>
            </w:pPr>
            <w:r w:rsidRPr="007722AE">
              <w:rPr>
                <w:sz w:val="16"/>
                <w:szCs w:val="16"/>
              </w:rPr>
              <w:t>-2,691</w:t>
            </w:r>
          </w:p>
        </w:tc>
      </w:tr>
      <w:tr w:rsidR="00003B37" w:rsidRPr="00844BD4" w:rsidTr="00FC4A2F">
        <w:trPr>
          <w:trHeight w:val="315"/>
        </w:trPr>
        <w:tc>
          <w:tcPr>
            <w:tcW w:w="1438" w:type="dxa"/>
            <w:tcBorders>
              <w:top w:val="nil"/>
              <w:left w:val="single" w:sz="8" w:space="0" w:color="auto"/>
              <w:bottom w:val="single" w:sz="8" w:space="0" w:color="auto"/>
              <w:right w:val="single" w:sz="8" w:space="0" w:color="auto"/>
            </w:tcBorders>
            <w:shd w:val="clear" w:color="auto" w:fill="auto"/>
            <w:noWrap/>
            <w:vAlign w:val="bottom"/>
          </w:tcPr>
          <w:p w:rsidR="00003B37" w:rsidRPr="00844BD4" w:rsidRDefault="00003B37" w:rsidP="00FC4A2F">
            <w:pPr>
              <w:rPr>
                <w:sz w:val="16"/>
                <w:szCs w:val="16"/>
              </w:rPr>
            </w:pPr>
            <w:r w:rsidRPr="00844BD4">
              <w:rPr>
                <w:sz w:val="16"/>
                <w:szCs w:val="16"/>
              </w:rPr>
              <w:t>Canada</w:t>
            </w:r>
          </w:p>
        </w:tc>
        <w:tc>
          <w:tcPr>
            <w:tcW w:w="936" w:type="dxa"/>
            <w:tcBorders>
              <w:top w:val="single" w:sz="8" w:space="0" w:color="auto"/>
              <w:left w:val="nil"/>
              <w:bottom w:val="single" w:sz="8" w:space="0" w:color="auto"/>
              <w:right w:val="single" w:sz="8" w:space="0" w:color="auto"/>
            </w:tcBorders>
            <w:vAlign w:val="center"/>
          </w:tcPr>
          <w:p w:rsidR="00003B37" w:rsidRPr="00BA4AD2" w:rsidRDefault="00003B37" w:rsidP="00FC4A2F">
            <w:pPr>
              <w:jc w:val="right"/>
              <w:rPr>
                <w:sz w:val="16"/>
                <w:szCs w:val="16"/>
              </w:rPr>
            </w:pPr>
            <w:r w:rsidRPr="00BA4AD2">
              <w:rPr>
                <w:sz w:val="16"/>
                <w:szCs w:val="16"/>
              </w:rPr>
              <w:t>105,306</w:t>
            </w:r>
          </w:p>
        </w:tc>
        <w:tc>
          <w:tcPr>
            <w:tcW w:w="876" w:type="dxa"/>
            <w:tcBorders>
              <w:top w:val="nil"/>
              <w:left w:val="single" w:sz="8" w:space="0" w:color="auto"/>
              <w:bottom w:val="single" w:sz="8" w:space="0" w:color="auto"/>
              <w:right w:val="single" w:sz="8" w:space="0" w:color="auto"/>
            </w:tcBorders>
            <w:shd w:val="clear" w:color="auto" w:fill="auto"/>
            <w:noWrap/>
            <w:vAlign w:val="center"/>
          </w:tcPr>
          <w:p w:rsidR="00003B37" w:rsidRPr="00BA4AD2" w:rsidRDefault="00003B37" w:rsidP="00FC4A2F">
            <w:pPr>
              <w:jc w:val="right"/>
              <w:rPr>
                <w:sz w:val="16"/>
                <w:szCs w:val="16"/>
              </w:rPr>
            </w:pPr>
            <w:r w:rsidRPr="00BA4AD2">
              <w:rPr>
                <w:sz w:val="16"/>
                <w:szCs w:val="16"/>
              </w:rPr>
              <w:t>5</w:t>
            </w:r>
          </w:p>
        </w:tc>
        <w:tc>
          <w:tcPr>
            <w:tcW w:w="1067" w:type="dxa"/>
            <w:tcBorders>
              <w:top w:val="nil"/>
              <w:left w:val="nil"/>
              <w:bottom w:val="single" w:sz="8" w:space="0" w:color="auto"/>
              <w:right w:val="single" w:sz="8" w:space="0" w:color="auto"/>
            </w:tcBorders>
            <w:shd w:val="clear" w:color="auto" w:fill="auto"/>
            <w:noWrap/>
            <w:vAlign w:val="center"/>
          </w:tcPr>
          <w:p w:rsidR="00003B37" w:rsidRPr="00BA4AD2" w:rsidRDefault="00003B37" w:rsidP="00FC4A2F">
            <w:pPr>
              <w:jc w:val="right"/>
              <w:rPr>
                <w:sz w:val="16"/>
                <w:szCs w:val="16"/>
              </w:rPr>
            </w:pPr>
            <w:r w:rsidRPr="00BA4AD2">
              <w:rPr>
                <w:sz w:val="16"/>
                <w:szCs w:val="16"/>
              </w:rPr>
              <w:t>968,860</w:t>
            </w:r>
          </w:p>
        </w:tc>
        <w:tc>
          <w:tcPr>
            <w:tcW w:w="1184" w:type="dxa"/>
            <w:tcBorders>
              <w:top w:val="nil"/>
              <w:left w:val="nil"/>
              <w:bottom w:val="single" w:sz="8" w:space="0" w:color="auto"/>
              <w:right w:val="single" w:sz="8" w:space="0" w:color="auto"/>
            </w:tcBorders>
            <w:shd w:val="clear" w:color="auto" w:fill="auto"/>
            <w:noWrap/>
            <w:vAlign w:val="center"/>
          </w:tcPr>
          <w:p w:rsidR="00003B37" w:rsidRPr="00BA4AD2" w:rsidRDefault="00003B37" w:rsidP="00FC4A2F">
            <w:pPr>
              <w:jc w:val="right"/>
              <w:rPr>
                <w:sz w:val="16"/>
                <w:szCs w:val="16"/>
              </w:rPr>
            </w:pPr>
            <w:r w:rsidRPr="00BA4AD2">
              <w:rPr>
                <w:sz w:val="16"/>
                <w:szCs w:val="16"/>
              </w:rPr>
              <w:t>-10.87%</w:t>
            </w:r>
          </w:p>
        </w:tc>
        <w:tc>
          <w:tcPr>
            <w:tcW w:w="1182" w:type="dxa"/>
            <w:tcBorders>
              <w:top w:val="nil"/>
              <w:left w:val="nil"/>
              <w:bottom w:val="single" w:sz="8" w:space="0" w:color="auto"/>
              <w:right w:val="single" w:sz="8" w:space="0" w:color="auto"/>
            </w:tcBorders>
            <w:shd w:val="clear" w:color="auto" w:fill="auto"/>
            <w:vAlign w:val="center"/>
          </w:tcPr>
          <w:p w:rsidR="00003B37" w:rsidRPr="00BA4AD2" w:rsidRDefault="00003B37" w:rsidP="00FC4A2F">
            <w:pPr>
              <w:jc w:val="right"/>
              <w:rPr>
                <w:sz w:val="16"/>
                <w:szCs w:val="16"/>
              </w:rPr>
            </w:pPr>
            <w:r w:rsidRPr="007722AE">
              <w:rPr>
                <w:sz w:val="16"/>
                <w:szCs w:val="16"/>
              </w:rPr>
              <w:t>201,834</w:t>
            </w:r>
          </w:p>
        </w:tc>
        <w:tc>
          <w:tcPr>
            <w:tcW w:w="1182" w:type="dxa"/>
            <w:tcBorders>
              <w:top w:val="nil"/>
              <w:left w:val="nil"/>
              <w:bottom w:val="single" w:sz="8" w:space="0" w:color="auto"/>
              <w:right w:val="single" w:sz="8" w:space="0" w:color="auto"/>
            </w:tcBorders>
            <w:shd w:val="clear" w:color="auto" w:fill="auto"/>
            <w:vAlign w:val="center"/>
          </w:tcPr>
          <w:p w:rsidR="00003B37" w:rsidRPr="00BA4AD2" w:rsidRDefault="00003B37" w:rsidP="00FC4A2F">
            <w:pPr>
              <w:jc w:val="right"/>
              <w:rPr>
                <w:sz w:val="16"/>
                <w:szCs w:val="16"/>
              </w:rPr>
            </w:pPr>
            <w:r w:rsidRPr="007722AE">
              <w:rPr>
                <w:sz w:val="16"/>
                <w:szCs w:val="16"/>
              </w:rPr>
              <w:t>-21,939</w:t>
            </w:r>
          </w:p>
        </w:tc>
      </w:tr>
      <w:tr w:rsidR="00003B37" w:rsidRPr="00844BD4" w:rsidTr="00FC4A2F">
        <w:trPr>
          <w:trHeight w:val="315"/>
        </w:trPr>
        <w:tc>
          <w:tcPr>
            <w:tcW w:w="1438" w:type="dxa"/>
            <w:tcBorders>
              <w:top w:val="nil"/>
              <w:left w:val="single" w:sz="8" w:space="0" w:color="auto"/>
              <w:bottom w:val="single" w:sz="8" w:space="0" w:color="auto"/>
              <w:right w:val="single" w:sz="8" w:space="0" w:color="auto"/>
            </w:tcBorders>
            <w:shd w:val="clear" w:color="auto" w:fill="auto"/>
            <w:noWrap/>
            <w:vAlign w:val="bottom"/>
          </w:tcPr>
          <w:p w:rsidR="00003B37" w:rsidRPr="00844BD4" w:rsidRDefault="00003B37" w:rsidP="00FC4A2F">
            <w:pPr>
              <w:rPr>
                <w:sz w:val="16"/>
                <w:szCs w:val="16"/>
              </w:rPr>
            </w:pPr>
            <w:r w:rsidRPr="00844BD4">
              <w:rPr>
                <w:sz w:val="16"/>
                <w:szCs w:val="16"/>
              </w:rPr>
              <w:t>China</w:t>
            </w:r>
          </w:p>
        </w:tc>
        <w:tc>
          <w:tcPr>
            <w:tcW w:w="936" w:type="dxa"/>
            <w:tcBorders>
              <w:top w:val="single" w:sz="8" w:space="0" w:color="auto"/>
              <w:left w:val="nil"/>
              <w:bottom w:val="single" w:sz="8" w:space="0" w:color="auto"/>
              <w:right w:val="single" w:sz="8" w:space="0" w:color="auto"/>
            </w:tcBorders>
            <w:vAlign w:val="center"/>
          </w:tcPr>
          <w:p w:rsidR="00003B37" w:rsidRPr="00BA4AD2" w:rsidRDefault="00003B37" w:rsidP="00FC4A2F">
            <w:pPr>
              <w:jc w:val="right"/>
              <w:rPr>
                <w:sz w:val="16"/>
                <w:szCs w:val="16"/>
              </w:rPr>
            </w:pPr>
            <w:r w:rsidRPr="00BA4AD2">
              <w:rPr>
                <w:sz w:val="16"/>
                <w:szCs w:val="16"/>
              </w:rPr>
              <w:t>284,000</w:t>
            </w:r>
          </w:p>
        </w:tc>
        <w:tc>
          <w:tcPr>
            <w:tcW w:w="876" w:type="dxa"/>
            <w:tcBorders>
              <w:top w:val="nil"/>
              <w:left w:val="single" w:sz="8" w:space="0" w:color="auto"/>
              <w:bottom w:val="single" w:sz="8" w:space="0" w:color="auto"/>
              <w:right w:val="single" w:sz="8" w:space="0" w:color="auto"/>
            </w:tcBorders>
            <w:shd w:val="clear" w:color="auto" w:fill="auto"/>
            <w:noWrap/>
            <w:vAlign w:val="center"/>
          </w:tcPr>
          <w:p w:rsidR="00003B37" w:rsidRPr="00BA4AD2" w:rsidRDefault="00003B37" w:rsidP="00FC4A2F">
            <w:pPr>
              <w:jc w:val="right"/>
              <w:rPr>
                <w:sz w:val="16"/>
                <w:szCs w:val="16"/>
              </w:rPr>
            </w:pPr>
            <w:r w:rsidRPr="00BA4AD2">
              <w:rPr>
                <w:sz w:val="16"/>
                <w:szCs w:val="16"/>
              </w:rPr>
              <w:t>16</w:t>
            </w:r>
          </w:p>
        </w:tc>
        <w:tc>
          <w:tcPr>
            <w:tcW w:w="1067" w:type="dxa"/>
            <w:tcBorders>
              <w:top w:val="nil"/>
              <w:left w:val="nil"/>
              <w:bottom w:val="single" w:sz="8" w:space="0" w:color="auto"/>
              <w:right w:val="single" w:sz="8" w:space="0" w:color="auto"/>
            </w:tcBorders>
            <w:shd w:val="clear" w:color="auto" w:fill="auto"/>
            <w:noWrap/>
            <w:vAlign w:val="center"/>
          </w:tcPr>
          <w:p w:rsidR="00003B37" w:rsidRPr="00BA4AD2" w:rsidRDefault="00003B37" w:rsidP="00FC4A2F">
            <w:pPr>
              <w:jc w:val="right"/>
              <w:rPr>
                <w:sz w:val="16"/>
                <w:szCs w:val="16"/>
              </w:rPr>
            </w:pPr>
            <w:r w:rsidRPr="00BA4AD2">
              <w:rPr>
                <w:sz w:val="16"/>
                <w:szCs w:val="16"/>
              </w:rPr>
              <w:t>13,897,083</w:t>
            </w:r>
          </w:p>
        </w:tc>
        <w:tc>
          <w:tcPr>
            <w:tcW w:w="1184" w:type="dxa"/>
            <w:tcBorders>
              <w:top w:val="nil"/>
              <w:left w:val="nil"/>
              <w:bottom w:val="single" w:sz="8" w:space="0" w:color="auto"/>
              <w:right w:val="single" w:sz="8" w:space="0" w:color="auto"/>
            </w:tcBorders>
            <w:shd w:val="clear" w:color="auto" w:fill="auto"/>
            <w:noWrap/>
            <w:vAlign w:val="center"/>
          </w:tcPr>
          <w:p w:rsidR="00003B37" w:rsidRPr="00BA4AD2" w:rsidRDefault="00003B37" w:rsidP="00FC4A2F">
            <w:pPr>
              <w:jc w:val="right"/>
              <w:rPr>
                <w:sz w:val="16"/>
                <w:szCs w:val="16"/>
              </w:rPr>
            </w:pPr>
            <w:r w:rsidRPr="00BA4AD2">
              <w:rPr>
                <w:sz w:val="16"/>
                <w:szCs w:val="16"/>
              </w:rPr>
              <w:t>-2.04%</w:t>
            </w:r>
          </w:p>
        </w:tc>
        <w:tc>
          <w:tcPr>
            <w:tcW w:w="1182" w:type="dxa"/>
            <w:tcBorders>
              <w:top w:val="nil"/>
              <w:left w:val="nil"/>
              <w:bottom w:val="single" w:sz="8" w:space="0" w:color="auto"/>
              <w:right w:val="single" w:sz="8" w:space="0" w:color="auto"/>
            </w:tcBorders>
            <w:shd w:val="clear" w:color="auto" w:fill="auto"/>
            <w:vAlign w:val="center"/>
          </w:tcPr>
          <w:p w:rsidR="00003B37" w:rsidRPr="00BA4AD2" w:rsidRDefault="00003B37" w:rsidP="00FC4A2F">
            <w:pPr>
              <w:jc w:val="right"/>
              <w:rPr>
                <w:sz w:val="16"/>
                <w:szCs w:val="16"/>
              </w:rPr>
            </w:pPr>
            <w:r w:rsidRPr="007722AE">
              <w:rPr>
                <w:sz w:val="16"/>
                <w:szCs w:val="16"/>
              </w:rPr>
              <w:t>674,956</w:t>
            </w:r>
          </w:p>
        </w:tc>
        <w:tc>
          <w:tcPr>
            <w:tcW w:w="1182" w:type="dxa"/>
            <w:tcBorders>
              <w:top w:val="nil"/>
              <w:left w:val="nil"/>
              <w:bottom w:val="single" w:sz="8" w:space="0" w:color="auto"/>
              <w:right w:val="single" w:sz="8" w:space="0" w:color="auto"/>
            </w:tcBorders>
            <w:shd w:val="clear" w:color="auto" w:fill="auto"/>
            <w:vAlign w:val="center"/>
          </w:tcPr>
          <w:p w:rsidR="00003B37" w:rsidRPr="00BA4AD2" w:rsidRDefault="00003B37" w:rsidP="00FC4A2F">
            <w:pPr>
              <w:jc w:val="right"/>
              <w:rPr>
                <w:sz w:val="16"/>
                <w:szCs w:val="16"/>
              </w:rPr>
            </w:pPr>
            <w:r w:rsidRPr="007722AE">
              <w:rPr>
                <w:sz w:val="16"/>
                <w:szCs w:val="16"/>
              </w:rPr>
              <w:t>-13,769</w:t>
            </w:r>
          </w:p>
        </w:tc>
      </w:tr>
      <w:tr w:rsidR="00003B37" w:rsidRPr="00844BD4" w:rsidTr="00FC4A2F">
        <w:trPr>
          <w:trHeight w:val="315"/>
        </w:trPr>
        <w:tc>
          <w:tcPr>
            <w:tcW w:w="1438" w:type="dxa"/>
            <w:tcBorders>
              <w:top w:val="nil"/>
              <w:left w:val="single" w:sz="8" w:space="0" w:color="auto"/>
              <w:bottom w:val="single" w:sz="8" w:space="0" w:color="auto"/>
              <w:right w:val="single" w:sz="8" w:space="0" w:color="auto"/>
            </w:tcBorders>
            <w:shd w:val="clear" w:color="auto" w:fill="auto"/>
            <w:noWrap/>
            <w:vAlign w:val="bottom"/>
          </w:tcPr>
          <w:p w:rsidR="00003B37" w:rsidRPr="00844BD4" w:rsidRDefault="00003B37" w:rsidP="00FC4A2F">
            <w:pPr>
              <w:rPr>
                <w:sz w:val="16"/>
                <w:szCs w:val="16"/>
              </w:rPr>
            </w:pPr>
            <w:r w:rsidRPr="00844BD4">
              <w:rPr>
                <w:sz w:val="16"/>
                <w:szCs w:val="16"/>
              </w:rPr>
              <w:t>France</w:t>
            </w:r>
          </w:p>
        </w:tc>
        <w:tc>
          <w:tcPr>
            <w:tcW w:w="936" w:type="dxa"/>
            <w:tcBorders>
              <w:top w:val="single" w:sz="8" w:space="0" w:color="auto"/>
              <w:left w:val="nil"/>
              <w:bottom w:val="single" w:sz="8" w:space="0" w:color="auto"/>
              <w:right w:val="single" w:sz="8" w:space="0" w:color="auto"/>
            </w:tcBorders>
            <w:vAlign w:val="center"/>
          </w:tcPr>
          <w:p w:rsidR="00003B37" w:rsidRPr="00BA4AD2" w:rsidRDefault="00003B37" w:rsidP="00FC4A2F">
            <w:pPr>
              <w:jc w:val="right"/>
              <w:rPr>
                <w:sz w:val="16"/>
                <w:szCs w:val="16"/>
              </w:rPr>
            </w:pPr>
            <w:r w:rsidRPr="00BA4AD2">
              <w:rPr>
                <w:sz w:val="16"/>
                <w:szCs w:val="16"/>
              </w:rPr>
              <w:t>18,585</w:t>
            </w:r>
          </w:p>
        </w:tc>
        <w:tc>
          <w:tcPr>
            <w:tcW w:w="876" w:type="dxa"/>
            <w:tcBorders>
              <w:top w:val="nil"/>
              <w:left w:val="single" w:sz="8" w:space="0" w:color="auto"/>
              <w:bottom w:val="single" w:sz="8" w:space="0" w:color="auto"/>
              <w:right w:val="single" w:sz="8" w:space="0" w:color="auto"/>
            </w:tcBorders>
            <w:shd w:val="clear" w:color="auto" w:fill="auto"/>
            <w:noWrap/>
            <w:vAlign w:val="center"/>
          </w:tcPr>
          <w:p w:rsidR="00003B37" w:rsidRPr="00BA4AD2" w:rsidRDefault="00003B37" w:rsidP="00FC4A2F">
            <w:pPr>
              <w:jc w:val="right"/>
              <w:rPr>
                <w:sz w:val="16"/>
                <w:szCs w:val="16"/>
              </w:rPr>
            </w:pPr>
            <w:r w:rsidRPr="00BA4AD2">
              <w:rPr>
                <w:sz w:val="16"/>
                <w:szCs w:val="16"/>
              </w:rPr>
              <w:t>2</w:t>
            </w:r>
          </w:p>
        </w:tc>
        <w:tc>
          <w:tcPr>
            <w:tcW w:w="1067" w:type="dxa"/>
            <w:tcBorders>
              <w:top w:val="nil"/>
              <w:left w:val="nil"/>
              <w:bottom w:val="single" w:sz="8" w:space="0" w:color="auto"/>
              <w:right w:val="single" w:sz="8" w:space="0" w:color="auto"/>
            </w:tcBorders>
            <w:shd w:val="clear" w:color="auto" w:fill="auto"/>
            <w:noWrap/>
            <w:vAlign w:val="center"/>
          </w:tcPr>
          <w:p w:rsidR="00003B37" w:rsidRPr="00BA4AD2" w:rsidRDefault="00003B37" w:rsidP="00FC4A2F">
            <w:pPr>
              <w:jc w:val="right"/>
              <w:rPr>
                <w:sz w:val="16"/>
                <w:szCs w:val="16"/>
              </w:rPr>
            </w:pPr>
            <w:r w:rsidRPr="00BA4AD2">
              <w:rPr>
                <w:sz w:val="16"/>
                <w:szCs w:val="16"/>
              </w:rPr>
              <w:t>1,924,171</w:t>
            </w:r>
          </w:p>
        </w:tc>
        <w:tc>
          <w:tcPr>
            <w:tcW w:w="1184" w:type="dxa"/>
            <w:tcBorders>
              <w:top w:val="nil"/>
              <w:left w:val="nil"/>
              <w:bottom w:val="single" w:sz="8" w:space="0" w:color="auto"/>
              <w:right w:val="single" w:sz="8" w:space="0" w:color="auto"/>
            </w:tcBorders>
            <w:shd w:val="clear" w:color="auto" w:fill="auto"/>
            <w:noWrap/>
            <w:vAlign w:val="center"/>
          </w:tcPr>
          <w:p w:rsidR="00003B37" w:rsidRPr="00BA4AD2" w:rsidRDefault="00003B37" w:rsidP="00FC4A2F">
            <w:pPr>
              <w:jc w:val="right"/>
              <w:rPr>
                <w:sz w:val="16"/>
                <w:szCs w:val="16"/>
              </w:rPr>
            </w:pPr>
            <w:r w:rsidRPr="00BA4AD2">
              <w:rPr>
                <w:sz w:val="16"/>
                <w:szCs w:val="16"/>
              </w:rPr>
              <w:t>-0.97%</w:t>
            </w:r>
          </w:p>
        </w:tc>
        <w:tc>
          <w:tcPr>
            <w:tcW w:w="1182" w:type="dxa"/>
            <w:tcBorders>
              <w:top w:val="nil"/>
              <w:left w:val="nil"/>
              <w:bottom w:val="single" w:sz="8" w:space="0" w:color="auto"/>
              <w:right w:val="single" w:sz="8" w:space="0" w:color="auto"/>
            </w:tcBorders>
            <w:shd w:val="clear" w:color="auto" w:fill="auto"/>
            <w:vAlign w:val="center"/>
          </w:tcPr>
          <w:p w:rsidR="00003B37" w:rsidRPr="00BA4AD2" w:rsidRDefault="00003B37" w:rsidP="00FC4A2F">
            <w:pPr>
              <w:jc w:val="right"/>
              <w:rPr>
                <w:sz w:val="16"/>
                <w:szCs w:val="16"/>
              </w:rPr>
            </w:pPr>
            <w:r w:rsidRPr="007722AE">
              <w:rPr>
                <w:sz w:val="16"/>
                <w:szCs w:val="16"/>
              </w:rPr>
              <w:t>218,622</w:t>
            </w:r>
          </w:p>
        </w:tc>
        <w:tc>
          <w:tcPr>
            <w:tcW w:w="1182" w:type="dxa"/>
            <w:tcBorders>
              <w:top w:val="nil"/>
              <w:left w:val="nil"/>
              <w:bottom w:val="single" w:sz="8" w:space="0" w:color="auto"/>
              <w:right w:val="single" w:sz="8" w:space="0" w:color="auto"/>
            </w:tcBorders>
            <w:shd w:val="clear" w:color="auto" w:fill="auto"/>
            <w:vAlign w:val="center"/>
          </w:tcPr>
          <w:p w:rsidR="00003B37" w:rsidRPr="00BA4AD2" w:rsidRDefault="00003B37" w:rsidP="00FC4A2F">
            <w:pPr>
              <w:jc w:val="right"/>
              <w:rPr>
                <w:sz w:val="16"/>
                <w:szCs w:val="16"/>
              </w:rPr>
            </w:pPr>
            <w:r w:rsidRPr="007722AE">
              <w:rPr>
                <w:sz w:val="16"/>
                <w:szCs w:val="16"/>
              </w:rPr>
              <w:t>-2,121</w:t>
            </w:r>
          </w:p>
        </w:tc>
      </w:tr>
      <w:tr w:rsidR="00003B37" w:rsidRPr="00844BD4" w:rsidTr="00FC4A2F">
        <w:trPr>
          <w:trHeight w:val="315"/>
        </w:trPr>
        <w:tc>
          <w:tcPr>
            <w:tcW w:w="1438" w:type="dxa"/>
            <w:tcBorders>
              <w:top w:val="nil"/>
              <w:left w:val="single" w:sz="8" w:space="0" w:color="auto"/>
              <w:bottom w:val="single" w:sz="8" w:space="0" w:color="auto"/>
              <w:right w:val="single" w:sz="8" w:space="0" w:color="auto"/>
            </w:tcBorders>
            <w:shd w:val="clear" w:color="auto" w:fill="auto"/>
            <w:noWrap/>
            <w:vAlign w:val="bottom"/>
          </w:tcPr>
          <w:p w:rsidR="00003B37" w:rsidRPr="00844BD4" w:rsidRDefault="00003B37" w:rsidP="00FC4A2F">
            <w:pPr>
              <w:rPr>
                <w:sz w:val="16"/>
                <w:szCs w:val="16"/>
              </w:rPr>
            </w:pPr>
            <w:r w:rsidRPr="00844BD4">
              <w:rPr>
                <w:sz w:val="16"/>
                <w:szCs w:val="16"/>
              </w:rPr>
              <w:t>Germany</w:t>
            </w:r>
          </w:p>
        </w:tc>
        <w:tc>
          <w:tcPr>
            <w:tcW w:w="936" w:type="dxa"/>
            <w:tcBorders>
              <w:top w:val="single" w:sz="8" w:space="0" w:color="auto"/>
              <w:left w:val="nil"/>
              <w:bottom w:val="single" w:sz="8" w:space="0" w:color="auto"/>
              <w:right w:val="single" w:sz="8" w:space="0" w:color="auto"/>
            </w:tcBorders>
            <w:vAlign w:val="center"/>
          </w:tcPr>
          <w:p w:rsidR="00003B37" w:rsidRPr="00BA4AD2" w:rsidRDefault="00003B37" w:rsidP="00FC4A2F">
            <w:pPr>
              <w:jc w:val="right"/>
              <w:rPr>
                <w:sz w:val="16"/>
                <w:szCs w:val="16"/>
              </w:rPr>
            </w:pPr>
            <w:r w:rsidRPr="00BA4AD2">
              <w:rPr>
                <w:sz w:val="16"/>
                <w:szCs w:val="16"/>
              </w:rPr>
              <w:t>5,403</w:t>
            </w:r>
          </w:p>
        </w:tc>
        <w:tc>
          <w:tcPr>
            <w:tcW w:w="876" w:type="dxa"/>
            <w:tcBorders>
              <w:top w:val="nil"/>
              <w:left w:val="single" w:sz="8" w:space="0" w:color="auto"/>
              <w:bottom w:val="single" w:sz="8" w:space="0" w:color="auto"/>
              <w:right w:val="single" w:sz="8" w:space="0" w:color="auto"/>
            </w:tcBorders>
            <w:shd w:val="clear" w:color="auto" w:fill="auto"/>
            <w:noWrap/>
            <w:vAlign w:val="center"/>
          </w:tcPr>
          <w:p w:rsidR="00003B37" w:rsidRPr="00BA4AD2" w:rsidRDefault="00003B37" w:rsidP="00FC4A2F">
            <w:pPr>
              <w:jc w:val="right"/>
              <w:rPr>
                <w:sz w:val="16"/>
                <w:szCs w:val="16"/>
              </w:rPr>
            </w:pPr>
            <w:r w:rsidRPr="00BA4AD2">
              <w:rPr>
                <w:sz w:val="16"/>
                <w:szCs w:val="16"/>
              </w:rPr>
              <w:t>1</w:t>
            </w:r>
          </w:p>
        </w:tc>
        <w:tc>
          <w:tcPr>
            <w:tcW w:w="1067" w:type="dxa"/>
            <w:tcBorders>
              <w:top w:val="nil"/>
              <w:left w:val="nil"/>
              <w:bottom w:val="single" w:sz="8" w:space="0" w:color="auto"/>
              <w:right w:val="single" w:sz="8" w:space="0" w:color="auto"/>
            </w:tcBorders>
            <w:shd w:val="clear" w:color="auto" w:fill="auto"/>
            <w:noWrap/>
            <w:vAlign w:val="center"/>
          </w:tcPr>
          <w:p w:rsidR="00003B37" w:rsidRPr="00BA4AD2" w:rsidRDefault="00003B37" w:rsidP="00FC4A2F">
            <w:pPr>
              <w:jc w:val="right"/>
              <w:rPr>
                <w:sz w:val="16"/>
                <w:szCs w:val="16"/>
              </w:rPr>
            </w:pPr>
            <w:r w:rsidRPr="00BA4AD2">
              <w:rPr>
                <w:sz w:val="16"/>
                <w:szCs w:val="16"/>
              </w:rPr>
              <w:t>5,552,409</w:t>
            </w:r>
          </w:p>
        </w:tc>
        <w:tc>
          <w:tcPr>
            <w:tcW w:w="1184" w:type="dxa"/>
            <w:tcBorders>
              <w:top w:val="nil"/>
              <w:left w:val="nil"/>
              <w:bottom w:val="single" w:sz="8" w:space="0" w:color="auto"/>
              <w:right w:val="single" w:sz="8" w:space="0" w:color="auto"/>
            </w:tcBorders>
            <w:shd w:val="clear" w:color="auto" w:fill="auto"/>
            <w:noWrap/>
            <w:vAlign w:val="center"/>
          </w:tcPr>
          <w:p w:rsidR="00003B37" w:rsidRPr="00BA4AD2" w:rsidRDefault="00003B37" w:rsidP="00FC4A2F">
            <w:pPr>
              <w:jc w:val="right"/>
              <w:rPr>
                <w:sz w:val="16"/>
                <w:szCs w:val="16"/>
              </w:rPr>
            </w:pPr>
            <w:r w:rsidRPr="00BA4AD2">
              <w:rPr>
                <w:sz w:val="16"/>
                <w:szCs w:val="16"/>
              </w:rPr>
              <w:t>-0.10%</w:t>
            </w:r>
          </w:p>
        </w:tc>
        <w:tc>
          <w:tcPr>
            <w:tcW w:w="1182" w:type="dxa"/>
            <w:tcBorders>
              <w:top w:val="nil"/>
              <w:left w:val="nil"/>
              <w:bottom w:val="single" w:sz="8" w:space="0" w:color="auto"/>
              <w:right w:val="single" w:sz="8" w:space="0" w:color="auto"/>
            </w:tcBorders>
            <w:shd w:val="clear" w:color="auto" w:fill="auto"/>
            <w:vAlign w:val="center"/>
          </w:tcPr>
          <w:p w:rsidR="00003B37" w:rsidRPr="00BA4AD2" w:rsidRDefault="00003B37" w:rsidP="00FC4A2F">
            <w:pPr>
              <w:jc w:val="right"/>
              <w:rPr>
                <w:sz w:val="16"/>
                <w:szCs w:val="16"/>
              </w:rPr>
            </w:pPr>
            <w:r w:rsidRPr="007722AE">
              <w:rPr>
                <w:sz w:val="16"/>
                <w:szCs w:val="16"/>
              </w:rPr>
              <w:t>437,252</w:t>
            </w:r>
          </w:p>
        </w:tc>
        <w:tc>
          <w:tcPr>
            <w:tcW w:w="1182" w:type="dxa"/>
            <w:tcBorders>
              <w:top w:val="nil"/>
              <w:left w:val="nil"/>
              <w:bottom w:val="single" w:sz="8" w:space="0" w:color="auto"/>
              <w:right w:val="single" w:sz="8" w:space="0" w:color="auto"/>
            </w:tcBorders>
            <w:shd w:val="clear" w:color="auto" w:fill="auto"/>
            <w:vAlign w:val="center"/>
          </w:tcPr>
          <w:p w:rsidR="00003B37" w:rsidRPr="00BA4AD2" w:rsidRDefault="00003B37" w:rsidP="00FC4A2F">
            <w:pPr>
              <w:jc w:val="right"/>
              <w:rPr>
                <w:sz w:val="16"/>
                <w:szCs w:val="16"/>
              </w:rPr>
            </w:pPr>
            <w:r w:rsidRPr="007722AE">
              <w:rPr>
                <w:sz w:val="16"/>
                <w:szCs w:val="16"/>
              </w:rPr>
              <w:t>-437</w:t>
            </w:r>
          </w:p>
        </w:tc>
      </w:tr>
      <w:tr w:rsidR="00003B37" w:rsidRPr="00844BD4" w:rsidTr="00FC4A2F">
        <w:trPr>
          <w:trHeight w:val="315"/>
        </w:trPr>
        <w:tc>
          <w:tcPr>
            <w:tcW w:w="1438" w:type="dxa"/>
            <w:tcBorders>
              <w:top w:val="nil"/>
              <w:left w:val="single" w:sz="8" w:space="0" w:color="auto"/>
              <w:bottom w:val="single" w:sz="8" w:space="0" w:color="auto"/>
              <w:right w:val="single" w:sz="8" w:space="0" w:color="auto"/>
            </w:tcBorders>
            <w:shd w:val="clear" w:color="auto" w:fill="auto"/>
            <w:noWrap/>
            <w:vAlign w:val="bottom"/>
          </w:tcPr>
          <w:p w:rsidR="00003B37" w:rsidRPr="00844BD4" w:rsidRDefault="00003B37" w:rsidP="00FC4A2F">
            <w:pPr>
              <w:rPr>
                <w:sz w:val="16"/>
                <w:szCs w:val="16"/>
              </w:rPr>
            </w:pPr>
            <w:r w:rsidRPr="00844BD4">
              <w:rPr>
                <w:sz w:val="16"/>
                <w:szCs w:val="16"/>
              </w:rPr>
              <w:t>Hungary</w:t>
            </w:r>
          </w:p>
        </w:tc>
        <w:tc>
          <w:tcPr>
            <w:tcW w:w="936" w:type="dxa"/>
            <w:tcBorders>
              <w:top w:val="single" w:sz="8" w:space="0" w:color="auto"/>
              <w:left w:val="nil"/>
              <w:bottom w:val="single" w:sz="8" w:space="0" w:color="auto"/>
              <w:right w:val="single" w:sz="8" w:space="0" w:color="auto"/>
            </w:tcBorders>
            <w:vAlign w:val="center"/>
          </w:tcPr>
          <w:p w:rsidR="00003B37" w:rsidRPr="00BA4AD2" w:rsidRDefault="00003B37" w:rsidP="00FC4A2F">
            <w:pPr>
              <w:jc w:val="right"/>
              <w:rPr>
                <w:sz w:val="16"/>
                <w:szCs w:val="16"/>
              </w:rPr>
            </w:pPr>
            <w:r w:rsidRPr="00BA4AD2">
              <w:rPr>
                <w:sz w:val="16"/>
                <w:szCs w:val="16"/>
              </w:rPr>
              <w:t>2,404</w:t>
            </w:r>
          </w:p>
        </w:tc>
        <w:tc>
          <w:tcPr>
            <w:tcW w:w="876" w:type="dxa"/>
            <w:tcBorders>
              <w:top w:val="nil"/>
              <w:left w:val="single" w:sz="8" w:space="0" w:color="auto"/>
              <w:bottom w:val="single" w:sz="8" w:space="0" w:color="auto"/>
              <w:right w:val="single" w:sz="8" w:space="0" w:color="auto"/>
            </w:tcBorders>
            <w:shd w:val="clear" w:color="auto" w:fill="auto"/>
            <w:noWrap/>
            <w:vAlign w:val="center"/>
          </w:tcPr>
          <w:p w:rsidR="00003B37" w:rsidRPr="00BA4AD2" w:rsidRDefault="00003B37" w:rsidP="00FC4A2F">
            <w:pPr>
              <w:jc w:val="right"/>
              <w:rPr>
                <w:sz w:val="16"/>
                <w:szCs w:val="16"/>
              </w:rPr>
            </w:pPr>
            <w:r w:rsidRPr="00BA4AD2">
              <w:rPr>
                <w:sz w:val="16"/>
                <w:szCs w:val="16"/>
              </w:rPr>
              <w:t>1</w:t>
            </w:r>
          </w:p>
        </w:tc>
        <w:tc>
          <w:tcPr>
            <w:tcW w:w="1067" w:type="dxa"/>
            <w:tcBorders>
              <w:top w:val="nil"/>
              <w:left w:val="nil"/>
              <w:bottom w:val="single" w:sz="8" w:space="0" w:color="auto"/>
              <w:right w:val="single" w:sz="8" w:space="0" w:color="auto"/>
            </w:tcBorders>
            <w:shd w:val="clear" w:color="auto" w:fill="auto"/>
            <w:noWrap/>
            <w:vAlign w:val="center"/>
          </w:tcPr>
          <w:p w:rsidR="00003B37" w:rsidRPr="00BA4AD2" w:rsidRDefault="00003B37" w:rsidP="00FC4A2F">
            <w:pPr>
              <w:jc w:val="right"/>
              <w:rPr>
                <w:sz w:val="16"/>
                <w:szCs w:val="16"/>
              </w:rPr>
            </w:pPr>
            <w:r w:rsidRPr="00BA4AD2">
              <w:rPr>
                <w:sz w:val="16"/>
                <w:szCs w:val="16"/>
              </w:rPr>
              <w:t>208,571</w:t>
            </w:r>
          </w:p>
        </w:tc>
        <w:tc>
          <w:tcPr>
            <w:tcW w:w="1184" w:type="dxa"/>
            <w:tcBorders>
              <w:top w:val="nil"/>
              <w:left w:val="nil"/>
              <w:bottom w:val="single" w:sz="8" w:space="0" w:color="auto"/>
              <w:right w:val="single" w:sz="8" w:space="0" w:color="auto"/>
            </w:tcBorders>
            <w:shd w:val="clear" w:color="auto" w:fill="auto"/>
            <w:noWrap/>
            <w:vAlign w:val="center"/>
          </w:tcPr>
          <w:p w:rsidR="00003B37" w:rsidRPr="00BA4AD2" w:rsidRDefault="00003B37" w:rsidP="00FC4A2F">
            <w:pPr>
              <w:jc w:val="right"/>
              <w:rPr>
                <w:sz w:val="16"/>
                <w:szCs w:val="16"/>
              </w:rPr>
            </w:pPr>
            <w:r w:rsidRPr="00BA4AD2">
              <w:rPr>
                <w:sz w:val="16"/>
                <w:szCs w:val="16"/>
              </w:rPr>
              <w:t>-1.15%</w:t>
            </w:r>
          </w:p>
        </w:tc>
        <w:tc>
          <w:tcPr>
            <w:tcW w:w="1182" w:type="dxa"/>
            <w:tcBorders>
              <w:top w:val="nil"/>
              <w:left w:val="nil"/>
              <w:bottom w:val="single" w:sz="8" w:space="0" w:color="auto"/>
              <w:right w:val="single" w:sz="8" w:space="0" w:color="auto"/>
            </w:tcBorders>
            <w:shd w:val="clear" w:color="auto" w:fill="auto"/>
            <w:vAlign w:val="center"/>
          </w:tcPr>
          <w:p w:rsidR="00003B37" w:rsidRPr="00BA4AD2" w:rsidRDefault="00003B37" w:rsidP="00FC4A2F">
            <w:pPr>
              <w:jc w:val="right"/>
              <w:rPr>
                <w:sz w:val="16"/>
                <w:szCs w:val="16"/>
              </w:rPr>
            </w:pPr>
            <w:r w:rsidRPr="007722AE">
              <w:rPr>
                <w:sz w:val="16"/>
                <w:szCs w:val="16"/>
              </w:rPr>
              <w:t>15,188</w:t>
            </w:r>
          </w:p>
        </w:tc>
        <w:tc>
          <w:tcPr>
            <w:tcW w:w="1182" w:type="dxa"/>
            <w:tcBorders>
              <w:top w:val="nil"/>
              <w:left w:val="nil"/>
              <w:bottom w:val="single" w:sz="8" w:space="0" w:color="auto"/>
              <w:right w:val="single" w:sz="8" w:space="0" w:color="auto"/>
            </w:tcBorders>
            <w:shd w:val="clear" w:color="auto" w:fill="auto"/>
            <w:vAlign w:val="center"/>
          </w:tcPr>
          <w:p w:rsidR="00003B37" w:rsidRPr="00BA4AD2" w:rsidRDefault="00003B37" w:rsidP="00FC4A2F">
            <w:pPr>
              <w:jc w:val="right"/>
              <w:rPr>
                <w:sz w:val="16"/>
                <w:szCs w:val="16"/>
              </w:rPr>
            </w:pPr>
            <w:r w:rsidRPr="007722AE">
              <w:rPr>
                <w:sz w:val="16"/>
                <w:szCs w:val="16"/>
              </w:rPr>
              <w:t>-175</w:t>
            </w:r>
          </w:p>
        </w:tc>
      </w:tr>
      <w:tr w:rsidR="00003B37" w:rsidRPr="00844BD4" w:rsidTr="00FC4A2F">
        <w:trPr>
          <w:trHeight w:val="315"/>
        </w:trPr>
        <w:tc>
          <w:tcPr>
            <w:tcW w:w="1438" w:type="dxa"/>
            <w:tcBorders>
              <w:top w:val="nil"/>
              <w:left w:val="single" w:sz="8" w:space="0" w:color="auto"/>
              <w:bottom w:val="single" w:sz="8" w:space="0" w:color="auto"/>
              <w:right w:val="single" w:sz="8" w:space="0" w:color="auto"/>
            </w:tcBorders>
            <w:shd w:val="clear" w:color="auto" w:fill="auto"/>
            <w:noWrap/>
            <w:vAlign w:val="bottom"/>
          </w:tcPr>
          <w:p w:rsidR="00003B37" w:rsidRPr="00844BD4" w:rsidRDefault="00003B37" w:rsidP="00FC4A2F">
            <w:pPr>
              <w:rPr>
                <w:sz w:val="16"/>
                <w:szCs w:val="16"/>
              </w:rPr>
            </w:pPr>
            <w:r w:rsidRPr="00844BD4">
              <w:rPr>
                <w:sz w:val="16"/>
                <w:szCs w:val="16"/>
              </w:rPr>
              <w:t>India</w:t>
            </w:r>
          </w:p>
        </w:tc>
        <w:tc>
          <w:tcPr>
            <w:tcW w:w="936" w:type="dxa"/>
            <w:tcBorders>
              <w:top w:val="single" w:sz="8" w:space="0" w:color="auto"/>
              <w:left w:val="nil"/>
              <w:bottom w:val="single" w:sz="8" w:space="0" w:color="auto"/>
              <w:right w:val="single" w:sz="8" w:space="0" w:color="auto"/>
            </w:tcBorders>
            <w:vAlign w:val="center"/>
          </w:tcPr>
          <w:p w:rsidR="00003B37" w:rsidRPr="00BA4AD2" w:rsidRDefault="00003B37" w:rsidP="00FC4A2F">
            <w:pPr>
              <w:jc w:val="right"/>
              <w:rPr>
                <w:sz w:val="16"/>
                <w:szCs w:val="16"/>
              </w:rPr>
            </w:pPr>
            <w:r w:rsidRPr="00BA4AD2">
              <w:rPr>
                <w:sz w:val="16"/>
                <w:szCs w:val="16"/>
              </w:rPr>
              <w:t>35,355</w:t>
            </w:r>
          </w:p>
        </w:tc>
        <w:tc>
          <w:tcPr>
            <w:tcW w:w="876" w:type="dxa"/>
            <w:tcBorders>
              <w:top w:val="nil"/>
              <w:left w:val="single" w:sz="8" w:space="0" w:color="auto"/>
              <w:bottom w:val="single" w:sz="8" w:space="0" w:color="auto"/>
              <w:right w:val="single" w:sz="8" w:space="0" w:color="auto"/>
            </w:tcBorders>
            <w:shd w:val="clear" w:color="auto" w:fill="auto"/>
            <w:noWrap/>
            <w:vAlign w:val="center"/>
          </w:tcPr>
          <w:p w:rsidR="00003B37" w:rsidRPr="00BA4AD2" w:rsidRDefault="00003B37" w:rsidP="00FC4A2F">
            <w:pPr>
              <w:jc w:val="right"/>
              <w:rPr>
                <w:sz w:val="16"/>
                <w:szCs w:val="16"/>
              </w:rPr>
            </w:pPr>
            <w:r w:rsidRPr="00BA4AD2">
              <w:rPr>
                <w:sz w:val="16"/>
                <w:szCs w:val="16"/>
              </w:rPr>
              <w:t>5</w:t>
            </w:r>
          </w:p>
        </w:tc>
        <w:tc>
          <w:tcPr>
            <w:tcW w:w="1067" w:type="dxa"/>
            <w:tcBorders>
              <w:top w:val="nil"/>
              <w:left w:val="nil"/>
              <w:bottom w:val="single" w:sz="8" w:space="0" w:color="auto"/>
              <w:right w:val="single" w:sz="8" w:space="0" w:color="auto"/>
            </w:tcBorders>
            <w:shd w:val="clear" w:color="auto" w:fill="auto"/>
            <w:noWrap/>
            <w:vAlign w:val="center"/>
          </w:tcPr>
          <w:p w:rsidR="00003B37" w:rsidRPr="00BA4AD2" w:rsidRDefault="00003B37" w:rsidP="00FC4A2F">
            <w:pPr>
              <w:jc w:val="right"/>
              <w:rPr>
                <w:sz w:val="16"/>
                <w:szCs w:val="16"/>
              </w:rPr>
            </w:pPr>
            <w:r w:rsidRPr="00BA4AD2">
              <w:rPr>
                <w:sz w:val="16"/>
                <w:szCs w:val="16"/>
              </w:rPr>
              <w:t>2,814,584</w:t>
            </w:r>
          </w:p>
        </w:tc>
        <w:tc>
          <w:tcPr>
            <w:tcW w:w="1184" w:type="dxa"/>
            <w:tcBorders>
              <w:top w:val="nil"/>
              <w:left w:val="nil"/>
              <w:bottom w:val="single" w:sz="8" w:space="0" w:color="auto"/>
              <w:right w:val="single" w:sz="8" w:space="0" w:color="auto"/>
            </w:tcBorders>
            <w:shd w:val="clear" w:color="auto" w:fill="auto"/>
            <w:noWrap/>
            <w:vAlign w:val="center"/>
          </w:tcPr>
          <w:p w:rsidR="00003B37" w:rsidRPr="00BA4AD2" w:rsidRDefault="00003B37" w:rsidP="00FC4A2F">
            <w:pPr>
              <w:jc w:val="right"/>
              <w:rPr>
                <w:sz w:val="16"/>
                <w:szCs w:val="16"/>
              </w:rPr>
            </w:pPr>
            <w:r w:rsidRPr="00BA4AD2">
              <w:rPr>
                <w:sz w:val="16"/>
                <w:szCs w:val="16"/>
              </w:rPr>
              <w:t>-1.26%</w:t>
            </w:r>
          </w:p>
        </w:tc>
        <w:tc>
          <w:tcPr>
            <w:tcW w:w="1182" w:type="dxa"/>
            <w:tcBorders>
              <w:top w:val="nil"/>
              <w:left w:val="nil"/>
              <w:bottom w:val="single" w:sz="8" w:space="0" w:color="auto"/>
              <w:right w:val="single" w:sz="8" w:space="0" w:color="auto"/>
            </w:tcBorders>
            <w:shd w:val="clear" w:color="auto" w:fill="auto"/>
            <w:vAlign w:val="center"/>
          </w:tcPr>
          <w:p w:rsidR="00003B37" w:rsidRPr="00BA4AD2" w:rsidRDefault="00003B37" w:rsidP="00FC4A2F">
            <w:pPr>
              <w:jc w:val="right"/>
              <w:rPr>
                <w:sz w:val="16"/>
                <w:szCs w:val="16"/>
              </w:rPr>
            </w:pPr>
            <w:r w:rsidRPr="007722AE">
              <w:rPr>
                <w:sz w:val="16"/>
                <w:szCs w:val="16"/>
              </w:rPr>
              <w:t>101,404</w:t>
            </w:r>
          </w:p>
        </w:tc>
        <w:tc>
          <w:tcPr>
            <w:tcW w:w="1182" w:type="dxa"/>
            <w:tcBorders>
              <w:top w:val="nil"/>
              <w:left w:val="nil"/>
              <w:bottom w:val="single" w:sz="8" w:space="0" w:color="auto"/>
              <w:right w:val="single" w:sz="8" w:space="0" w:color="auto"/>
            </w:tcBorders>
            <w:shd w:val="clear" w:color="auto" w:fill="auto"/>
            <w:vAlign w:val="center"/>
          </w:tcPr>
          <w:p w:rsidR="00003B37" w:rsidRPr="00BA4AD2" w:rsidRDefault="00003B37" w:rsidP="00FC4A2F">
            <w:pPr>
              <w:jc w:val="right"/>
              <w:rPr>
                <w:sz w:val="16"/>
                <w:szCs w:val="16"/>
              </w:rPr>
            </w:pPr>
            <w:r w:rsidRPr="007722AE">
              <w:rPr>
                <w:sz w:val="16"/>
                <w:szCs w:val="16"/>
              </w:rPr>
              <w:t>-1,278</w:t>
            </w:r>
          </w:p>
        </w:tc>
      </w:tr>
      <w:tr w:rsidR="00003B37" w:rsidRPr="00844BD4" w:rsidTr="00FC4A2F">
        <w:trPr>
          <w:trHeight w:val="315"/>
        </w:trPr>
        <w:tc>
          <w:tcPr>
            <w:tcW w:w="1438" w:type="dxa"/>
            <w:tcBorders>
              <w:top w:val="nil"/>
              <w:left w:val="single" w:sz="8" w:space="0" w:color="auto"/>
              <w:bottom w:val="single" w:sz="8" w:space="0" w:color="auto"/>
              <w:right w:val="single" w:sz="8" w:space="0" w:color="auto"/>
            </w:tcBorders>
            <w:shd w:val="clear" w:color="auto" w:fill="auto"/>
            <w:noWrap/>
            <w:vAlign w:val="bottom"/>
          </w:tcPr>
          <w:p w:rsidR="00003B37" w:rsidRPr="00844BD4" w:rsidRDefault="00003B37" w:rsidP="00FC4A2F">
            <w:pPr>
              <w:rPr>
                <w:sz w:val="16"/>
                <w:szCs w:val="16"/>
              </w:rPr>
            </w:pPr>
            <w:r w:rsidRPr="00844BD4">
              <w:rPr>
                <w:sz w:val="16"/>
                <w:szCs w:val="16"/>
              </w:rPr>
              <w:t>Indonesia</w:t>
            </w:r>
          </w:p>
        </w:tc>
        <w:tc>
          <w:tcPr>
            <w:tcW w:w="936" w:type="dxa"/>
            <w:tcBorders>
              <w:top w:val="single" w:sz="8" w:space="0" w:color="auto"/>
              <w:left w:val="nil"/>
              <w:bottom w:val="single" w:sz="8" w:space="0" w:color="auto"/>
              <w:right w:val="single" w:sz="8" w:space="0" w:color="auto"/>
            </w:tcBorders>
            <w:vAlign w:val="center"/>
          </w:tcPr>
          <w:p w:rsidR="00003B37" w:rsidRPr="00BA4AD2" w:rsidRDefault="00003B37" w:rsidP="00FC4A2F">
            <w:pPr>
              <w:jc w:val="right"/>
              <w:rPr>
                <w:sz w:val="16"/>
                <w:szCs w:val="16"/>
              </w:rPr>
            </w:pPr>
            <w:r w:rsidRPr="00BA4AD2">
              <w:rPr>
                <w:sz w:val="16"/>
                <w:szCs w:val="16"/>
              </w:rPr>
              <w:t>42,306</w:t>
            </w:r>
          </w:p>
        </w:tc>
        <w:tc>
          <w:tcPr>
            <w:tcW w:w="876" w:type="dxa"/>
            <w:tcBorders>
              <w:top w:val="nil"/>
              <w:left w:val="single" w:sz="8" w:space="0" w:color="auto"/>
              <w:bottom w:val="single" w:sz="8" w:space="0" w:color="auto"/>
              <w:right w:val="single" w:sz="8" w:space="0" w:color="auto"/>
            </w:tcBorders>
            <w:shd w:val="clear" w:color="auto" w:fill="auto"/>
            <w:noWrap/>
            <w:vAlign w:val="center"/>
          </w:tcPr>
          <w:p w:rsidR="00003B37" w:rsidRPr="00BA4AD2" w:rsidRDefault="00003B37" w:rsidP="00FC4A2F">
            <w:pPr>
              <w:jc w:val="right"/>
              <w:rPr>
                <w:sz w:val="16"/>
                <w:szCs w:val="16"/>
              </w:rPr>
            </w:pPr>
            <w:r w:rsidRPr="00BA4AD2">
              <w:rPr>
                <w:sz w:val="16"/>
                <w:szCs w:val="16"/>
              </w:rPr>
              <w:t>3</w:t>
            </w:r>
          </w:p>
        </w:tc>
        <w:tc>
          <w:tcPr>
            <w:tcW w:w="1067" w:type="dxa"/>
            <w:tcBorders>
              <w:top w:val="nil"/>
              <w:left w:val="nil"/>
              <w:bottom w:val="single" w:sz="8" w:space="0" w:color="auto"/>
              <w:right w:val="single" w:sz="8" w:space="0" w:color="auto"/>
            </w:tcBorders>
            <w:shd w:val="clear" w:color="auto" w:fill="auto"/>
            <w:noWrap/>
            <w:vAlign w:val="center"/>
          </w:tcPr>
          <w:p w:rsidR="00003B37" w:rsidRPr="00BA4AD2" w:rsidRDefault="00003B37" w:rsidP="00FC4A2F">
            <w:pPr>
              <w:jc w:val="right"/>
              <w:rPr>
                <w:sz w:val="16"/>
                <w:szCs w:val="16"/>
              </w:rPr>
            </w:pPr>
            <w:r w:rsidRPr="00BA4AD2">
              <w:rPr>
                <w:sz w:val="16"/>
                <w:szCs w:val="16"/>
              </w:rPr>
              <w:t>496,524</w:t>
            </w:r>
          </w:p>
        </w:tc>
        <w:tc>
          <w:tcPr>
            <w:tcW w:w="1184" w:type="dxa"/>
            <w:tcBorders>
              <w:top w:val="nil"/>
              <w:left w:val="nil"/>
              <w:bottom w:val="single" w:sz="8" w:space="0" w:color="auto"/>
              <w:right w:val="single" w:sz="8" w:space="0" w:color="auto"/>
            </w:tcBorders>
            <w:shd w:val="clear" w:color="auto" w:fill="auto"/>
            <w:noWrap/>
            <w:vAlign w:val="center"/>
          </w:tcPr>
          <w:p w:rsidR="00003B37" w:rsidRPr="00BA4AD2" w:rsidRDefault="00003B37" w:rsidP="00FC4A2F">
            <w:pPr>
              <w:jc w:val="right"/>
              <w:rPr>
                <w:sz w:val="16"/>
                <w:szCs w:val="16"/>
              </w:rPr>
            </w:pPr>
            <w:r w:rsidRPr="00BA4AD2">
              <w:rPr>
                <w:sz w:val="16"/>
                <w:szCs w:val="16"/>
              </w:rPr>
              <w:t>-8.52%</w:t>
            </w:r>
          </w:p>
        </w:tc>
        <w:tc>
          <w:tcPr>
            <w:tcW w:w="1182" w:type="dxa"/>
            <w:tcBorders>
              <w:top w:val="nil"/>
              <w:left w:val="nil"/>
              <w:bottom w:val="single" w:sz="8" w:space="0" w:color="auto"/>
              <w:right w:val="single" w:sz="8" w:space="0" w:color="auto"/>
            </w:tcBorders>
            <w:shd w:val="clear" w:color="auto" w:fill="auto"/>
            <w:vAlign w:val="center"/>
          </w:tcPr>
          <w:p w:rsidR="00003B37" w:rsidRPr="00BA4AD2" w:rsidRDefault="00003B37" w:rsidP="00FC4A2F">
            <w:pPr>
              <w:jc w:val="right"/>
              <w:rPr>
                <w:sz w:val="16"/>
                <w:szCs w:val="16"/>
              </w:rPr>
            </w:pPr>
            <w:r w:rsidRPr="007722AE">
              <w:rPr>
                <w:sz w:val="16"/>
                <w:szCs w:val="16"/>
              </w:rPr>
              <w:t>50,953</w:t>
            </w:r>
          </w:p>
        </w:tc>
        <w:tc>
          <w:tcPr>
            <w:tcW w:w="1182" w:type="dxa"/>
            <w:tcBorders>
              <w:top w:val="nil"/>
              <w:left w:val="nil"/>
              <w:bottom w:val="single" w:sz="8" w:space="0" w:color="auto"/>
              <w:right w:val="single" w:sz="8" w:space="0" w:color="auto"/>
            </w:tcBorders>
            <w:shd w:val="clear" w:color="auto" w:fill="auto"/>
            <w:vAlign w:val="center"/>
          </w:tcPr>
          <w:p w:rsidR="00003B37" w:rsidRPr="00BA4AD2" w:rsidRDefault="00003B37" w:rsidP="00FC4A2F">
            <w:pPr>
              <w:jc w:val="right"/>
              <w:rPr>
                <w:sz w:val="16"/>
                <w:szCs w:val="16"/>
              </w:rPr>
            </w:pPr>
            <w:r w:rsidRPr="007722AE">
              <w:rPr>
                <w:sz w:val="16"/>
                <w:szCs w:val="16"/>
              </w:rPr>
              <w:t>-4,341</w:t>
            </w:r>
          </w:p>
        </w:tc>
      </w:tr>
      <w:tr w:rsidR="00003B37" w:rsidRPr="00844BD4" w:rsidTr="00FC4A2F">
        <w:trPr>
          <w:trHeight w:val="315"/>
        </w:trPr>
        <w:tc>
          <w:tcPr>
            <w:tcW w:w="1438" w:type="dxa"/>
            <w:tcBorders>
              <w:top w:val="nil"/>
              <w:left w:val="single" w:sz="8" w:space="0" w:color="auto"/>
              <w:bottom w:val="single" w:sz="8" w:space="0" w:color="auto"/>
              <w:right w:val="single" w:sz="8" w:space="0" w:color="auto"/>
            </w:tcBorders>
            <w:shd w:val="clear" w:color="auto" w:fill="auto"/>
            <w:noWrap/>
            <w:vAlign w:val="bottom"/>
          </w:tcPr>
          <w:p w:rsidR="00003B37" w:rsidRPr="00844BD4" w:rsidRDefault="00003B37" w:rsidP="00FC4A2F">
            <w:pPr>
              <w:rPr>
                <w:sz w:val="16"/>
                <w:szCs w:val="16"/>
              </w:rPr>
            </w:pPr>
            <w:r w:rsidRPr="00844BD4">
              <w:rPr>
                <w:sz w:val="16"/>
                <w:szCs w:val="16"/>
              </w:rPr>
              <w:t>Japan</w:t>
            </w:r>
          </w:p>
        </w:tc>
        <w:tc>
          <w:tcPr>
            <w:tcW w:w="936" w:type="dxa"/>
            <w:tcBorders>
              <w:top w:val="single" w:sz="8" w:space="0" w:color="auto"/>
              <w:left w:val="nil"/>
              <w:bottom w:val="single" w:sz="8" w:space="0" w:color="auto"/>
              <w:right w:val="single" w:sz="8" w:space="0" w:color="auto"/>
            </w:tcBorders>
            <w:vAlign w:val="center"/>
          </w:tcPr>
          <w:p w:rsidR="00003B37" w:rsidRPr="00BA4AD2" w:rsidRDefault="00003B37" w:rsidP="00FC4A2F">
            <w:pPr>
              <w:jc w:val="right"/>
              <w:rPr>
                <w:sz w:val="16"/>
                <w:szCs w:val="16"/>
              </w:rPr>
            </w:pPr>
            <w:r w:rsidRPr="00BA4AD2">
              <w:rPr>
                <w:sz w:val="16"/>
                <w:szCs w:val="16"/>
              </w:rPr>
              <w:t>1,716,000</w:t>
            </w:r>
          </w:p>
        </w:tc>
        <w:tc>
          <w:tcPr>
            <w:tcW w:w="876" w:type="dxa"/>
            <w:tcBorders>
              <w:top w:val="nil"/>
              <w:left w:val="single" w:sz="8" w:space="0" w:color="auto"/>
              <w:bottom w:val="single" w:sz="8" w:space="0" w:color="auto"/>
              <w:right w:val="single" w:sz="8" w:space="0" w:color="auto"/>
            </w:tcBorders>
            <w:shd w:val="clear" w:color="auto" w:fill="auto"/>
            <w:noWrap/>
            <w:vAlign w:val="center"/>
          </w:tcPr>
          <w:p w:rsidR="00003B37" w:rsidRPr="00BA4AD2" w:rsidRDefault="00003B37" w:rsidP="00FC4A2F">
            <w:pPr>
              <w:jc w:val="right"/>
              <w:rPr>
                <w:sz w:val="16"/>
                <w:szCs w:val="16"/>
              </w:rPr>
            </w:pPr>
            <w:r w:rsidRPr="00BA4AD2">
              <w:rPr>
                <w:sz w:val="16"/>
                <w:szCs w:val="16"/>
              </w:rPr>
              <w:t>41</w:t>
            </w:r>
          </w:p>
        </w:tc>
        <w:tc>
          <w:tcPr>
            <w:tcW w:w="1067" w:type="dxa"/>
            <w:tcBorders>
              <w:top w:val="nil"/>
              <w:left w:val="nil"/>
              <w:bottom w:val="single" w:sz="8" w:space="0" w:color="auto"/>
              <w:right w:val="single" w:sz="8" w:space="0" w:color="auto"/>
            </w:tcBorders>
            <w:shd w:val="clear" w:color="auto" w:fill="auto"/>
            <w:noWrap/>
            <w:vAlign w:val="center"/>
          </w:tcPr>
          <w:p w:rsidR="00003B37" w:rsidRPr="00BA4AD2" w:rsidRDefault="00003B37" w:rsidP="00FC4A2F">
            <w:pPr>
              <w:jc w:val="right"/>
              <w:rPr>
                <w:sz w:val="16"/>
                <w:szCs w:val="16"/>
              </w:rPr>
            </w:pPr>
            <w:r w:rsidRPr="00BA4AD2">
              <w:rPr>
                <w:sz w:val="16"/>
                <w:szCs w:val="16"/>
              </w:rPr>
              <w:t>8,307,382</w:t>
            </w:r>
          </w:p>
        </w:tc>
        <w:tc>
          <w:tcPr>
            <w:tcW w:w="1184" w:type="dxa"/>
            <w:tcBorders>
              <w:top w:val="nil"/>
              <w:left w:val="nil"/>
              <w:bottom w:val="single" w:sz="8" w:space="0" w:color="auto"/>
              <w:right w:val="single" w:sz="8" w:space="0" w:color="auto"/>
            </w:tcBorders>
            <w:shd w:val="clear" w:color="auto" w:fill="auto"/>
            <w:noWrap/>
            <w:vAlign w:val="center"/>
          </w:tcPr>
          <w:p w:rsidR="00003B37" w:rsidRPr="00BA4AD2" w:rsidRDefault="00003B37" w:rsidP="00FC4A2F">
            <w:pPr>
              <w:jc w:val="right"/>
              <w:rPr>
                <w:sz w:val="16"/>
                <w:szCs w:val="16"/>
              </w:rPr>
            </w:pPr>
            <w:r w:rsidRPr="00BA4AD2">
              <w:rPr>
                <w:sz w:val="16"/>
                <w:szCs w:val="16"/>
              </w:rPr>
              <w:t>-20.66%</w:t>
            </w:r>
          </w:p>
        </w:tc>
        <w:tc>
          <w:tcPr>
            <w:tcW w:w="1182" w:type="dxa"/>
            <w:tcBorders>
              <w:top w:val="nil"/>
              <w:left w:val="nil"/>
              <w:bottom w:val="single" w:sz="8" w:space="0" w:color="auto"/>
              <w:right w:val="single" w:sz="8" w:space="0" w:color="auto"/>
            </w:tcBorders>
            <w:shd w:val="clear" w:color="auto" w:fill="auto"/>
            <w:vAlign w:val="center"/>
          </w:tcPr>
          <w:p w:rsidR="00003B37" w:rsidRPr="00BA4AD2" w:rsidRDefault="00003B37" w:rsidP="00FC4A2F">
            <w:pPr>
              <w:jc w:val="right"/>
              <w:rPr>
                <w:sz w:val="16"/>
                <w:szCs w:val="16"/>
              </w:rPr>
            </w:pPr>
            <w:r w:rsidRPr="007722AE">
              <w:rPr>
                <w:sz w:val="16"/>
                <w:szCs w:val="16"/>
              </w:rPr>
              <w:t>507,684</w:t>
            </w:r>
          </w:p>
        </w:tc>
        <w:tc>
          <w:tcPr>
            <w:tcW w:w="1182" w:type="dxa"/>
            <w:tcBorders>
              <w:top w:val="nil"/>
              <w:left w:val="nil"/>
              <w:bottom w:val="single" w:sz="8" w:space="0" w:color="auto"/>
              <w:right w:val="single" w:sz="8" w:space="0" w:color="auto"/>
            </w:tcBorders>
            <w:shd w:val="clear" w:color="auto" w:fill="auto"/>
            <w:vAlign w:val="center"/>
          </w:tcPr>
          <w:p w:rsidR="00003B37" w:rsidRPr="00BA4AD2" w:rsidRDefault="00003B37" w:rsidP="00FC4A2F">
            <w:pPr>
              <w:jc w:val="right"/>
              <w:rPr>
                <w:sz w:val="16"/>
                <w:szCs w:val="16"/>
              </w:rPr>
            </w:pPr>
            <w:r w:rsidRPr="007722AE">
              <w:rPr>
                <w:sz w:val="16"/>
                <w:szCs w:val="16"/>
              </w:rPr>
              <w:t>-104,887</w:t>
            </w:r>
          </w:p>
        </w:tc>
      </w:tr>
      <w:tr w:rsidR="00003B37" w:rsidRPr="00844BD4" w:rsidTr="00FC4A2F">
        <w:trPr>
          <w:trHeight w:val="315"/>
        </w:trPr>
        <w:tc>
          <w:tcPr>
            <w:tcW w:w="1438" w:type="dxa"/>
            <w:tcBorders>
              <w:top w:val="nil"/>
              <w:left w:val="single" w:sz="8" w:space="0" w:color="auto"/>
              <w:bottom w:val="single" w:sz="8" w:space="0" w:color="auto"/>
              <w:right w:val="single" w:sz="8" w:space="0" w:color="auto"/>
            </w:tcBorders>
            <w:shd w:val="clear" w:color="auto" w:fill="auto"/>
            <w:noWrap/>
            <w:vAlign w:val="bottom"/>
          </w:tcPr>
          <w:p w:rsidR="00003B37" w:rsidRPr="00844BD4" w:rsidRDefault="00003B37" w:rsidP="00FC4A2F">
            <w:pPr>
              <w:rPr>
                <w:sz w:val="16"/>
                <w:szCs w:val="16"/>
              </w:rPr>
            </w:pPr>
            <w:r w:rsidRPr="00844BD4">
              <w:rPr>
                <w:sz w:val="16"/>
                <w:szCs w:val="16"/>
              </w:rPr>
              <w:t>Mexico</w:t>
            </w:r>
          </w:p>
        </w:tc>
        <w:tc>
          <w:tcPr>
            <w:tcW w:w="936" w:type="dxa"/>
            <w:tcBorders>
              <w:top w:val="single" w:sz="8" w:space="0" w:color="auto"/>
              <w:left w:val="nil"/>
              <w:bottom w:val="single" w:sz="8" w:space="0" w:color="auto"/>
              <w:right w:val="single" w:sz="8" w:space="0" w:color="auto"/>
            </w:tcBorders>
            <w:vAlign w:val="center"/>
          </w:tcPr>
          <w:p w:rsidR="00003B37" w:rsidRPr="00BA4AD2" w:rsidRDefault="00003B37" w:rsidP="00FC4A2F">
            <w:pPr>
              <w:jc w:val="right"/>
              <w:rPr>
                <w:sz w:val="16"/>
                <w:szCs w:val="16"/>
              </w:rPr>
            </w:pPr>
            <w:r w:rsidRPr="00BA4AD2">
              <w:rPr>
                <w:sz w:val="16"/>
                <w:szCs w:val="16"/>
              </w:rPr>
              <w:t>24,478</w:t>
            </w:r>
          </w:p>
        </w:tc>
        <w:tc>
          <w:tcPr>
            <w:tcW w:w="876" w:type="dxa"/>
            <w:tcBorders>
              <w:top w:val="nil"/>
              <w:left w:val="single" w:sz="8" w:space="0" w:color="auto"/>
              <w:bottom w:val="single" w:sz="8" w:space="0" w:color="auto"/>
              <w:right w:val="single" w:sz="8" w:space="0" w:color="auto"/>
            </w:tcBorders>
            <w:shd w:val="clear" w:color="auto" w:fill="auto"/>
            <w:noWrap/>
            <w:vAlign w:val="center"/>
          </w:tcPr>
          <w:p w:rsidR="00003B37" w:rsidRPr="00BA4AD2" w:rsidRDefault="00003B37" w:rsidP="00FC4A2F">
            <w:pPr>
              <w:jc w:val="right"/>
              <w:rPr>
                <w:sz w:val="16"/>
                <w:szCs w:val="16"/>
              </w:rPr>
            </w:pPr>
            <w:r w:rsidRPr="00BA4AD2">
              <w:rPr>
                <w:sz w:val="16"/>
                <w:szCs w:val="16"/>
              </w:rPr>
              <w:t>1</w:t>
            </w:r>
          </w:p>
        </w:tc>
        <w:tc>
          <w:tcPr>
            <w:tcW w:w="1067" w:type="dxa"/>
            <w:tcBorders>
              <w:top w:val="nil"/>
              <w:left w:val="nil"/>
              <w:bottom w:val="single" w:sz="8" w:space="0" w:color="auto"/>
              <w:right w:val="single" w:sz="8" w:space="0" w:color="auto"/>
            </w:tcBorders>
            <w:shd w:val="clear" w:color="auto" w:fill="auto"/>
            <w:noWrap/>
            <w:vAlign w:val="center"/>
          </w:tcPr>
          <w:p w:rsidR="00003B37" w:rsidRPr="00BA4AD2" w:rsidRDefault="00003B37" w:rsidP="00FC4A2F">
            <w:pPr>
              <w:jc w:val="right"/>
              <w:rPr>
                <w:sz w:val="16"/>
                <w:szCs w:val="16"/>
              </w:rPr>
            </w:pPr>
            <w:r w:rsidRPr="00BA4AD2">
              <w:rPr>
                <w:sz w:val="16"/>
                <w:szCs w:val="16"/>
              </w:rPr>
              <w:t>1,390,163</w:t>
            </w:r>
          </w:p>
        </w:tc>
        <w:tc>
          <w:tcPr>
            <w:tcW w:w="1184" w:type="dxa"/>
            <w:tcBorders>
              <w:top w:val="nil"/>
              <w:left w:val="nil"/>
              <w:bottom w:val="single" w:sz="8" w:space="0" w:color="auto"/>
              <w:right w:val="single" w:sz="8" w:space="0" w:color="auto"/>
            </w:tcBorders>
            <w:shd w:val="clear" w:color="auto" w:fill="auto"/>
            <w:noWrap/>
            <w:vAlign w:val="center"/>
          </w:tcPr>
          <w:p w:rsidR="00003B37" w:rsidRPr="00BA4AD2" w:rsidRDefault="00003B37" w:rsidP="00FC4A2F">
            <w:pPr>
              <w:jc w:val="right"/>
              <w:rPr>
                <w:sz w:val="16"/>
                <w:szCs w:val="16"/>
              </w:rPr>
            </w:pPr>
            <w:r w:rsidRPr="00BA4AD2">
              <w:rPr>
                <w:sz w:val="16"/>
                <w:szCs w:val="16"/>
              </w:rPr>
              <w:t>-1.76%</w:t>
            </w:r>
          </w:p>
        </w:tc>
        <w:tc>
          <w:tcPr>
            <w:tcW w:w="1182" w:type="dxa"/>
            <w:tcBorders>
              <w:top w:val="nil"/>
              <w:left w:val="nil"/>
              <w:bottom w:val="single" w:sz="8" w:space="0" w:color="auto"/>
              <w:right w:val="single" w:sz="8" w:space="0" w:color="auto"/>
            </w:tcBorders>
            <w:shd w:val="clear" w:color="auto" w:fill="auto"/>
            <w:vAlign w:val="center"/>
          </w:tcPr>
          <w:p w:rsidR="00003B37" w:rsidRPr="00BA4AD2" w:rsidRDefault="00003B37" w:rsidP="00FC4A2F">
            <w:pPr>
              <w:jc w:val="right"/>
              <w:rPr>
                <w:sz w:val="16"/>
                <w:szCs w:val="16"/>
              </w:rPr>
            </w:pPr>
            <w:r w:rsidRPr="007722AE">
              <w:rPr>
                <w:sz w:val="16"/>
                <w:szCs w:val="16"/>
              </w:rPr>
              <w:t>90,241</w:t>
            </w:r>
          </w:p>
        </w:tc>
        <w:tc>
          <w:tcPr>
            <w:tcW w:w="1182" w:type="dxa"/>
            <w:tcBorders>
              <w:top w:val="nil"/>
              <w:left w:val="nil"/>
              <w:bottom w:val="single" w:sz="8" w:space="0" w:color="auto"/>
              <w:right w:val="single" w:sz="8" w:space="0" w:color="auto"/>
            </w:tcBorders>
            <w:shd w:val="clear" w:color="auto" w:fill="auto"/>
            <w:vAlign w:val="center"/>
          </w:tcPr>
          <w:p w:rsidR="00003B37" w:rsidRPr="00BA4AD2" w:rsidRDefault="00003B37" w:rsidP="00FC4A2F">
            <w:pPr>
              <w:jc w:val="right"/>
              <w:rPr>
                <w:sz w:val="16"/>
                <w:szCs w:val="16"/>
              </w:rPr>
            </w:pPr>
            <w:r w:rsidRPr="007722AE">
              <w:rPr>
                <w:sz w:val="16"/>
                <w:szCs w:val="16"/>
              </w:rPr>
              <w:t>-1,588</w:t>
            </w:r>
          </w:p>
        </w:tc>
      </w:tr>
      <w:tr w:rsidR="00003B37" w:rsidRPr="00844BD4" w:rsidTr="00FC4A2F">
        <w:trPr>
          <w:trHeight w:val="315"/>
        </w:trPr>
        <w:tc>
          <w:tcPr>
            <w:tcW w:w="1438" w:type="dxa"/>
            <w:tcBorders>
              <w:top w:val="nil"/>
              <w:left w:val="single" w:sz="8" w:space="0" w:color="auto"/>
              <w:bottom w:val="single" w:sz="8" w:space="0" w:color="auto"/>
              <w:right w:val="single" w:sz="8" w:space="0" w:color="auto"/>
            </w:tcBorders>
            <w:shd w:val="clear" w:color="auto" w:fill="auto"/>
            <w:noWrap/>
            <w:vAlign w:val="bottom"/>
          </w:tcPr>
          <w:p w:rsidR="00003B37" w:rsidRPr="00844BD4" w:rsidRDefault="00003B37" w:rsidP="00FC4A2F">
            <w:pPr>
              <w:rPr>
                <w:sz w:val="16"/>
                <w:szCs w:val="16"/>
              </w:rPr>
            </w:pPr>
            <w:r w:rsidRPr="00844BD4">
              <w:rPr>
                <w:sz w:val="16"/>
                <w:szCs w:val="16"/>
              </w:rPr>
              <w:t>Russia</w:t>
            </w:r>
          </w:p>
        </w:tc>
        <w:tc>
          <w:tcPr>
            <w:tcW w:w="936" w:type="dxa"/>
            <w:tcBorders>
              <w:top w:val="single" w:sz="8" w:space="0" w:color="auto"/>
              <w:left w:val="nil"/>
              <w:bottom w:val="single" w:sz="8" w:space="0" w:color="auto"/>
              <w:right w:val="single" w:sz="8" w:space="0" w:color="auto"/>
            </w:tcBorders>
            <w:vAlign w:val="center"/>
          </w:tcPr>
          <w:p w:rsidR="00003B37" w:rsidRPr="00BA4AD2" w:rsidRDefault="00003B37" w:rsidP="00FC4A2F">
            <w:pPr>
              <w:jc w:val="right"/>
              <w:rPr>
                <w:sz w:val="16"/>
                <w:szCs w:val="16"/>
              </w:rPr>
            </w:pPr>
            <w:r w:rsidRPr="00BA4AD2">
              <w:rPr>
                <w:sz w:val="16"/>
                <w:szCs w:val="16"/>
              </w:rPr>
              <w:t>2,765</w:t>
            </w:r>
          </w:p>
        </w:tc>
        <w:tc>
          <w:tcPr>
            <w:tcW w:w="876" w:type="dxa"/>
            <w:tcBorders>
              <w:top w:val="nil"/>
              <w:left w:val="single" w:sz="8" w:space="0" w:color="auto"/>
              <w:bottom w:val="single" w:sz="8" w:space="0" w:color="auto"/>
              <w:right w:val="single" w:sz="8" w:space="0" w:color="auto"/>
            </w:tcBorders>
            <w:shd w:val="clear" w:color="auto" w:fill="auto"/>
            <w:noWrap/>
            <w:vAlign w:val="center"/>
          </w:tcPr>
          <w:p w:rsidR="00003B37" w:rsidRPr="00BA4AD2" w:rsidRDefault="00003B37" w:rsidP="00FC4A2F">
            <w:pPr>
              <w:jc w:val="right"/>
              <w:rPr>
                <w:sz w:val="16"/>
                <w:szCs w:val="16"/>
              </w:rPr>
            </w:pPr>
            <w:r w:rsidRPr="00BA4AD2">
              <w:rPr>
                <w:sz w:val="16"/>
                <w:szCs w:val="16"/>
              </w:rPr>
              <w:t>1</w:t>
            </w:r>
          </w:p>
        </w:tc>
        <w:tc>
          <w:tcPr>
            <w:tcW w:w="1067" w:type="dxa"/>
            <w:tcBorders>
              <w:top w:val="nil"/>
              <w:left w:val="nil"/>
              <w:bottom w:val="single" w:sz="8" w:space="0" w:color="auto"/>
              <w:right w:val="single" w:sz="8" w:space="0" w:color="auto"/>
            </w:tcBorders>
            <w:shd w:val="clear" w:color="auto" w:fill="auto"/>
            <w:noWrap/>
            <w:vAlign w:val="center"/>
          </w:tcPr>
          <w:p w:rsidR="00003B37" w:rsidRPr="00BA4AD2" w:rsidRDefault="00003B37" w:rsidP="00FC4A2F">
            <w:pPr>
              <w:jc w:val="right"/>
              <w:rPr>
                <w:sz w:val="16"/>
                <w:szCs w:val="16"/>
              </w:rPr>
            </w:pPr>
            <w:r w:rsidRPr="00BA4AD2">
              <w:rPr>
                <w:sz w:val="16"/>
                <w:szCs w:val="16"/>
              </w:rPr>
              <w:t>1,208,362</w:t>
            </w:r>
          </w:p>
        </w:tc>
        <w:tc>
          <w:tcPr>
            <w:tcW w:w="1184" w:type="dxa"/>
            <w:tcBorders>
              <w:top w:val="nil"/>
              <w:left w:val="nil"/>
              <w:bottom w:val="single" w:sz="8" w:space="0" w:color="auto"/>
              <w:right w:val="single" w:sz="8" w:space="0" w:color="auto"/>
            </w:tcBorders>
            <w:shd w:val="clear" w:color="auto" w:fill="auto"/>
            <w:noWrap/>
            <w:vAlign w:val="center"/>
          </w:tcPr>
          <w:p w:rsidR="00003B37" w:rsidRPr="00BA4AD2" w:rsidRDefault="00003B37" w:rsidP="00FC4A2F">
            <w:pPr>
              <w:jc w:val="right"/>
              <w:rPr>
                <w:sz w:val="16"/>
                <w:szCs w:val="16"/>
              </w:rPr>
            </w:pPr>
            <w:r w:rsidRPr="00BA4AD2">
              <w:rPr>
                <w:sz w:val="16"/>
                <w:szCs w:val="16"/>
              </w:rPr>
              <w:t>-0.23%</w:t>
            </w:r>
          </w:p>
        </w:tc>
        <w:tc>
          <w:tcPr>
            <w:tcW w:w="1182" w:type="dxa"/>
            <w:tcBorders>
              <w:top w:val="nil"/>
              <w:left w:val="nil"/>
              <w:bottom w:val="single" w:sz="8" w:space="0" w:color="auto"/>
              <w:right w:val="single" w:sz="8" w:space="0" w:color="auto"/>
            </w:tcBorders>
            <w:shd w:val="clear" w:color="auto" w:fill="auto"/>
            <w:vAlign w:val="center"/>
          </w:tcPr>
          <w:p w:rsidR="00003B37" w:rsidRPr="00BA4AD2" w:rsidRDefault="00003B37" w:rsidP="00FC4A2F">
            <w:pPr>
              <w:jc w:val="right"/>
              <w:rPr>
                <w:sz w:val="16"/>
                <w:szCs w:val="16"/>
              </w:rPr>
            </w:pPr>
            <w:r w:rsidRPr="007722AE">
              <w:rPr>
                <w:sz w:val="16"/>
                <w:szCs w:val="16"/>
              </w:rPr>
              <w:t>58,203</w:t>
            </w:r>
          </w:p>
        </w:tc>
        <w:tc>
          <w:tcPr>
            <w:tcW w:w="1182" w:type="dxa"/>
            <w:tcBorders>
              <w:top w:val="nil"/>
              <w:left w:val="nil"/>
              <w:bottom w:val="single" w:sz="8" w:space="0" w:color="auto"/>
              <w:right w:val="single" w:sz="8" w:space="0" w:color="auto"/>
            </w:tcBorders>
            <w:shd w:val="clear" w:color="auto" w:fill="auto"/>
            <w:vAlign w:val="center"/>
          </w:tcPr>
          <w:p w:rsidR="00003B37" w:rsidRPr="00BA4AD2" w:rsidRDefault="00003B37" w:rsidP="00FC4A2F">
            <w:pPr>
              <w:jc w:val="right"/>
              <w:rPr>
                <w:sz w:val="16"/>
                <w:szCs w:val="16"/>
              </w:rPr>
            </w:pPr>
            <w:r w:rsidRPr="007722AE">
              <w:rPr>
                <w:sz w:val="16"/>
                <w:szCs w:val="16"/>
              </w:rPr>
              <w:t>-134</w:t>
            </w:r>
          </w:p>
        </w:tc>
      </w:tr>
      <w:tr w:rsidR="00003B37" w:rsidRPr="00844BD4" w:rsidTr="00FC4A2F">
        <w:trPr>
          <w:trHeight w:val="315"/>
        </w:trPr>
        <w:tc>
          <w:tcPr>
            <w:tcW w:w="1438" w:type="dxa"/>
            <w:tcBorders>
              <w:top w:val="nil"/>
              <w:left w:val="single" w:sz="8" w:space="0" w:color="auto"/>
              <w:bottom w:val="single" w:sz="8" w:space="0" w:color="auto"/>
              <w:right w:val="single" w:sz="8" w:space="0" w:color="auto"/>
            </w:tcBorders>
            <w:shd w:val="clear" w:color="auto" w:fill="auto"/>
            <w:noWrap/>
            <w:vAlign w:val="bottom"/>
          </w:tcPr>
          <w:p w:rsidR="00003B37" w:rsidRPr="00844BD4" w:rsidRDefault="00003B37" w:rsidP="00FC4A2F">
            <w:pPr>
              <w:rPr>
                <w:sz w:val="16"/>
                <w:szCs w:val="16"/>
              </w:rPr>
            </w:pPr>
            <w:r w:rsidRPr="00844BD4">
              <w:rPr>
                <w:sz w:val="16"/>
                <w:szCs w:val="16"/>
              </w:rPr>
              <w:t>South Korea</w:t>
            </w:r>
          </w:p>
        </w:tc>
        <w:tc>
          <w:tcPr>
            <w:tcW w:w="936" w:type="dxa"/>
            <w:tcBorders>
              <w:top w:val="single" w:sz="8" w:space="0" w:color="auto"/>
              <w:left w:val="nil"/>
              <w:bottom w:val="single" w:sz="8" w:space="0" w:color="auto"/>
              <w:right w:val="single" w:sz="8" w:space="0" w:color="auto"/>
            </w:tcBorders>
            <w:vAlign w:val="center"/>
          </w:tcPr>
          <w:p w:rsidR="00003B37" w:rsidRPr="00BA4AD2" w:rsidRDefault="00003B37" w:rsidP="00FC4A2F">
            <w:pPr>
              <w:jc w:val="right"/>
              <w:rPr>
                <w:sz w:val="16"/>
                <w:szCs w:val="16"/>
              </w:rPr>
            </w:pPr>
            <w:r w:rsidRPr="00BA4AD2">
              <w:rPr>
                <w:sz w:val="16"/>
                <w:szCs w:val="16"/>
              </w:rPr>
              <w:t>2,433</w:t>
            </w:r>
          </w:p>
        </w:tc>
        <w:tc>
          <w:tcPr>
            <w:tcW w:w="876" w:type="dxa"/>
            <w:tcBorders>
              <w:top w:val="nil"/>
              <w:left w:val="single" w:sz="8" w:space="0" w:color="auto"/>
              <w:bottom w:val="single" w:sz="8" w:space="0" w:color="auto"/>
              <w:right w:val="single" w:sz="8" w:space="0" w:color="auto"/>
            </w:tcBorders>
            <w:shd w:val="clear" w:color="auto" w:fill="auto"/>
            <w:noWrap/>
            <w:vAlign w:val="center"/>
          </w:tcPr>
          <w:p w:rsidR="00003B37" w:rsidRPr="00BA4AD2" w:rsidRDefault="00003B37" w:rsidP="00FC4A2F">
            <w:pPr>
              <w:jc w:val="right"/>
              <w:rPr>
                <w:sz w:val="16"/>
                <w:szCs w:val="16"/>
              </w:rPr>
            </w:pPr>
            <w:r w:rsidRPr="00BA4AD2">
              <w:rPr>
                <w:sz w:val="16"/>
                <w:szCs w:val="16"/>
              </w:rPr>
              <w:t>1</w:t>
            </w:r>
          </w:p>
        </w:tc>
        <w:tc>
          <w:tcPr>
            <w:tcW w:w="1067" w:type="dxa"/>
            <w:tcBorders>
              <w:top w:val="nil"/>
              <w:left w:val="nil"/>
              <w:bottom w:val="single" w:sz="8" w:space="0" w:color="auto"/>
              <w:right w:val="single" w:sz="8" w:space="0" w:color="auto"/>
            </w:tcBorders>
            <w:shd w:val="clear" w:color="auto" w:fill="auto"/>
            <w:noWrap/>
            <w:vAlign w:val="center"/>
          </w:tcPr>
          <w:p w:rsidR="00003B37" w:rsidRPr="00BA4AD2" w:rsidRDefault="00003B37" w:rsidP="00FC4A2F">
            <w:pPr>
              <w:jc w:val="right"/>
              <w:rPr>
                <w:sz w:val="16"/>
                <w:szCs w:val="16"/>
              </w:rPr>
            </w:pPr>
            <w:r w:rsidRPr="00BA4AD2">
              <w:rPr>
                <w:sz w:val="16"/>
                <w:szCs w:val="16"/>
              </w:rPr>
              <w:t>3,866,206</w:t>
            </w:r>
          </w:p>
        </w:tc>
        <w:tc>
          <w:tcPr>
            <w:tcW w:w="1184" w:type="dxa"/>
            <w:tcBorders>
              <w:top w:val="nil"/>
              <w:left w:val="nil"/>
              <w:bottom w:val="single" w:sz="8" w:space="0" w:color="auto"/>
              <w:right w:val="single" w:sz="8" w:space="0" w:color="auto"/>
            </w:tcBorders>
            <w:shd w:val="clear" w:color="auto" w:fill="auto"/>
            <w:noWrap/>
            <w:vAlign w:val="center"/>
          </w:tcPr>
          <w:p w:rsidR="00003B37" w:rsidRPr="00BA4AD2" w:rsidRDefault="00003B37" w:rsidP="00FC4A2F">
            <w:pPr>
              <w:jc w:val="right"/>
              <w:rPr>
                <w:sz w:val="16"/>
                <w:szCs w:val="16"/>
              </w:rPr>
            </w:pPr>
            <w:r w:rsidRPr="00BA4AD2">
              <w:rPr>
                <w:sz w:val="16"/>
                <w:szCs w:val="16"/>
              </w:rPr>
              <w:t>-0.06%</w:t>
            </w:r>
          </w:p>
        </w:tc>
        <w:tc>
          <w:tcPr>
            <w:tcW w:w="1182" w:type="dxa"/>
            <w:tcBorders>
              <w:top w:val="nil"/>
              <w:left w:val="nil"/>
              <w:bottom w:val="single" w:sz="8" w:space="0" w:color="auto"/>
              <w:right w:val="single" w:sz="8" w:space="0" w:color="auto"/>
            </w:tcBorders>
            <w:shd w:val="clear" w:color="auto" w:fill="auto"/>
            <w:vAlign w:val="center"/>
          </w:tcPr>
          <w:p w:rsidR="00003B37" w:rsidRPr="00BA4AD2" w:rsidRDefault="00003B37" w:rsidP="00FC4A2F">
            <w:pPr>
              <w:jc w:val="right"/>
              <w:rPr>
                <w:sz w:val="16"/>
                <w:szCs w:val="16"/>
              </w:rPr>
            </w:pPr>
            <w:r w:rsidRPr="007722AE">
              <w:rPr>
                <w:sz w:val="16"/>
                <w:szCs w:val="16"/>
              </w:rPr>
              <w:t>208,693</w:t>
            </w:r>
          </w:p>
        </w:tc>
        <w:tc>
          <w:tcPr>
            <w:tcW w:w="1182" w:type="dxa"/>
            <w:tcBorders>
              <w:top w:val="nil"/>
              <w:left w:val="nil"/>
              <w:bottom w:val="single" w:sz="8" w:space="0" w:color="auto"/>
              <w:right w:val="single" w:sz="8" w:space="0" w:color="auto"/>
            </w:tcBorders>
            <w:shd w:val="clear" w:color="auto" w:fill="auto"/>
            <w:vAlign w:val="center"/>
          </w:tcPr>
          <w:p w:rsidR="00003B37" w:rsidRPr="00BA4AD2" w:rsidRDefault="00003B37" w:rsidP="00FC4A2F">
            <w:pPr>
              <w:jc w:val="right"/>
              <w:rPr>
                <w:sz w:val="16"/>
                <w:szCs w:val="16"/>
              </w:rPr>
            </w:pPr>
            <w:r w:rsidRPr="007722AE">
              <w:rPr>
                <w:sz w:val="16"/>
                <w:szCs w:val="16"/>
              </w:rPr>
              <w:t>-125</w:t>
            </w:r>
          </w:p>
        </w:tc>
      </w:tr>
      <w:tr w:rsidR="00003B37" w:rsidRPr="00844BD4" w:rsidTr="00FC4A2F">
        <w:trPr>
          <w:trHeight w:val="315"/>
        </w:trPr>
        <w:tc>
          <w:tcPr>
            <w:tcW w:w="1438" w:type="dxa"/>
            <w:tcBorders>
              <w:top w:val="nil"/>
              <w:left w:val="single" w:sz="8" w:space="0" w:color="auto"/>
              <w:bottom w:val="single" w:sz="8" w:space="0" w:color="auto"/>
              <w:right w:val="single" w:sz="8" w:space="0" w:color="auto"/>
            </w:tcBorders>
            <w:shd w:val="clear" w:color="auto" w:fill="auto"/>
            <w:noWrap/>
            <w:vAlign w:val="bottom"/>
          </w:tcPr>
          <w:p w:rsidR="00003B37" w:rsidRPr="00844BD4" w:rsidRDefault="00003B37" w:rsidP="00FC4A2F">
            <w:pPr>
              <w:rPr>
                <w:sz w:val="16"/>
                <w:szCs w:val="16"/>
              </w:rPr>
            </w:pPr>
            <w:r w:rsidRPr="00844BD4">
              <w:rPr>
                <w:sz w:val="16"/>
                <w:szCs w:val="16"/>
              </w:rPr>
              <w:t>Spain</w:t>
            </w:r>
          </w:p>
        </w:tc>
        <w:tc>
          <w:tcPr>
            <w:tcW w:w="936" w:type="dxa"/>
            <w:tcBorders>
              <w:top w:val="single" w:sz="8" w:space="0" w:color="auto"/>
              <w:left w:val="nil"/>
              <w:bottom w:val="single" w:sz="8" w:space="0" w:color="auto"/>
              <w:right w:val="single" w:sz="8" w:space="0" w:color="auto"/>
            </w:tcBorders>
            <w:vAlign w:val="center"/>
          </w:tcPr>
          <w:p w:rsidR="00003B37" w:rsidRPr="00BA4AD2" w:rsidRDefault="00003B37" w:rsidP="00FC4A2F">
            <w:pPr>
              <w:jc w:val="right"/>
              <w:rPr>
                <w:sz w:val="16"/>
                <w:szCs w:val="16"/>
              </w:rPr>
            </w:pPr>
            <w:r w:rsidRPr="00BA4AD2">
              <w:rPr>
                <w:sz w:val="16"/>
                <w:szCs w:val="16"/>
              </w:rPr>
              <w:t>15,346</w:t>
            </w:r>
          </w:p>
        </w:tc>
        <w:tc>
          <w:tcPr>
            <w:tcW w:w="876" w:type="dxa"/>
            <w:tcBorders>
              <w:top w:val="nil"/>
              <w:left w:val="single" w:sz="8" w:space="0" w:color="auto"/>
              <w:bottom w:val="single" w:sz="8" w:space="0" w:color="auto"/>
              <w:right w:val="single" w:sz="8" w:space="0" w:color="auto"/>
            </w:tcBorders>
            <w:shd w:val="clear" w:color="auto" w:fill="auto"/>
            <w:noWrap/>
            <w:vAlign w:val="center"/>
          </w:tcPr>
          <w:p w:rsidR="00003B37" w:rsidRPr="00BA4AD2" w:rsidRDefault="00003B37" w:rsidP="00FC4A2F">
            <w:pPr>
              <w:jc w:val="right"/>
              <w:rPr>
                <w:sz w:val="16"/>
                <w:szCs w:val="16"/>
              </w:rPr>
            </w:pPr>
            <w:r w:rsidRPr="00BA4AD2">
              <w:rPr>
                <w:sz w:val="16"/>
                <w:szCs w:val="16"/>
              </w:rPr>
              <w:t>2</w:t>
            </w:r>
          </w:p>
        </w:tc>
        <w:tc>
          <w:tcPr>
            <w:tcW w:w="1067" w:type="dxa"/>
            <w:tcBorders>
              <w:top w:val="nil"/>
              <w:left w:val="nil"/>
              <w:bottom w:val="single" w:sz="8" w:space="0" w:color="auto"/>
              <w:right w:val="single" w:sz="8" w:space="0" w:color="auto"/>
            </w:tcBorders>
            <w:shd w:val="clear" w:color="auto" w:fill="auto"/>
            <w:noWrap/>
            <w:vAlign w:val="center"/>
          </w:tcPr>
          <w:p w:rsidR="00003B37" w:rsidRPr="00BA4AD2" w:rsidRDefault="00003B37" w:rsidP="00FC4A2F">
            <w:pPr>
              <w:jc w:val="right"/>
              <w:rPr>
                <w:sz w:val="16"/>
                <w:szCs w:val="16"/>
              </w:rPr>
            </w:pPr>
            <w:r w:rsidRPr="00BA4AD2">
              <w:rPr>
                <w:sz w:val="16"/>
                <w:szCs w:val="16"/>
              </w:rPr>
              <w:t>1,913,513</w:t>
            </w:r>
          </w:p>
        </w:tc>
        <w:tc>
          <w:tcPr>
            <w:tcW w:w="1184" w:type="dxa"/>
            <w:tcBorders>
              <w:top w:val="nil"/>
              <w:left w:val="nil"/>
              <w:bottom w:val="single" w:sz="8" w:space="0" w:color="auto"/>
              <w:right w:val="single" w:sz="8" w:space="0" w:color="auto"/>
            </w:tcBorders>
            <w:shd w:val="clear" w:color="auto" w:fill="auto"/>
            <w:noWrap/>
            <w:vAlign w:val="center"/>
          </w:tcPr>
          <w:p w:rsidR="00003B37" w:rsidRPr="00BA4AD2" w:rsidRDefault="00003B37" w:rsidP="00FC4A2F">
            <w:pPr>
              <w:jc w:val="right"/>
              <w:rPr>
                <w:sz w:val="16"/>
                <w:szCs w:val="16"/>
              </w:rPr>
            </w:pPr>
            <w:r w:rsidRPr="00BA4AD2">
              <w:rPr>
                <w:sz w:val="16"/>
                <w:szCs w:val="16"/>
              </w:rPr>
              <w:t>-0.80%</w:t>
            </w:r>
          </w:p>
        </w:tc>
        <w:tc>
          <w:tcPr>
            <w:tcW w:w="1182" w:type="dxa"/>
            <w:tcBorders>
              <w:top w:val="nil"/>
              <w:left w:val="nil"/>
              <w:bottom w:val="single" w:sz="8" w:space="0" w:color="auto"/>
              <w:right w:val="single" w:sz="8" w:space="0" w:color="auto"/>
            </w:tcBorders>
            <w:shd w:val="clear" w:color="auto" w:fill="auto"/>
            <w:vAlign w:val="center"/>
          </w:tcPr>
          <w:p w:rsidR="00003B37" w:rsidRPr="00BA4AD2" w:rsidRDefault="00003B37" w:rsidP="00FC4A2F">
            <w:pPr>
              <w:jc w:val="right"/>
              <w:rPr>
                <w:sz w:val="16"/>
                <w:szCs w:val="16"/>
              </w:rPr>
            </w:pPr>
            <w:r w:rsidRPr="007722AE">
              <w:rPr>
                <w:sz w:val="16"/>
                <w:szCs w:val="16"/>
              </w:rPr>
              <w:t>78,740</w:t>
            </w:r>
          </w:p>
        </w:tc>
        <w:tc>
          <w:tcPr>
            <w:tcW w:w="1182" w:type="dxa"/>
            <w:tcBorders>
              <w:top w:val="nil"/>
              <w:left w:val="nil"/>
              <w:bottom w:val="single" w:sz="8" w:space="0" w:color="auto"/>
              <w:right w:val="single" w:sz="8" w:space="0" w:color="auto"/>
            </w:tcBorders>
            <w:shd w:val="clear" w:color="auto" w:fill="auto"/>
            <w:vAlign w:val="center"/>
          </w:tcPr>
          <w:p w:rsidR="00003B37" w:rsidRPr="00BA4AD2" w:rsidRDefault="00003B37" w:rsidP="00FC4A2F">
            <w:pPr>
              <w:jc w:val="right"/>
              <w:rPr>
                <w:sz w:val="16"/>
                <w:szCs w:val="16"/>
              </w:rPr>
            </w:pPr>
            <w:r w:rsidRPr="007722AE">
              <w:rPr>
                <w:sz w:val="16"/>
                <w:szCs w:val="16"/>
              </w:rPr>
              <w:t>-630</w:t>
            </w:r>
          </w:p>
        </w:tc>
      </w:tr>
      <w:tr w:rsidR="00003B37" w:rsidRPr="00844BD4" w:rsidTr="00FC4A2F">
        <w:trPr>
          <w:trHeight w:val="315"/>
        </w:trPr>
        <w:tc>
          <w:tcPr>
            <w:tcW w:w="1438" w:type="dxa"/>
            <w:tcBorders>
              <w:top w:val="nil"/>
              <w:left w:val="single" w:sz="8" w:space="0" w:color="auto"/>
              <w:bottom w:val="single" w:sz="8" w:space="0" w:color="auto"/>
              <w:right w:val="single" w:sz="8" w:space="0" w:color="auto"/>
            </w:tcBorders>
            <w:shd w:val="clear" w:color="auto" w:fill="auto"/>
            <w:noWrap/>
            <w:vAlign w:val="bottom"/>
          </w:tcPr>
          <w:p w:rsidR="00003B37" w:rsidRPr="00844BD4" w:rsidRDefault="00003B37" w:rsidP="00FC4A2F">
            <w:pPr>
              <w:rPr>
                <w:sz w:val="16"/>
                <w:szCs w:val="16"/>
              </w:rPr>
            </w:pPr>
            <w:r w:rsidRPr="00844BD4">
              <w:rPr>
                <w:sz w:val="16"/>
                <w:szCs w:val="16"/>
              </w:rPr>
              <w:t>Turkey</w:t>
            </w:r>
          </w:p>
        </w:tc>
        <w:tc>
          <w:tcPr>
            <w:tcW w:w="936" w:type="dxa"/>
            <w:tcBorders>
              <w:top w:val="single" w:sz="8" w:space="0" w:color="auto"/>
              <w:left w:val="nil"/>
              <w:bottom w:val="single" w:sz="8" w:space="0" w:color="auto"/>
              <w:right w:val="single" w:sz="8" w:space="0" w:color="auto"/>
            </w:tcBorders>
            <w:vAlign w:val="center"/>
          </w:tcPr>
          <w:p w:rsidR="00003B37" w:rsidRPr="00BA4AD2" w:rsidRDefault="00003B37" w:rsidP="00FC4A2F">
            <w:pPr>
              <w:jc w:val="right"/>
              <w:rPr>
                <w:sz w:val="16"/>
                <w:szCs w:val="16"/>
              </w:rPr>
            </w:pPr>
            <w:r w:rsidRPr="00BA4AD2">
              <w:rPr>
                <w:sz w:val="16"/>
                <w:szCs w:val="16"/>
              </w:rPr>
              <w:t>15,124</w:t>
            </w:r>
          </w:p>
        </w:tc>
        <w:tc>
          <w:tcPr>
            <w:tcW w:w="876" w:type="dxa"/>
            <w:tcBorders>
              <w:top w:val="nil"/>
              <w:left w:val="single" w:sz="8" w:space="0" w:color="auto"/>
              <w:bottom w:val="single" w:sz="8" w:space="0" w:color="auto"/>
              <w:right w:val="single" w:sz="8" w:space="0" w:color="auto"/>
            </w:tcBorders>
            <w:shd w:val="clear" w:color="auto" w:fill="auto"/>
            <w:noWrap/>
            <w:vAlign w:val="center"/>
          </w:tcPr>
          <w:p w:rsidR="00003B37" w:rsidRPr="00BA4AD2" w:rsidRDefault="00003B37" w:rsidP="00FC4A2F">
            <w:pPr>
              <w:jc w:val="right"/>
              <w:rPr>
                <w:sz w:val="16"/>
                <w:szCs w:val="16"/>
              </w:rPr>
            </w:pPr>
            <w:r w:rsidRPr="00BA4AD2">
              <w:rPr>
                <w:sz w:val="16"/>
                <w:szCs w:val="16"/>
              </w:rPr>
              <w:t>2</w:t>
            </w:r>
          </w:p>
        </w:tc>
        <w:tc>
          <w:tcPr>
            <w:tcW w:w="1067" w:type="dxa"/>
            <w:tcBorders>
              <w:top w:val="nil"/>
              <w:left w:val="nil"/>
              <w:bottom w:val="single" w:sz="8" w:space="0" w:color="auto"/>
              <w:right w:val="single" w:sz="8" w:space="0" w:color="auto"/>
            </w:tcBorders>
            <w:shd w:val="clear" w:color="auto" w:fill="auto"/>
            <w:noWrap/>
            <w:vAlign w:val="center"/>
          </w:tcPr>
          <w:p w:rsidR="00003B37" w:rsidRPr="00BA4AD2" w:rsidRDefault="00003B37" w:rsidP="00FC4A2F">
            <w:pPr>
              <w:jc w:val="right"/>
              <w:rPr>
                <w:sz w:val="16"/>
                <w:szCs w:val="16"/>
              </w:rPr>
            </w:pPr>
            <w:r w:rsidRPr="00BA4AD2">
              <w:rPr>
                <w:sz w:val="16"/>
                <w:szCs w:val="16"/>
              </w:rPr>
              <w:t>603,394</w:t>
            </w:r>
          </w:p>
        </w:tc>
        <w:tc>
          <w:tcPr>
            <w:tcW w:w="1184" w:type="dxa"/>
            <w:tcBorders>
              <w:top w:val="nil"/>
              <w:left w:val="nil"/>
              <w:bottom w:val="single" w:sz="8" w:space="0" w:color="auto"/>
              <w:right w:val="single" w:sz="8" w:space="0" w:color="auto"/>
            </w:tcBorders>
            <w:shd w:val="clear" w:color="auto" w:fill="auto"/>
            <w:noWrap/>
            <w:vAlign w:val="center"/>
          </w:tcPr>
          <w:p w:rsidR="00003B37" w:rsidRPr="00BA4AD2" w:rsidRDefault="00003B37" w:rsidP="00FC4A2F">
            <w:pPr>
              <w:jc w:val="right"/>
              <w:rPr>
                <w:sz w:val="16"/>
                <w:szCs w:val="16"/>
              </w:rPr>
            </w:pPr>
            <w:r w:rsidRPr="00BA4AD2">
              <w:rPr>
                <w:sz w:val="16"/>
                <w:szCs w:val="16"/>
              </w:rPr>
              <w:t>-2.51%</w:t>
            </w:r>
          </w:p>
        </w:tc>
        <w:tc>
          <w:tcPr>
            <w:tcW w:w="1182" w:type="dxa"/>
            <w:tcBorders>
              <w:top w:val="nil"/>
              <w:left w:val="nil"/>
              <w:bottom w:val="single" w:sz="8" w:space="0" w:color="auto"/>
              <w:right w:val="single" w:sz="8" w:space="0" w:color="auto"/>
            </w:tcBorders>
            <w:shd w:val="clear" w:color="auto" w:fill="auto"/>
            <w:vAlign w:val="center"/>
          </w:tcPr>
          <w:p w:rsidR="00003B37" w:rsidRPr="00BA4AD2" w:rsidRDefault="00003B37" w:rsidP="00FC4A2F">
            <w:pPr>
              <w:jc w:val="right"/>
              <w:rPr>
                <w:sz w:val="16"/>
                <w:szCs w:val="16"/>
              </w:rPr>
            </w:pPr>
            <w:r w:rsidRPr="007722AE">
              <w:rPr>
                <w:sz w:val="16"/>
                <w:szCs w:val="16"/>
              </w:rPr>
              <w:t>22,550</w:t>
            </w:r>
          </w:p>
        </w:tc>
        <w:tc>
          <w:tcPr>
            <w:tcW w:w="1182" w:type="dxa"/>
            <w:tcBorders>
              <w:top w:val="nil"/>
              <w:left w:val="nil"/>
              <w:bottom w:val="single" w:sz="8" w:space="0" w:color="auto"/>
              <w:right w:val="single" w:sz="8" w:space="0" w:color="auto"/>
            </w:tcBorders>
            <w:shd w:val="clear" w:color="auto" w:fill="auto"/>
            <w:vAlign w:val="center"/>
          </w:tcPr>
          <w:p w:rsidR="00003B37" w:rsidRPr="00BA4AD2" w:rsidRDefault="00003B37" w:rsidP="00FC4A2F">
            <w:pPr>
              <w:jc w:val="right"/>
              <w:rPr>
                <w:sz w:val="16"/>
                <w:szCs w:val="16"/>
              </w:rPr>
            </w:pPr>
            <w:r w:rsidRPr="007722AE">
              <w:rPr>
                <w:sz w:val="16"/>
                <w:szCs w:val="16"/>
              </w:rPr>
              <w:t>-566</w:t>
            </w:r>
          </w:p>
        </w:tc>
      </w:tr>
      <w:tr w:rsidR="00003B37" w:rsidRPr="00844BD4" w:rsidTr="00FC4A2F">
        <w:trPr>
          <w:trHeight w:val="315"/>
        </w:trPr>
        <w:tc>
          <w:tcPr>
            <w:tcW w:w="1438" w:type="dxa"/>
            <w:tcBorders>
              <w:top w:val="nil"/>
              <w:left w:val="single" w:sz="8" w:space="0" w:color="auto"/>
              <w:bottom w:val="single" w:sz="8" w:space="0" w:color="auto"/>
              <w:right w:val="single" w:sz="8" w:space="0" w:color="auto"/>
            </w:tcBorders>
            <w:shd w:val="clear" w:color="auto" w:fill="auto"/>
            <w:noWrap/>
            <w:vAlign w:val="bottom"/>
          </w:tcPr>
          <w:p w:rsidR="00003B37" w:rsidRPr="00844BD4" w:rsidRDefault="00003B37" w:rsidP="00FC4A2F">
            <w:pPr>
              <w:rPr>
                <w:sz w:val="16"/>
                <w:szCs w:val="16"/>
              </w:rPr>
            </w:pPr>
            <w:r w:rsidRPr="00844BD4">
              <w:rPr>
                <w:sz w:val="16"/>
                <w:szCs w:val="16"/>
              </w:rPr>
              <w:t>United Kingdom</w:t>
            </w:r>
          </w:p>
        </w:tc>
        <w:tc>
          <w:tcPr>
            <w:tcW w:w="936" w:type="dxa"/>
            <w:tcBorders>
              <w:top w:val="single" w:sz="8" w:space="0" w:color="auto"/>
              <w:left w:val="nil"/>
              <w:bottom w:val="single" w:sz="8" w:space="0" w:color="auto"/>
              <w:right w:val="single" w:sz="8" w:space="0" w:color="auto"/>
            </w:tcBorders>
            <w:vAlign w:val="center"/>
          </w:tcPr>
          <w:p w:rsidR="00003B37" w:rsidRPr="00BA4AD2" w:rsidRDefault="00003B37" w:rsidP="00FC4A2F">
            <w:pPr>
              <w:jc w:val="right"/>
              <w:rPr>
                <w:sz w:val="16"/>
                <w:szCs w:val="16"/>
              </w:rPr>
            </w:pPr>
            <w:r w:rsidRPr="00BA4AD2">
              <w:rPr>
                <w:sz w:val="16"/>
                <w:szCs w:val="16"/>
              </w:rPr>
              <w:t>65,473</w:t>
            </w:r>
          </w:p>
        </w:tc>
        <w:tc>
          <w:tcPr>
            <w:tcW w:w="876" w:type="dxa"/>
            <w:tcBorders>
              <w:top w:val="nil"/>
              <w:left w:val="single" w:sz="8" w:space="0" w:color="auto"/>
              <w:bottom w:val="single" w:sz="8" w:space="0" w:color="auto"/>
              <w:right w:val="single" w:sz="8" w:space="0" w:color="auto"/>
            </w:tcBorders>
            <w:shd w:val="clear" w:color="auto" w:fill="auto"/>
            <w:noWrap/>
            <w:vAlign w:val="center"/>
          </w:tcPr>
          <w:p w:rsidR="00003B37" w:rsidRPr="00BA4AD2" w:rsidRDefault="00003B37" w:rsidP="00FC4A2F">
            <w:pPr>
              <w:jc w:val="right"/>
              <w:rPr>
                <w:sz w:val="16"/>
                <w:szCs w:val="16"/>
              </w:rPr>
            </w:pPr>
            <w:r w:rsidRPr="00BA4AD2">
              <w:rPr>
                <w:sz w:val="16"/>
                <w:szCs w:val="16"/>
              </w:rPr>
              <w:t>5</w:t>
            </w:r>
          </w:p>
        </w:tc>
        <w:tc>
          <w:tcPr>
            <w:tcW w:w="1067" w:type="dxa"/>
            <w:tcBorders>
              <w:top w:val="nil"/>
              <w:left w:val="nil"/>
              <w:bottom w:val="single" w:sz="8" w:space="0" w:color="auto"/>
              <w:right w:val="single" w:sz="8" w:space="0" w:color="auto"/>
            </w:tcBorders>
            <w:shd w:val="clear" w:color="auto" w:fill="auto"/>
            <w:noWrap/>
            <w:vAlign w:val="center"/>
          </w:tcPr>
          <w:p w:rsidR="00003B37" w:rsidRPr="00BA4AD2" w:rsidRDefault="00003B37" w:rsidP="00FC4A2F">
            <w:pPr>
              <w:jc w:val="right"/>
              <w:rPr>
                <w:sz w:val="16"/>
                <w:szCs w:val="16"/>
              </w:rPr>
            </w:pPr>
            <w:r w:rsidRPr="00BA4AD2">
              <w:rPr>
                <w:sz w:val="16"/>
                <w:szCs w:val="16"/>
              </w:rPr>
              <w:t>1,270,444</w:t>
            </w:r>
          </w:p>
        </w:tc>
        <w:tc>
          <w:tcPr>
            <w:tcW w:w="1184" w:type="dxa"/>
            <w:tcBorders>
              <w:top w:val="nil"/>
              <w:left w:val="nil"/>
              <w:bottom w:val="single" w:sz="8" w:space="0" w:color="auto"/>
              <w:right w:val="single" w:sz="8" w:space="0" w:color="auto"/>
            </w:tcBorders>
            <w:shd w:val="clear" w:color="auto" w:fill="auto"/>
            <w:noWrap/>
            <w:vAlign w:val="center"/>
          </w:tcPr>
          <w:p w:rsidR="00003B37" w:rsidRPr="00BA4AD2" w:rsidRDefault="00003B37" w:rsidP="00FC4A2F">
            <w:pPr>
              <w:jc w:val="right"/>
              <w:rPr>
                <w:sz w:val="16"/>
                <w:szCs w:val="16"/>
              </w:rPr>
            </w:pPr>
            <w:r w:rsidRPr="00BA4AD2">
              <w:rPr>
                <w:sz w:val="16"/>
                <w:szCs w:val="16"/>
              </w:rPr>
              <w:t>-5.15%</w:t>
            </w:r>
          </w:p>
        </w:tc>
        <w:tc>
          <w:tcPr>
            <w:tcW w:w="1182" w:type="dxa"/>
            <w:tcBorders>
              <w:top w:val="nil"/>
              <w:left w:val="nil"/>
              <w:bottom w:val="single" w:sz="8" w:space="0" w:color="auto"/>
              <w:right w:val="single" w:sz="8" w:space="0" w:color="auto"/>
            </w:tcBorders>
            <w:shd w:val="clear" w:color="auto" w:fill="auto"/>
            <w:vAlign w:val="center"/>
          </w:tcPr>
          <w:p w:rsidR="00003B37" w:rsidRPr="00BA4AD2" w:rsidRDefault="00003B37" w:rsidP="00FC4A2F">
            <w:pPr>
              <w:jc w:val="right"/>
              <w:rPr>
                <w:sz w:val="16"/>
                <w:szCs w:val="16"/>
              </w:rPr>
            </w:pPr>
            <w:r w:rsidRPr="007722AE">
              <w:rPr>
                <w:sz w:val="16"/>
                <w:szCs w:val="16"/>
              </w:rPr>
              <w:t>107,365</w:t>
            </w:r>
          </w:p>
        </w:tc>
        <w:tc>
          <w:tcPr>
            <w:tcW w:w="1182" w:type="dxa"/>
            <w:tcBorders>
              <w:top w:val="nil"/>
              <w:left w:val="nil"/>
              <w:bottom w:val="single" w:sz="8" w:space="0" w:color="auto"/>
              <w:right w:val="single" w:sz="8" w:space="0" w:color="auto"/>
            </w:tcBorders>
            <w:shd w:val="clear" w:color="auto" w:fill="auto"/>
            <w:vAlign w:val="center"/>
          </w:tcPr>
          <w:p w:rsidR="00003B37" w:rsidRPr="00BA4AD2" w:rsidRDefault="00003B37" w:rsidP="00FC4A2F">
            <w:pPr>
              <w:jc w:val="right"/>
              <w:rPr>
                <w:sz w:val="16"/>
                <w:szCs w:val="16"/>
              </w:rPr>
            </w:pPr>
            <w:r w:rsidRPr="007722AE">
              <w:rPr>
                <w:sz w:val="16"/>
                <w:szCs w:val="16"/>
              </w:rPr>
              <w:t>-5,529</w:t>
            </w:r>
          </w:p>
        </w:tc>
      </w:tr>
      <w:tr w:rsidR="00003B37" w:rsidRPr="00844BD4" w:rsidTr="00FC4A2F">
        <w:trPr>
          <w:trHeight w:val="315"/>
        </w:trPr>
        <w:tc>
          <w:tcPr>
            <w:tcW w:w="1438" w:type="dxa"/>
            <w:tcBorders>
              <w:top w:val="nil"/>
              <w:left w:val="single" w:sz="8" w:space="0" w:color="auto"/>
              <w:bottom w:val="single" w:sz="8" w:space="0" w:color="auto"/>
              <w:right w:val="single" w:sz="8" w:space="0" w:color="auto"/>
            </w:tcBorders>
            <w:shd w:val="clear" w:color="auto" w:fill="auto"/>
            <w:noWrap/>
            <w:vAlign w:val="bottom"/>
          </w:tcPr>
          <w:p w:rsidR="00003B37" w:rsidRPr="00844BD4" w:rsidRDefault="00003B37" w:rsidP="00FC4A2F">
            <w:pPr>
              <w:rPr>
                <w:sz w:val="16"/>
                <w:szCs w:val="16"/>
              </w:rPr>
            </w:pPr>
            <w:r w:rsidRPr="00844BD4">
              <w:rPr>
                <w:sz w:val="16"/>
                <w:szCs w:val="16"/>
              </w:rPr>
              <w:t>United States</w:t>
            </w:r>
          </w:p>
        </w:tc>
        <w:tc>
          <w:tcPr>
            <w:tcW w:w="936" w:type="dxa"/>
            <w:tcBorders>
              <w:top w:val="single" w:sz="8" w:space="0" w:color="auto"/>
              <w:left w:val="nil"/>
              <w:bottom w:val="single" w:sz="8" w:space="0" w:color="auto"/>
              <w:right w:val="single" w:sz="8" w:space="0" w:color="auto"/>
            </w:tcBorders>
            <w:vAlign w:val="center"/>
          </w:tcPr>
          <w:p w:rsidR="00003B37" w:rsidRPr="00BA4AD2" w:rsidRDefault="00003B37" w:rsidP="00FC4A2F">
            <w:pPr>
              <w:jc w:val="right"/>
              <w:rPr>
                <w:sz w:val="16"/>
                <w:szCs w:val="16"/>
              </w:rPr>
            </w:pPr>
            <w:r w:rsidRPr="00BA4AD2">
              <w:rPr>
                <w:sz w:val="16"/>
                <w:szCs w:val="16"/>
              </w:rPr>
              <w:t>248,216</w:t>
            </w:r>
          </w:p>
        </w:tc>
        <w:tc>
          <w:tcPr>
            <w:tcW w:w="876" w:type="dxa"/>
            <w:tcBorders>
              <w:top w:val="nil"/>
              <w:left w:val="single" w:sz="8" w:space="0" w:color="auto"/>
              <w:bottom w:val="single" w:sz="8" w:space="0" w:color="auto"/>
              <w:right w:val="single" w:sz="8" w:space="0" w:color="auto"/>
            </w:tcBorders>
            <w:shd w:val="clear" w:color="auto" w:fill="auto"/>
            <w:noWrap/>
            <w:vAlign w:val="center"/>
          </w:tcPr>
          <w:p w:rsidR="00003B37" w:rsidRPr="00BA4AD2" w:rsidRDefault="00003B37" w:rsidP="00FC4A2F">
            <w:pPr>
              <w:jc w:val="right"/>
              <w:rPr>
                <w:sz w:val="16"/>
                <w:szCs w:val="16"/>
              </w:rPr>
            </w:pPr>
            <w:r w:rsidRPr="00BA4AD2">
              <w:rPr>
                <w:sz w:val="16"/>
                <w:szCs w:val="16"/>
              </w:rPr>
              <w:t>24</w:t>
            </w:r>
          </w:p>
        </w:tc>
        <w:tc>
          <w:tcPr>
            <w:tcW w:w="1067" w:type="dxa"/>
            <w:tcBorders>
              <w:top w:val="nil"/>
              <w:left w:val="nil"/>
              <w:bottom w:val="single" w:sz="8" w:space="0" w:color="auto"/>
              <w:right w:val="single" w:sz="8" w:space="0" w:color="auto"/>
            </w:tcBorders>
            <w:shd w:val="clear" w:color="auto" w:fill="auto"/>
            <w:noWrap/>
            <w:vAlign w:val="center"/>
          </w:tcPr>
          <w:p w:rsidR="00003B37" w:rsidRPr="00BA4AD2" w:rsidRDefault="00003B37" w:rsidP="00FC4A2F">
            <w:pPr>
              <w:jc w:val="right"/>
              <w:rPr>
                <w:sz w:val="16"/>
                <w:szCs w:val="16"/>
              </w:rPr>
            </w:pPr>
            <w:r w:rsidRPr="00BA4AD2">
              <w:rPr>
                <w:sz w:val="16"/>
                <w:szCs w:val="16"/>
              </w:rPr>
              <w:t>2,731,105</w:t>
            </w:r>
          </w:p>
        </w:tc>
        <w:tc>
          <w:tcPr>
            <w:tcW w:w="1184" w:type="dxa"/>
            <w:tcBorders>
              <w:top w:val="nil"/>
              <w:left w:val="nil"/>
              <w:bottom w:val="single" w:sz="8" w:space="0" w:color="auto"/>
              <w:right w:val="single" w:sz="8" w:space="0" w:color="auto"/>
            </w:tcBorders>
            <w:shd w:val="clear" w:color="auto" w:fill="auto"/>
            <w:noWrap/>
            <w:vAlign w:val="center"/>
          </w:tcPr>
          <w:p w:rsidR="00003B37" w:rsidRPr="00BA4AD2" w:rsidRDefault="00003B37" w:rsidP="00FC4A2F">
            <w:pPr>
              <w:jc w:val="right"/>
              <w:rPr>
                <w:sz w:val="16"/>
                <w:szCs w:val="16"/>
              </w:rPr>
            </w:pPr>
            <w:r w:rsidRPr="00BA4AD2">
              <w:rPr>
                <w:sz w:val="16"/>
                <w:szCs w:val="16"/>
              </w:rPr>
              <w:t>-9.09%</w:t>
            </w:r>
          </w:p>
        </w:tc>
        <w:tc>
          <w:tcPr>
            <w:tcW w:w="1182" w:type="dxa"/>
            <w:tcBorders>
              <w:top w:val="nil"/>
              <w:left w:val="nil"/>
              <w:bottom w:val="single" w:sz="8" w:space="0" w:color="auto"/>
              <w:right w:val="single" w:sz="8" w:space="0" w:color="auto"/>
            </w:tcBorders>
            <w:shd w:val="clear" w:color="auto" w:fill="auto"/>
            <w:vAlign w:val="center"/>
          </w:tcPr>
          <w:p w:rsidR="00003B37" w:rsidRPr="00BA4AD2" w:rsidRDefault="00003B37" w:rsidP="00FC4A2F">
            <w:pPr>
              <w:jc w:val="right"/>
              <w:rPr>
                <w:sz w:val="16"/>
                <w:szCs w:val="16"/>
              </w:rPr>
            </w:pPr>
            <w:r w:rsidRPr="007722AE">
              <w:rPr>
                <w:sz w:val="16"/>
                <w:szCs w:val="16"/>
              </w:rPr>
              <w:t>582,933</w:t>
            </w:r>
          </w:p>
        </w:tc>
        <w:tc>
          <w:tcPr>
            <w:tcW w:w="1182" w:type="dxa"/>
            <w:tcBorders>
              <w:top w:val="nil"/>
              <w:left w:val="nil"/>
              <w:bottom w:val="single" w:sz="8" w:space="0" w:color="auto"/>
              <w:right w:val="single" w:sz="8" w:space="0" w:color="auto"/>
            </w:tcBorders>
            <w:shd w:val="clear" w:color="auto" w:fill="auto"/>
            <w:vAlign w:val="center"/>
          </w:tcPr>
          <w:p w:rsidR="00003B37" w:rsidRPr="00BA4AD2" w:rsidRDefault="00003B37" w:rsidP="00FC4A2F">
            <w:pPr>
              <w:jc w:val="right"/>
              <w:rPr>
                <w:sz w:val="16"/>
                <w:szCs w:val="16"/>
              </w:rPr>
            </w:pPr>
            <w:r w:rsidRPr="007722AE">
              <w:rPr>
                <w:sz w:val="16"/>
                <w:szCs w:val="16"/>
              </w:rPr>
              <w:t>-52,989</w:t>
            </w:r>
          </w:p>
        </w:tc>
      </w:tr>
      <w:tr w:rsidR="00003B37" w:rsidRPr="00844BD4" w:rsidTr="00FC4A2F">
        <w:trPr>
          <w:trHeight w:val="315"/>
        </w:trPr>
        <w:tc>
          <w:tcPr>
            <w:tcW w:w="1438" w:type="dxa"/>
            <w:tcBorders>
              <w:top w:val="nil"/>
              <w:left w:val="single" w:sz="8" w:space="0" w:color="auto"/>
              <w:bottom w:val="single" w:sz="8" w:space="0" w:color="auto"/>
              <w:right w:val="single" w:sz="8" w:space="0" w:color="auto"/>
            </w:tcBorders>
            <w:shd w:val="clear" w:color="auto" w:fill="auto"/>
            <w:noWrap/>
            <w:vAlign w:val="bottom"/>
          </w:tcPr>
          <w:p w:rsidR="00003B37" w:rsidRPr="00844BD4" w:rsidRDefault="00003B37" w:rsidP="00FC4A2F">
            <w:pPr>
              <w:rPr>
                <w:sz w:val="16"/>
                <w:szCs w:val="16"/>
              </w:rPr>
            </w:pPr>
            <w:r w:rsidRPr="00844BD4">
              <w:rPr>
                <w:sz w:val="16"/>
                <w:szCs w:val="16"/>
              </w:rPr>
              <w:t>Rest of the World</w:t>
            </w:r>
          </w:p>
        </w:tc>
        <w:tc>
          <w:tcPr>
            <w:tcW w:w="936" w:type="dxa"/>
            <w:tcBorders>
              <w:top w:val="single" w:sz="8" w:space="0" w:color="auto"/>
              <w:left w:val="nil"/>
              <w:bottom w:val="single" w:sz="8" w:space="0" w:color="auto"/>
              <w:right w:val="single" w:sz="8" w:space="0" w:color="auto"/>
            </w:tcBorders>
            <w:vAlign w:val="center"/>
          </w:tcPr>
          <w:p w:rsidR="00003B37" w:rsidRPr="00BA4AD2" w:rsidRDefault="00003B37" w:rsidP="00FC4A2F">
            <w:pPr>
              <w:jc w:val="right"/>
              <w:rPr>
                <w:sz w:val="16"/>
                <w:szCs w:val="16"/>
              </w:rPr>
            </w:pPr>
            <w:r w:rsidRPr="00BA4AD2">
              <w:rPr>
                <w:sz w:val="16"/>
                <w:szCs w:val="16"/>
              </w:rPr>
              <w:t>100,595</w:t>
            </w:r>
          </w:p>
        </w:tc>
        <w:tc>
          <w:tcPr>
            <w:tcW w:w="876" w:type="dxa"/>
            <w:tcBorders>
              <w:top w:val="nil"/>
              <w:left w:val="single" w:sz="8" w:space="0" w:color="auto"/>
              <w:bottom w:val="single" w:sz="8" w:space="0" w:color="auto"/>
              <w:right w:val="single" w:sz="8" w:space="0" w:color="auto"/>
            </w:tcBorders>
            <w:shd w:val="clear" w:color="auto" w:fill="auto"/>
            <w:noWrap/>
            <w:vAlign w:val="center"/>
          </w:tcPr>
          <w:p w:rsidR="00003B37" w:rsidRPr="00BA4AD2" w:rsidRDefault="00003B37" w:rsidP="00FC4A2F">
            <w:pPr>
              <w:jc w:val="right"/>
              <w:rPr>
                <w:sz w:val="16"/>
                <w:szCs w:val="16"/>
              </w:rPr>
            </w:pPr>
            <w:r w:rsidRPr="00BA4AD2">
              <w:rPr>
                <w:sz w:val="16"/>
                <w:szCs w:val="16"/>
              </w:rPr>
              <w:t>15</w:t>
            </w:r>
          </w:p>
        </w:tc>
        <w:tc>
          <w:tcPr>
            <w:tcW w:w="1067" w:type="dxa"/>
            <w:tcBorders>
              <w:top w:val="nil"/>
              <w:left w:val="nil"/>
              <w:bottom w:val="single" w:sz="8" w:space="0" w:color="auto"/>
              <w:right w:val="single" w:sz="8" w:space="0" w:color="auto"/>
            </w:tcBorders>
            <w:shd w:val="clear" w:color="auto" w:fill="auto"/>
            <w:noWrap/>
            <w:vAlign w:val="center"/>
          </w:tcPr>
          <w:p w:rsidR="00003B37" w:rsidRPr="00BA4AD2" w:rsidRDefault="00003B37" w:rsidP="00FC4A2F">
            <w:pPr>
              <w:jc w:val="right"/>
              <w:rPr>
                <w:sz w:val="16"/>
                <w:szCs w:val="16"/>
              </w:rPr>
            </w:pPr>
            <w:r w:rsidRPr="00BA4AD2">
              <w:rPr>
                <w:sz w:val="16"/>
                <w:szCs w:val="16"/>
              </w:rPr>
              <w:t>7,439,849</w:t>
            </w:r>
          </w:p>
        </w:tc>
        <w:tc>
          <w:tcPr>
            <w:tcW w:w="1184" w:type="dxa"/>
            <w:tcBorders>
              <w:top w:val="nil"/>
              <w:left w:val="nil"/>
              <w:bottom w:val="single" w:sz="8" w:space="0" w:color="auto"/>
              <w:right w:val="single" w:sz="8" w:space="0" w:color="auto"/>
            </w:tcBorders>
            <w:shd w:val="clear" w:color="auto" w:fill="auto"/>
            <w:noWrap/>
            <w:vAlign w:val="center"/>
          </w:tcPr>
          <w:p w:rsidR="00003B37" w:rsidRPr="00BA4AD2" w:rsidRDefault="00003B37" w:rsidP="00FC4A2F">
            <w:pPr>
              <w:jc w:val="right"/>
              <w:rPr>
                <w:sz w:val="16"/>
                <w:szCs w:val="16"/>
              </w:rPr>
            </w:pPr>
            <w:r w:rsidRPr="00BA4AD2">
              <w:rPr>
                <w:sz w:val="16"/>
                <w:szCs w:val="16"/>
              </w:rPr>
              <w:t>-1.35%</w:t>
            </w:r>
          </w:p>
        </w:tc>
        <w:tc>
          <w:tcPr>
            <w:tcW w:w="1182" w:type="dxa"/>
            <w:tcBorders>
              <w:top w:val="nil"/>
              <w:left w:val="nil"/>
              <w:bottom w:val="single" w:sz="8" w:space="0" w:color="auto"/>
              <w:right w:val="single" w:sz="8" w:space="0" w:color="auto"/>
            </w:tcBorders>
            <w:shd w:val="clear" w:color="auto" w:fill="auto"/>
            <w:vAlign w:val="center"/>
          </w:tcPr>
          <w:p w:rsidR="00003B37" w:rsidRPr="00BA4AD2" w:rsidRDefault="00003B37" w:rsidP="00FC4A2F">
            <w:pPr>
              <w:jc w:val="right"/>
              <w:rPr>
                <w:sz w:val="16"/>
                <w:szCs w:val="16"/>
              </w:rPr>
            </w:pPr>
            <w:r w:rsidRPr="007722AE">
              <w:rPr>
                <w:sz w:val="16"/>
                <w:szCs w:val="16"/>
              </w:rPr>
              <w:t>331,305</w:t>
            </w:r>
          </w:p>
        </w:tc>
        <w:tc>
          <w:tcPr>
            <w:tcW w:w="1182" w:type="dxa"/>
            <w:tcBorders>
              <w:top w:val="nil"/>
              <w:left w:val="nil"/>
              <w:bottom w:val="single" w:sz="8" w:space="0" w:color="auto"/>
              <w:right w:val="single" w:sz="8" w:space="0" w:color="auto"/>
            </w:tcBorders>
            <w:shd w:val="clear" w:color="auto" w:fill="auto"/>
            <w:vAlign w:val="center"/>
          </w:tcPr>
          <w:p w:rsidR="00003B37" w:rsidRPr="00BA4AD2" w:rsidRDefault="00003B37" w:rsidP="00FC4A2F">
            <w:pPr>
              <w:jc w:val="right"/>
              <w:rPr>
                <w:sz w:val="16"/>
                <w:szCs w:val="16"/>
              </w:rPr>
            </w:pPr>
            <w:r w:rsidRPr="007722AE">
              <w:rPr>
                <w:sz w:val="16"/>
                <w:szCs w:val="16"/>
              </w:rPr>
              <w:t>-4,473</w:t>
            </w:r>
          </w:p>
        </w:tc>
      </w:tr>
      <w:tr w:rsidR="00003B37" w:rsidRPr="00844BD4" w:rsidTr="00FC4A2F">
        <w:trPr>
          <w:trHeight w:val="315"/>
        </w:trPr>
        <w:tc>
          <w:tcPr>
            <w:tcW w:w="1438" w:type="dxa"/>
            <w:tcBorders>
              <w:top w:val="nil"/>
              <w:left w:val="single" w:sz="8" w:space="0" w:color="auto"/>
              <w:bottom w:val="single" w:sz="8" w:space="0" w:color="auto"/>
              <w:right w:val="single" w:sz="8" w:space="0" w:color="auto"/>
            </w:tcBorders>
            <w:shd w:val="clear" w:color="auto" w:fill="auto"/>
            <w:noWrap/>
            <w:vAlign w:val="bottom"/>
          </w:tcPr>
          <w:p w:rsidR="00003B37" w:rsidRPr="00844BD4" w:rsidRDefault="00003B37" w:rsidP="00FC4A2F">
            <w:pPr>
              <w:rPr>
                <w:sz w:val="16"/>
                <w:szCs w:val="16"/>
              </w:rPr>
            </w:pPr>
            <w:r w:rsidRPr="00844BD4">
              <w:rPr>
                <w:sz w:val="16"/>
                <w:szCs w:val="16"/>
              </w:rPr>
              <w:t>World total</w:t>
            </w:r>
          </w:p>
        </w:tc>
        <w:tc>
          <w:tcPr>
            <w:tcW w:w="936" w:type="dxa"/>
            <w:tcBorders>
              <w:top w:val="single" w:sz="8" w:space="0" w:color="auto"/>
              <w:left w:val="nil"/>
              <w:bottom w:val="single" w:sz="8" w:space="0" w:color="auto"/>
              <w:right w:val="single" w:sz="8" w:space="0" w:color="auto"/>
            </w:tcBorders>
            <w:vAlign w:val="center"/>
          </w:tcPr>
          <w:p w:rsidR="00003B37" w:rsidRPr="00BA4AD2" w:rsidRDefault="00003B37" w:rsidP="00FC4A2F">
            <w:pPr>
              <w:jc w:val="right"/>
              <w:rPr>
                <w:sz w:val="16"/>
                <w:szCs w:val="16"/>
              </w:rPr>
            </w:pPr>
            <w:r w:rsidRPr="00BA4AD2">
              <w:rPr>
                <w:sz w:val="16"/>
                <w:szCs w:val="16"/>
              </w:rPr>
              <w:t>2,754,656</w:t>
            </w:r>
          </w:p>
        </w:tc>
        <w:tc>
          <w:tcPr>
            <w:tcW w:w="876" w:type="dxa"/>
            <w:tcBorders>
              <w:top w:val="nil"/>
              <w:left w:val="single" w:sz="8" w:space="0" w:color="auto"/>
              <w:bottom w:val="single" w:sz="8" w:space="0" w:color="auto"/>
              <w:right w:val="single" w:sz="8" w:space="0" w:color="auto"/>
            </w:tcBorders>
            <w:shd w:val="clear" w:color="auto" w:fill="auto"/>
            <w:noWrap/>
            <w:vAlign w:val="center"/>
          </w:tcPr>
          <w:p w:rsidR="00003B37" w:rsidRPr="00BA4AD2" w:rsidRDefault="00003B37" w:rsidP="00FC4A2F">
            <w:pPr>
              <w:jc w:val="right"/>
              <w:rPr>
                <w:sz w:val="16"/>
                <w:szCs w:val="16"/>
              </w:rPr>
            </w:pPr>
            <w:r w:rsidRPr="00BA4AD2">
              <w:rPr>
                <w:sz w:val="16"/>
                <w:szCs w:val="16"/>
              </w:rPr>
              <w:t>129</w:t>
            </w:r>
          </w:p>
        </w:tc>
        <w:tc>
          <w:tcPr>
            <w:tcW w:w="1067" w:type="dxa"/>
            <w:tcBorders>
              <w:top w:val="nil"/>
              <w:left w:val="nil"/>
              <w:bottom w:val="single" w:sz="8" w:space="0" w:color="auto"/>
              <w:right w:val="single" w:sz="8" w:space="0" w:color="auto"/>
            </w:tcBorders>
            <w:shd w:val="clear" w:color="auto" w:fill="auto"/>
            <w:noWrap/>
            <w:vAlign w:val="center"/>
          </w:tcPr>
          <w:p w:rsidR="00003B37" w:rsidRPr="00BA4AD2" w:rsidRDefault="00003B37" w:rsidP="00FC4A2F">
            <w:pPr>
              <w:jc w:val="right"/>
              <w:rPr>
                <w:sz w:val="16"/>
                <w:szCs w:val="16"/>
              </w:rPr>
            </w:pPr>
            <w:r w:rsidRPr="00BA4AD2">
              <w:rPr>
                <w:sz w:val="16"/>
                <w:szCs w:val="16"/>
              </w:rPr>
              <w:t>58,155,223</w:t>
            </w:r>
          </w:p>
        </w:tc>
        <w:tc>
          <w:tcPr>
            <w:tcW w:w="1184" w:type="dxa"/>
            <w:tcBorders>
              <w:top w:val="nil"/>
              <w:left w:val="nil"/>
              <w:bottom w:val="single" w:sz="8" w:space="0" w:color="auto"/>
              <w:right w:val="single" w:sz="8" w:space="0" w:color="auto"/>
            </w:tcBorders>
            <w:shd w:val="clear" w:color="auto" w:fill="auto"/>
            <w:noWrap/>
            <w:vAlign w:val="center"/>
          </w:tcPr>
          <w:p w:rsidR="00003B37" w:rsidRPr="00BA4AD2" w:rsidRDefault="00003B37" w:rsidP="00FC4A2F">
            <w:pPr>
              <w:jc w:val="right"/>
              <w:rPr>
                <w:sz w:val="16"/>
                <w:szCs w:val="16"/>
              </w:rPr>
            </w:pPr>
            <w:r w:rsidRPr="00BA4AD2">
              <w:rPr>
                <w:sz w:val="16"/>
                <w:szCs w:val="16"/>
              </w:rPr>
              <w:t>-4.74%</w:t>
            </w:r>
          </w:p>
        </w:tc>
        <w:tc>
          <w:tcPr>
            <w:tcW w:w="1182" w:type="dxa"/>
            <w:tcBorders>
              <w:top w:val="nil"/>
              <w:left w:val="nil"/>
              <w:bottom w:val="single" w:sz="8" w:space="0" w:color="auto"/>
              <w:right w:val="single" w:sz="8" w:space="0" w:color="auto"/>
            </w:tcBorders>
            <w:shd w:val="clear" w:color="auto" w:fill="auto"/>
            <w:vAlign w:val="center"/>
          </w:tcPr>
          <w:p w:rsidR="00003B37" w:rsidRPr="00BA4AD2" w:rsidRDefault="00003B37" w:rsidP="00FC4A2F">
            <w:pPr>
              <w:jc w:val="right"/>
              <w:rPr>
                <w:sz w:val="16"/>
                <w:szCs w:val="16"/>
              </w:rPr>
            </w:pPr>
            <w:r w:rsidRPr="007722AE">
              <w:rPr>
                <w:sz w:val="16"/>
                <w:szCs w:val="16"/>
              </w:rPr>
              <w:t>4,187,594</w:t>
            </w:r>
          </w:p>
        </w:tc>
        <w:tc>
          <w:tcPr>
            <w:tcW w:w="1182" w:type="dxa"/>
            <w:tcBorders>
              <w:top w:val="nil"/>
              <w:left w:val="nil"/>
              <w:bottom w:val="single" w:sz="8" w:space="0" w:color="auto"/>
              <w:right w:val="single" w:sz="8" w:space="0" w:color="auto"/>
            </w:tcBorders>
            <w:shd w:val="clear" w:color="auto" w:fill="auto"/>
            <w:vAlign w:val="center"/>
          </w:tcPr>
          <w:p w:rsidR="00003B37" w:rsidRPr="00BA4AD2" w:rsidRDefault="00003B37" w:rsidP="00FC4A2F">
            <w:pPr>
              <w:jc w:val="right"/>
              <w:rPr>
                <w:sz w:val="16"/>
                <w:szCs w:val="16"/>
              </w:rPr>
            </w:pPr>
            <w:r w:rsidRPr="007722AE">
              <w:rPr>
                <w:sz w:val="16"/>
                <w:szCs w:val="16"/>
              </w:rPr>
              <w:t>-198,492</w:t>
            </w:r>
          </w:p>
        </w:tc>
      </w:tr>
    </w:tbl>
    <w:p w:rsidR="00003B37" w:rsidRDefault="00003B37" w:rsidP="00003B37">
      <w:pPr>
        <w:jc w:val="both"/>
        <w:rPr>
          <w:sz w:val="20"/>
          <w:szCs w:val="20"/>
        </w:rPr>
      </w:pPr>
      <w:r w:rsidRPr="00844BD4">
        <w:rPr>
          <w:sz w:val="20"/>
          <w:szCs w:val="20"/>
        </w:rPr>
        <w:t>Source: own elaboration based on</w:t>
      </w:r>
      <w:r>
        <w:rPr>
          <w:sz w:val="20"/>
          <w:szCs w:val="20"/>
        </w:rPr>
        <w:t xml:space="preserve"> </w:t>
      </w:r>
      <w:r>
        <w:rPr>
          <w:sz w:val="20"/>
          <w:szCs w:val="20"/>
        </w:rPr>
        <w:fldChar w:fldCharType="begin"/>
      </w:r>
      <w:r>
        <w:rPr>
          <w:sz w:val="20"/>
          <w:szCs w:val="20"/>
        </w:rPr>
        <w:instrText xml:space="preserve"> ADDIN ZOTERO_ITEM CSL_CITATION {"citationID":"2q6jc9d7v2","properties":{"formattedCitation":"(Robinet, 2011)","plainCitation":"(Robinet, 2011)"},"citationItems":[{"id":2815,"uris":["http://zotero.org/groups/271383/items/IB4T5ZHG"],"uri":["http://zotero.org/groups/271383/items/IB4T5ZHG"],"itemData":{"id":2815,"type":"webpage","title":"Japan Disaster Output Impacts Update","URL":"http://www.oesa.org/Doc-Vault/Knowledge-Center/Archived-Docs/Japan-Earthquake-Information/IHS-Japan-Disaster-Output-Impact-Update-June-10.pdf","author":[{"family":"Robinet","given":"M."}],"issued":{"date-parts":[["2011"]]}}}],"schema":"https://github.com/citation-style-language/schema/raw/master/csl-citation.json"} </w:instrText>
      </w:r>
      <w:r>
        <w:rPr>
          <w:sz w:val="20"/>
          <w:szCs w:val="20"/>
        </w:rPr>
        <w:fldChar w:fldCharType="separate"/>
      </w:r>
      <w:r>
        <w:rPr>
          <w:sz w:val="20"/>
        </w:rPr>
        <w:t>Robinet</w:t>
      </w:r>
      <w:r w:rsidRPr="00CE414C">
        <w:rPr>
          <w:sz w:val="20"/>
        </w:rPr>
        <w:t xml:space="preserve"> </w:t>
      </w:r>
      <w:r>
        <w:rPr>
          <w:sz w:val="20"/>
        </w:rPr>
        <w:t>(</w:t>
      </w:r>
      <w:r w:rsidRPr="00CE414C">
        <w:rPr>
          <w:sz w:val="20"/>
        </w:rPr>
        <w:t>2011)</w:t>
      </w:r>
      <w:r>
        <w:rPr>
          <w:sz w:val="20"/>
          <w:szCs w:val="20"/>
        </w:rPr>
        <w:fldChar w:fldCharType="end"/>
      </w:r>
      <w:r w:rsidRPr="00844BD4">
        <w:rPr>
          <w:sz w:val="20"/>
          <w:szCs w:val="20"/>
        </w:rPr>
        <w:t xml:space="preserve">, </w:t>
      </w:r>
      <w:r>
        <w:rPr>
          <w:sz w:val="20"/>
          <w:szCs w:val="20"/>
        </w:rPr>
        <w:fldChar w:fldCharType="begin"/>
      </w:r>
      <w:r>
        <w:rPr>
          <w:sz w:val="20"/>
          <w:szCs w:val="20"/>
        </w:rPr>
        <w:instrText xml:space="preserve"> ADDIN ZOTERO_ITEM CSL_CITATION {"citationID":"je1313e33","properties":{"formattedCitation":"(OICA, 2012)","plainCitation":"(OICA, 2012)"},"citationItems":[{"id":2794,"uris":["http://zotero.org/groups/271383/items/5RSQSF9F"],"uri":["http://zotero.org/groups/271383/items/5RSQSF9F"],"itemData":{"id":2794,"type":"webpage","title":"Production Statistics. 2010 Statistics","URL":"http://oica.net/category/production-statistics/2010-statistics/","author":[{"family":"OICA","given":""}],"issued":{"date-parts":[["2012"]]}}}],"schema":"https://github.com/citation-style-language/schema/raw/master/csl-citation.json"} </w:instrText>
      </w:r>
      <w:r>
        <w:rPr>
          <w:sz w:val="20"/>
          <w:szCs w:val="20"/>
        </w:rPr>
        <w:fldChar w:fldCharType="separate"/>
      </w:r>
      <w:r>
        <w:rPr>
          <w:sz w:val="20"/>
        </w:rPr>
        <w:t>OICA</w:t>
      </w:r>
      <w:r w:rsidRPr="00CE414C">
        <w:rPr>
          <w:sz w:val="20"/>
        </w:rPr>
        <w:t xml:space="preserve"> </w:t>
      </w:r>
      <w:r>
        <w:rPr>
          <w:sz w:val="20"/>
        </w:rPr>
        <w:t>(</w:t>
      </w:r>
      <w:r w:rsidRPr="00CE414C">
        <w:rPr>
          <w:sz w:val="20"/>
        </w:rPr>
        <w:t>2012)</w:t>
      </w:r>
      <w:r>
        <w:rPr>
          <w:sz w:val="20"/>
          <w:szCs w:val="20"/>
        </w:rPr>
        <w:fldChar w:fldCharType="end"/>
      </w:r>
      <w:r>
        <w:rPr>
          <w:sz w:val="20"/>
          <w:szCs w:val="20"/>
        </w:rPr>
        <w:t xml:space="preserve"> </w:t>
      </w:r>
      <w:r w:rsidRPr="00844BD4">
        <w:rPr>
          <w:sz w:val="20"/>
          <w:szCs w:val="20"/>
        </w:rPr>
        <w:t>and WIOD.</w:t>
      </w:r>
    </w:p>
    <w:p w:rsidR="00003B37" w:rsidRPr="00844BD4" w:rsidRDefault="00003B37" w:rsidP="00003B37">
      <w:pPr>
        <w:jc w:val="both"/>
        <w:rPr>
          <w:sz w:val="20"/>
          <w:szCs w:val="20"/>
        </w:rPr>
      </w:pPr>
      <w:r w:rsidRPr="00844BD4">
        <w:rPr>
          <w:sz w:val="20"/>
          <w:szCs w:val="20"/>
        </w:rPr>
        <w:t>Note: LV: Light Vehicles; TEI: Transport Equipment Industry.</w:t>
      </w:r>
    </w:p>
    <w:p w:rsidR="00003B37" w:rsidRDefault="00003B37" w:rsidP="00236D5B">
      <w:pPr>
        <w:spacing w:before="120" w:line="480" w:lineRule="auto"/>
        <w:ind w:left="720" w:hanging="720"/>
        <w:jc w:val="both"/>
      </w:pPr>
    </w:p>
    <w:p w:rsidR="00EF09BB" w:rsidRPr="00236D5B" w:rsidRDefault="00EF09BB" w:rsidP="00EF09BB">
      <w:pPr>
        <w:jc w:val="both"/>
        <w:rPr>
          <w:lang w:val="en-US"/>
        </w:rPr>
      </w:pPr>
      <w:r>
        <w:br w:type="page"/>
      </w:r>
      <w:r w:rsidRPr="00844BD4">
        <w:rPr>
          <w:b/>
        </w:rPr>
        <w:t xml:space="preserve">Table </w:t>
      </w:r>
      <w:r>
        <w:rPr>
          <w:b/>
        </w:rPr>
        <w:t>2</w:t>
      </w:r>
      <w:r w:rsidRPr="00844BD4">
        <w:rPr>
          <w:b/>
        </w:rPr>
        <w:t xml:space="preserve">. </w:t>
      </w:r>
      <w:r w:rsidRPr="00844BD4">
        <w:rPr>
          <w:b/>
          <w:lang w:val="en-US"/>
        </w:rPr>
        <w:t>Change in Value Added by region and impact category (million US$)</w:t>
      </w:r>
    </w:p>
    <w:tbl>
      <w:tblPr>
        <w:tblW w:w="892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5"/>
        <w:gridCol w:w="936"/>
        <w:gridCol w:w="791"/>
        <w:gridCol w:w="791"/>
        <w:gridCol w:w="791"/>
        <w:gridCol w:w="791"/>
        <w:gridCol w:w="791"/>
        <w:gridCol w:w="791"/>
        <w:gridCol w:w="808"/>
        <w:gridCol w:w="856"/>
      </w:tblGrid>
      <w:tr w:rsidR="00EF09BB" w:rsidRPr="00C558B9" w:rsidTr="00FC4A2F">
        <w:trPr>
          <w:trHeight w:val="315"/>
        </w:trPr>
        <w:tc>
          <w:tcPr>
            <w:tcW w:w="1575" w:type="dxa"/>
            <w:vMerge w:val="restart"/>
            <w:shd w:val="clear" w:color="auto" w:fill="auto"/>
            <w:noWrap/>
            <w:vAlign w:val="center"/>
          </w:tcPr>
          <w:p w:rsidR="00EF09BB" w:rsidRPr="00C558B9" w:rsidRDefault="00EF09BB" w:rsidP="00FC4A2F">
            <w:pPr>
              <w:rPr>
                <w:sz w:val="16"/>
                <w:szCs w:val="16"/>
              </w:rPr>
            </w:pPr>
          </w:p>
        </w:tc>
        <w:tc>
          <w:tcPr>
            <w:tcW w:w="936" w:type="dxa"/>
            <w:vMerge w:val="restart"/>
            <w:shd w:val="clear" w:color="auto" w:fill="auto"/>
            <w:noWrap/>
            <w:vAlign w:val="center"/>
          </w:tcPr>
          <w:p w:rsidR="00EF09BB" w:rsidRPr="00C558B9" w:rsidRDefault="00EF09BB" w:rsidP="00FC4A2F">
            <w:pPr>
              <w:jc w:val="center"/>
              <w:rPr>
                <w:sz w:val="16"/>
                <w:szCs w:val="16"/>
              </w:rPr>
            </w:pPr>
            <w:r w:rsidRPr="00C558B9">
              <w:rPr>
                <w:sz w:val="16"/>
                <w:szCs w:val="16"/>
              </w:rPr>
              <w:t>Base</w:t>
            </w:r>
          </w:p>
          <w:p w:rsidR="00EF09BB" w:rsidRPr="00C558B9" w:rsidRDefault="00EF09BB" w:rsidP="00FC4A2F">
            <w:pPr>
              <w:jc w:val="center"/>
              <w:rPr>
                <w:sz w:val="16"/>
                <w:szCs w:val="16"/>
              </w:rPr>
            </w:pPr>
            <w:r w:rsidRPr="00C558B9">
              <w:rPr>
                <w:sz w:val="16"/>
                <w:szCs w:val="16"/>
              </w:rPr>
              <w:t>Value</w:t>
            </w:r>
          </w:p>
          <w:p w:rsidR="00EF09BB" w:rsidRPr="00C558B9" w:rsidRDefault="00EF09BB" w:rsidP="00FC4A2F">
            <w:pPr>
              <w:jc w:val="center"/>
              <w:rPr>
                <w:sz w:val="16"/>
                <w:szCs w:val="16"/>
              </w:rPr>
            </w:pPr>
            <w:r w:rsidRPr="00C558B9">
              <w:rPr>
                <w:sz w:val="16"/>
                <w:szCs w:val="16"/>
              </w:rPr>
              <w:t>Added. 2010</w:t>
            </w:r>
          </w:p>
          <w:p w:rsidR="00EF09BB" w:rsidRPr="00C558B9" w:rsidRDefault="00EF09BB" w:rsidP="00FC4A2F">
            <w:pPr>
              <w:jc w:val="center"/>
              <w:rPr>
                <w:sz w:val="16"/>
                <w:szCs w:val="16"/>
              </w:rPr>
            </w:pPr>
            <w:r w:rsidRPr="00C558B9">
              <w:rPr>
                <w:sz w:val="16"/>
                <w:szCs w:val="16"/>
              </w:rPr>
              <w:t>(1)</w:t>
            </w:r>
          </w:p>
        </w:tc>
        <w:tc>
          <w:tcPr>
            <w:tcW w:w="2373" w:type="dxa"/>
            <w:gridSpan w:val="3"/>
            <w:shd w:val="clear" w:color="auto" w:fill="auto"/>
            <w:noWrap/>
            <w:vAlign w:val="center"/>
          </w:tcPr>
          <w:p w:rsidR="00EF09BB" w:rsidRPr="00B17A42" w:rsidRDefault="00EF09BB" w:rsidP="00FC4A2F">
            <w:pPr>
              <w:jc w:val="center"/>
              <w:rPr>
                <w:sz w:val="16"/>
                <w:szCs w:val="16"/>
              </w:rPr>
            </w:pPr>
            <w:r w:rsidRPr="00B17A42">
              <w:rPr>
                <w:sz w:val="16"/>
                <w:szCs w:val="16"/>
              </w:rPr>
              <w:t>Standard effect</w:t>
            </w:r>
          </w:p>
        </w:tc>
        <w:tc>
          <w:tcPr>
            <w:tcW w:w="2373" w:type="dxa"/>
            <w:gridSpan w:val="3"/>
            <w:shd w:val="clear" w:color="auto" w:fill="auto"/>
            <w:noWrap/>
            <w:vAlign w:val="center"/>
          </w:tcPr>
          <w:p w:rsidR="00EF09BB" w:rsidRPr="00B17A42" w:rsidRDefault="00EF09BB" w:rsidP="00FC4A2F">
            <w:pPr>
              <w:jc w:val="center"/>
              <w:rPr>
                <w:sz w:val="16"/>
                <w:szCs w:val="16"/>
              </w:rPr>
            </w:pPr>
            <w:r w:rsidRPr="00B17A42">
              <w:rPr>
                <w:sz w:val="16"/>
                <w:szCs w:val="16"/>
              </w:rPr>
              <w:t>Supply chain disruption effect</w:t>
            </w:r>
          </w:p>
        </w:tc>
        <w:tc>
          <w:tcPr>
            <w:tcW w:w="808" w:type="dxa"/>
            <w:vMerge w:val="restart"/>
            <w:vAlign w:val="center"/>
          </w:tcPr>
          <w:p w:rsidR="00EF09BB" w:rsidRPr="00C558B9" w:rsidRDefault="00EF09BB" w:rsidP="00FC4A2F">
            <w:pPr>
              <w:jc w:val="center"/>
              <w:rPr>
                <w:sz w:val="16"/>
                <w:szCs w:val="16"/>
              </w:rPr>
            </w:pPr>
            <w:r w:rsidRPr="00C558B9">
              <w:rPr>
                <w:sz w:val="16"/>
                <w:szCs w:val="16"/>
              </w:rPr>
              <w:t>Total</w:t>
            </w:r>
          </w:p>
          <w:p w:rsidR="00EF09BB" w:rsidRPr="00C558B9" w:rsidRDefault="00EF09BB" w:rsidP="00FC4A2F">
            <w:pPr>
              <w:jc w:val="center"/>
              <w:rPr>
                <w:sz w:val="16"/>
                <w:szCs w:val="16"/>
              </w:rPr>
            </w:pPr>
            <w:r w:rsidRPr="00C558B9">
              <w:rPr>
                <w:sz w:val="16"/>
                <w:szCs w:val="16"/>
              </w:rPr>
              <w:t>Change</w:t>
            </w:r>
          </w:p>
          <w:p w:rsidR="00EF09BB" w:rsidRPr="00C558B9" w:rsidRDefault="00EF09BB" w:rsidP="00FC4A2F">
            <w:pPr>
              <w:jc w:val="center"/>
              <w:rPr>
                <w:sz w:val="16"/>
                <w:szCs w:val="16"/>
              </w:rPr>
            </w:pPr>
            <w:r w:rsidRPr="00C558B9">
              <w:rPr>
                <w:sz w:val="16"/>
                <w:szCs w:val="16"/>
              </w:rPr>
              <w:t>(</w:t>
            </w:r>
            <w:r>
              <w:rPr>
                <w:sz w:val="16"/>
                <w:szCs w:val="16"/>
              </w:rPr>
              <w:t>8</w:t>
            </w:r>
            <w:r w:rsidRPr="00C558B9">
              <w:rPr>
                <w:sz w:val="16"/>
                <w:szCs w:val="16"/>
              </w:rPr>
              <w:t>) = (</w:t>
            </w:r>
            <w:r>
              <w:rPr>
                <w:sz w:val="16"/>
                <w:szCs w:val="16"/>
              </w:rPr>
              <w:t>2</w:t>
            </w:r>
            <w:r w:rsidRPr="00C558B9">
              <w:rPr>
                <w:sz w:val="16"/>
                <w:szCs w:val="16"/>
              </w:rPr>
              <w:t>) + (</w:t>
            </w:r>
            <w:r>
              <w:rPr>
                <w:sz w:val="16"/>
                <w:szCs w:val="16"/>
              </w:rPr>
              <w:t>7</w:t>
            </w:r>
            <w:r w:rsidRPr="00C558B9">
              <w:rPr>
                <w:sz w:val="16"/>
                <w:szCs w:val="16"/>
              </w:rPr>
              <w:t>)</w:t>
            </w:r>
          </w:p>
        </w:tc>
        <w:tc>
          <w:tcPr>
            <w:tcW w:w="856" w:type="dxa"/>
            <w:vMerge w:val="restart"/>
            <w:shd w:val="clear" w:color="auto" w:fill="auto"/>
            <w:noWrap/>
            <w:vAlign w:val="center"/>
          </w:tcPr>
          <w:p w:rsidR="00EF09BB" w:rsidRPr="00C558B9" w:rsidRDefault="00EF09BB" w:rsidP="00FC4A2F">
            <w:pPr>
              <w:jc w:val="center"/>
              <w:rPr>
                <w:sz w:val="16"/>
                <w:szCs w:val="16"/>
              </w:rPr>
            </w:pPr>
            <w:r w:rsidRPr="00C558B9">
              <w:rPr>
                <w:sz w:val="16"/>
                <w:szCs w:val="16"/>
              </w:rPr>
              <w:t>Share</w:t>
            </w:r>
          </w:p>
          <w:p w:rsidR="00EF09BB" w:rsidRPr="00C558B9" w:rsidRDefault="00EF09BB" w:rsidP="00FC4A2F">
            <w:pPr>
              <w:jc w:val="center"/>
              <w:rPr>
                <w:sz w:val="16"/>
                <w:szCs w:val="16"/>
              </w:rPr>
            </w:pPr>
            <w:r w:rsidRPr="00C558B9">
              <w:rPr>
                <w:sz w:val="16"/>
                <w:szCs w:val="16"/>
              </w:rPr>
              <w:t>Total</w:t>
            </w:r>
          </w:p>
          <w:p w:rsidR="00EF09BB" w:rsidRPr="00C558B9" w:rsidRDefault="00EF09BB" w:rsidP="00FC4A2F">
            <w:pPr>
              <w:jc w:val="center"/>
              <w:rPr>
                <w:sz w:val="16"/>
                <w:szCs w:val="16"/>
              </w:rPr>
            </w:pPr>
            <w:r w:rsidRPr="00C558B9">
              <w:rPr>
                <w:sz w:val="16"/>
                <w:szCs w:val="16"/>
              </w:rPr>
              <w:t>(</w:t>
            </w:r>
            <w:r>
              <w:rPr>
                <w:sz w:val="16"/>
                <w:szCs w:val="16"/>
              </w:rPr>
              <w:t>9</w:t>
            </w:r>
            <w:r w:rsidRPr="00C558B9">
              <w:rPr>
                <w:sz w:val="16"/>
                <w:szCs w:val="16"/>
              </w:rPr>
              <w:t>0)</w:t>
            </w:r>
          </w:p>
        </w:tc>
      </w:tr>
      <w:tr w:rsidR="00EF09BB" w:rsidRPr="00C558B9" w:rsidTr="00FC4A2F">
        <w:trPr>
          <w:trHeight w:val="780"/>
        </w:trPr>
        <w:tc>
          <w:tcPr>
            <w:tcW w:w="1575" w:type="dxa"/>
            <w:vMerge/>
            <w:shd w:val="clear" w:color="auto" w:fill="auto"/>
            <w:noWrap/>
            <w:vAlign w:val="center"/>
          </w:tcPr>
          <w:p w:rsidR="00EF09BB" w:rsidRPr="00C558B9" w:rsidRDefault="00EF09BB" w:rsidP="00FC4A2F">
            <w:pPr>
              <w:rPr>
                <w:sz w:val="16"/>
                <w:szCs w:val="16"/>
              </w:rPr>
            </w:pPr>
          </w:p>
        </w:tc>
        <w:tc>
          <w:tcPr>
            <w:tcW w:w="936" w:type="dxa"/>
            <w:vMerge/>
            <w:shd w:val="clear" w:color="auto" w:fill="auto"/>
            <w:noWrap/>
            <w:vAlign w:val="center"/>
          </w:tcPr>
          <w:p w:rsidR="00EF09BB" w:rsidRPr="00C558B9" w:rsidRDefault="00EF09BB" w:rsidP="00FC4A2F">
            <w:pPr>
              <w:jc w:val="center"/>
              <w:rPr>
                <w:sz w:val="16"/>
                <w:szCs w:val="16"/>
              </w:rPr>
            </w:pPr>
          </w:p>
        </w:tc>
        <w:tc>
          <w:tcPr>
            <w:tcW w:w="791" w:type="dxa"/>
            <w:shd w:val="clear" w:color="auto" w:fill="auto"/>
            <w:noWrap/>
            <w:vAlign w:val="center"/>
          </w:tcPr>
          <w:p w:rsidR="00EF09BB" w:rsidRPr="00C558B9" w:rsidRDefault="00EF09BB" w:rsidP="00FC4A2F">
            <w:pPr>
              <w:jc w:val="center"/>
              <w:rPr>
                <w:sz w:val="16"/>
                <w:szCs w:val="16"/>
              </w:rPr>
            </w:pPr>
            <w:r w:rsidRPr="00C558B9">
              <w:rPr>
                <w:sz w:val="16"/>
                <w:szCs w:val="16"/>
              </w:rPr>
              <w:t>I</w:t>
            </w:r>
          </w:p>
          <w:p w:rsidR="00EF09BB" w:rsidRPr="00C558B9" w:rsidRDefault="00EF09BB" w:rsidP="00FC4A2F">
            <w:pPr>
              <w:jc w:val="center"/>
              <w:rPr>
                <w:sz w:val="16"/>
                <w:szCs w:val="16"/>
              </w:rPr>
            </w:pPr>
            <w:r w:rsidRPr="00C558B9">
              <w:rPr>
                <w:sz w:val="16"/>
                <w:szCs w:val="16"/>
              </w:rPr>
              <w:t>(2)</w:t>
            </w:r>
          </w:p>
        </w:tc>
        <w:tc>
          <w:tcPr>
            <w:tcW w:w="791" w:type="dxa"/>
            <w:shd w:val="clear" w:color="auto" w:fill="auto"/>
            <w:noWrap/>
            <w:vAlign w:val="center"/>
          </w:tcPr>
          <w:p w:rsidR="00EF09BB" w:rsidRPr="00C558B9" w:rsidRDefault="00EF09BB" w:rsidP="00FC4A2F">
            <w:pPr>
              <w:jc w:val="center"/>
              <w:rPr>
                <w:sz w:val="16"/>
                <w:szCs w:val="16"/>
              </w:rPr>
            </w:pPr>
            <w:r w:rsidRPr="00C558B9">
              <w:rPr>
                <w:sz w:val="16"/>
                <w:szCs w:val="16"/>
              </w:rPr>
              <w:t>BD</w:t>
            </w:r>
          </w:p>
          <w:p w:rsidR="00EF09BB" w:rsidRPr="00C558B9" w:rsidRDefault="00EF09BB" w:rsidP="00FC4A2F">
            <w:pPr>
              <w:jc w:val="center"/>
              <w:rPr>
                <w:sz w:val="16"/>
                <w:szCs w:val="16"/>
              </w:rPr>
            </w:pPr>
            <w:r w:rsidRPr="00C558B9">
              <w:rPr>
                <w:sz w:val="16"/>
                <w:szCs w:val="16"/>
              </w:rPr>
              <w:t>(3)</w:t>
            </w:r>
          </w:p>
        </w:tc>
        <w:tc>
          <w:tcPr>
            <w:tcW w:w="791" w:type="dxa"/>
            <w:shd w:val="clear" w:color="auto" w:fill="auto"/>
            <w:noWrap/>
            <w:vAlign w:val="center"/>
          </w:tcPr>
          <w:p w:rsidR="00EF09BB" w:rsidRPr="00C558B9" w:rsidRDefault="00EF09BB" w:rsidP="00FC4A2F">
            <w:pPr>
              <w:jc w:val="center"/>
              <w:rPr>
                <w:sz w:val="16"/>
                <w:szCs w:val="16"/>
              </w:rPr>
            </w:pPr>
            <w:r w:rsidRPr="00C558B9">
              <w:rPr>
                <w:sz w:val="16"/>
                <w:szCs w:val="16"/>
              </w:rPr>
              <w:t>BI</w:t>
            </w:r>
          </w:p>
          <w:p w:rsidR="00EF09BB" w:rsidRPr="00C558B9" w:rsidRDefault="00EF09BB" w:rsidP="00FC4A2F">
            <w:pPr>
              <w:jc w:val="center"/>
              <w:rPr>
                <w:sz w:val="16"/>
                <w:szCs w:val="16"/>
              </w:rPr>
            </w:pPr>
            <w:r w:rsidRPr="00C558B9">
              <w:rPr>
                <w:sz w:val="16"/>
                <w:szCs w:val="16"/>
              </w:rPr>
              <w:t>(4)</w:t>
            </w:r>
          </w:p>
        </w:tc>
        <w:tc>
          <w:tcPr>
            <w:tcW w:w="791" w:type="dxa"/>
            <w:shd w:val="clear" w:color="auto" w:fill="auto"/>
            <w:noWrap/>
            <w:vAlign w:val="center"/>
          </w:tcPr>
          <w:p w:rsidR="00EF09BB" w:rsidRPr="00C558B9" w:rsidRDefault="00EF09BB" w:rsidP="00FC4A2F">
            <w:pPr>
              <w:jc w:val="center"/>
              <w:rPr>
                <w:sz w:val="16"/>
                <w:szCs w:val="16"/>
              </w:rPr>
            </w:pPr>
            <w:r>
              <w:rPr>
                <w:sz w:val="16"/>
                <w:szCs w:val="16"/>
              </w:rPr>
              <w:t>I</w:t>
            </w:r>
          </w:p>
          <w:p w:rsidR="00EF09BB" w:rsidRPr="00C558B9" w:rsidRDefault="00EF09BB" w:rsidP="00FC4A2F">
            <w:pPr>
              <w:jc w:val="center"/>
              <w:rPr>
                <w:sz w:val="16"/>
                <w:szCs w:val="16"/>
              </w:rPr>
            </w:pPr>
            <w:r w:rsidRPr="00C558B9">
              <w:rPr>
                <w:sz w:val="16"/>
                <w:szCs w:val="16"/>
              </w:rPr>
              <w:t>(5)</w:t>
            </w:r>
          </w:p>
        </w:tc>
        <w:tc>
          <w:tcPr>
            <w:tcW w:w="791" w:type="dxa"/>
            <w:shd w:val="clear" w:color="auto" w:fill="auto"/>
            <w:noWrap/>
            <w:vAlign w:val="center"/>
          </w:tcPr>
          <w:p w:rsidR="00EF09BB" w:rsidRPr="00C558B9" w:rsidRDefault="00EF09BB" w:rsidP="00FC4A2F">
            <w:pPr>
              <w:jc w:val="center"/>
              <w:rPr>
                <w:sz w:val="16"/>
                <w:szCs w:val="16"/>
              </w:rPr>
            </w:pPr>
            <w:r>
              <w:rPr>
                <w:sz w:val="16"/>
                <w:szCs w:val="16"/>
              </w:rPr>
              <w:t>BD</w:t>
            </w:r>
          </w:p>
          <w:p w:rsidR="00EF09BB" w:rsidRPr="00C558B9" w:rsidRDefault="00EF09BB" w:rsidP="00FC4A2F">
            <w:pPr>
              <w:jc w:val="center"/>
              <w:rPr>
                <w:sz w:val="16"/>
                <w:szCs w:val="16"/>
              </w:rPr>
            </w:pPr>
            <w:r w:rsidRPr="00C558B9">
              <w:rPr>
                <w:sz w:val="16"/>
                <w:szCs w:val="16"/>
              </w:rPr>
              <w:t>(6)</w:t>
            </w:r>
          </w:p>
        </w:tc>
        <w:tc>
          <w:tcPr>
            <w:tcW w:w="791" w:type="dxa"/>
            <w:shd w:val="clear" w:color="auto" w:fill="auto"/>
            <w:noWrap/>
            <w:vAlign w:val="center"/>
          </w:tcPr>
          <w:p w:rsidR="00EF09BB" w:rsidRPr="00C558B9" w:rsidRDefault="00EF09BB" w:rsidP="00FC4A2F">
            <w:pPr>
              <w:jc w:val="center"/>
              <w:rPr>
                <w:sz w:val="16"/>
                <w:szCs w:val="16"/>
              </w:rPr>
            </w:pPr>
            <w:r>
              <w:rPr>
                <w:sz w:val="16"/>
                <w:szCs w:val="16"/>
              </w:rPr>
              <w:t>B</w:t>
            </w:r>
            <w:r w:rsidRPr="00C558B9">
              <w:rPr>
                <w:sz w:val="16"/>
                <w:szCs w:val="16"/>
              </w:rPr>
              <w:t>I</w:t>
            </w:r>
          </w:p>
          <w:p w:rsidR="00EF09BB" w:rsidRPr="00C558B9" w:rsidRDefault="00EF09BB" w:rsidP="00FC4A2F">
            <w:pPr>
              <w:jc w:val="center"/>
              <w:rPr>
                <w:sz w:val="16"/>
                <w:szCs w:val="16"/>
              </w:rPr>
            </w:pPr>
            <w:r w:rsidRPr="00C558B9">
              <w:rPr>
                <w:sz w:val="16"/>
                <w:szCs w:val="16"/>
              </w:rPr>
              <w:t>(7)</w:t>
            </w:r>
          </w:p>
        </w:tc>
        <w:tc>
          <w:tcPr>
            <w:tcW w:w="808" w:type="dxa"/>
            <w:vMerge/>
            <w:vAlign w:val="center"/>
          </w:tcPr>
          <w:p w:rsidR="00EF09BB" w:rsidRPr="00C558B9" w:rsidRDefault="00EF09BB" w:rsidP="00FC4A2F">
            <w:pPr>
              <w:jc w:val="center"/>
              <w:rPr>
                <w:sz w:val="16"/>
                <w:szCs w:val="16"/>
              </w:rPr>
            </w:pPr>
          </w:p>
        </w:tc>
        <w:tc>
          <w:tcPr>
            <w:tcW w:w="856" w:type="dxa"/>
            <w:vMerge/>
            <w:shd w:val="clear" w:color="auto" w:fill="auto"/>
            <w:noWrap/>
            <w:vAlign w:val="center"/>
          </w:tcPr>
          <w:p w:rsidR="00EF09BB" w:rsidRPr="00C558B9" w:rsidRDefault="00EF09BB" w:rsidP="00FC4A2F">
            <w:pPr>
              <w:jc w:val="center"/>
              <w:rPr>
                <w:sz w:val="16"/>
                <w:szCs w:val="16"/>
              </w:rPr>
            </w:pPr>
          </w:p>
        </w:tc>
      </w:tr>
      <w:tr w:rsidR="00EF09BB" w:rsidRPr="00C558B9" w:rsidTr="00FC4A2F">
        <w:trPr>
          <w:trHeight w:val="225"/>
        </w:trPr>
        <w:tc>
          <w:tcPr>
            <w:tcW w:w="1575" w:type="dxa"/>
            <w:shd w:val="clear" w:color="auto" w:fill="auto"/>
            <w:noWrap/>
            <w:vAlign w:val="center"/>
          </w:tcPr>
          <w:p w:rsidR="00EF09BB" w:rsidRPr="00C558B9" w:rsidRDefault="00EF09BB" w:rsidP="00FC4A2F">
            <w:pPr>
              <w:rPr>
                <w:sz w:val="16"/>
                <w:szCs w:val="16"/>
              </w:rPr>
            </w:pPr>
            <w:r w:rsidRPr="00C558B9">
              <w:rPr>
                <w:sz w:val="16"/>
                <w:szCs w:val="16"/>
              </w:rPr>
              <w:t>Australia</w:t>
            </w:r>
          </w:p>
        </w:tc>
        <w:tc>
          <w:tcPr>
            <w:tcW w:w="936" w:type="dxa"/>
            <w:shd w:val="clear" w:color="auto" w:fill="auto"/>
            <w:noWrap/>
            <w:vAlign w:val="center"/>
          </w:tcPr>
          <w:p w:rsidR="00EF09BB" w:rsidRPr="00C558B9" w:rsidRDefault="00EF09BB" w:rsidP="00FC4A2F">
            <w:pPr>
              <w:jc w:val="right"/>
              <w:rPr>
                <w:sz w:val="16"/>
                <w:szCs w:val="16"/>
              </w:rPr>
            </w:pPr>
            <w:r w:rsidRPr="00C558B9">
              <w:rPr>
                <w:sz w:val="16"/>
                <w:szCs w:val="16"/>
              </w:rPr>
              <w:t>1,199,482</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0</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-43</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-479</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-480</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-502</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-693</w:t>
            </w:r>
          </w:p>
        </w:tc>
        <w:tc>
          <w:tcPr>
            <w:tcW w:w="808" w:type="dxa"/>
            <w:vAlign w:val="center"/>
          </w:tcPr>
          <w:p w:rsidR="00EF09BB" w:rsidRPr="00C558B9" w:rsidRDefault="00EF09BB" w:rsidP="00FC4A2F">
            <w:pPr>
              <w:jc w:val="right"/>
              <w:rPr>
                <w:sz w:val="16"/>
                <w:szCs w:val="16"/>
              </w:rPr>
            </w:pPr>
            <w:r w:rsidRPr="00C558B9">
              <w:rPr>
                <w:sz w:val="16"/>
                <w:szCs w:val="16"/>
              </w:rPr>
              <w:t>-2,196</w:t>
            </w:r>
          </w:p>
        </w:tc>
        <w:tc>
          <w:tcPr>
            <w:tcW w:w="856" w:type="dxa"/>
            <w:shd w:val="clear" w:color="auto" w:fill="auto"/>
            <w:noWrap/>
            <w:vAlign w:val="center"/>
          </w:tcPr>
          <w:p w:rsidR="00EF09BB" w:rsidRPr="00C558B9" w:rsidRDefault="00EF09BB" w:rsidP="00FC4A2F">
            <w:pPr>
              <w:jc w:val="right"/>
              <w:rPr>
                <w:sz w:val="16"/>
                <w:szCs w:val="16"/>
              </w:rPr>
            </w:pPr>
            <w:r w:rsidRPr="00C558B9">
              <w:rPr>
                <w:sz w:val="16"/>
                <w:szCs w:val="16"/>
              </w:rPr>
              <w:t>1.58%</w:t>
            </w:r>
          </w:p>
        </w:tc>
      </w:tr>
      <w:tr w:rsidR="00EF09BB" w:rsidRPr="00C558B9" w:rsidTr="00FC4A2F">
        <w:trPr>
          <w:trHeight w:val="225"/>
        </w:trPr>
        <w:tc>
          <w:tcPr>
            <w:tcW w:w="1575" w:type="dxa"/>
            <w:shd w:val="clear" w:color="auto" w:fill="auto"/>
            <w:noWrap/>
            <w:vAlign w:val="center"/>
          </w:tcPr>
          <w:p w:rsidR="00EF09BB" w:rsidRPr="00C558B9" w:rsidRDefault="00EF09BB" w:rsidP="00FC4A2F">
            <w:pPr>
              <w:rPr>
                <w:sz w:val="16"/>
                <w:szCs w:val="16"/>
              </w:rPr>
            </w:pPr>
            <w:r w:rsidRPr="00C558B9">
              <w:rPr>
                <w:sz w:val="16"/>
                <w:szCs w:val="16"/>
              </w:rPr>
              <w:t>Brazil</w:t>
            </w:r>
          </w:p>
        </w:tc>
        <w:tc>
          <w:tcPr>
            <w:tcW w:w="936" w:type="dxa"/>
            <w:shd w:val="clear" w:color="auto" w:fill="auto"/>
            <w:noWrap/>
            <w:vAlign w:val="center"/>
          </w:tcPr>
          <w:p w:rsidR="00EF09BB" w:rsidRPr="00C558B9" w:rsidRDefault="00EF09BB" w:rsidP="00FC4A2F">
            <w:pPr>
              <w:jc w:val="right"/>
              <w:rPr>
                <w:sz w:val="16"/>
                <w:szCs w:val="16"/>
              </w:rPr>
            </w:pPr>
            <w:r w:rsidRPr="00C558B9">
              <w:rPr>
                <w:sz w:val="16"/>
                <w:szCs w:val="16"/>
              </w:rPr>
              <w:t>1,803,334</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0</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-14</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-96</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-527</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-698</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-455</w:t>
            </w:r>
          </w:p>
        </w:tc>
        <w:tc>
          <w:tcPr>
            <w:tcW w:w="808" w:type="dxa"/>
            <w:vAlign w:val="center"/>
          </w:tcPr>
          <w:p w:rsidR="00EF09BB" w:rsidRPr="00C558B9" w:rsidRDefault="00EF09BB" w:rsidP="00FC4A2F">
            <w:pPr>
              <w:jc w:val="right"/>
              <w:rPr>
                <w:sz w:val="16"/>
                <w:szCs w:val="16"/>
              </w:rPr>
            </w:pPr>
            <w:r w:rsidRPr="00C558B9">
              <w:rPr>
                <w:sz w:val="16"/>
                <w:szCs w:val="16"/>
              </w:rPr>
              <w:t>-1,791</w:t>
            </w:r>
          </w:p>
        </w:tc>
        <w:tc>
          <w:tcPr>
            <w:tcW w:w="856" w:type="dxa"/>
            <w:shd w:val="clear" w:color="auto" w:fill="auto"/>
            <w:noWrap/>
            <w:vAlign w:val="center"/>
          </w:tcPr>
          <w:p w:rsidR="00EF09BB" w:rsidRPr="00C558B9" w:rsidRDefault="00EF09BB" w:rsidP="00FC4A2F">
            <w:pPr>
              <w:jc w:val="right"/>
              <w:rPr>
                <w:sz w:val="16"/>
                <w:szCs w:val="16"/>
              </w:rPr>
            </w:pPr>
            <w:r w:rsidRPr="00C558B9">
              <w:rPr>
                <w:sz w:val="16"/>
                <w:szCs w:val="16"/>
              </w:rPr>
              <w:t>1.29%</w:t>
            </w:r>
          </w:p>
        </w:tc>
      </w:tr>
      <w:tr w:rsidR="00EF09BB" w:rsidRPr="00C558B9" w:rsidTr="00FC4A2F">
        <w:trPr>
          <w:trHeight w:val="225"/>
        </w:trPr>
        <w:tc>
          <w:tcPr>
            <w:tcW w:w="1575" w:type="dxa"/>
            <w:shd w:val="clear" w:color="auto" w:fill="auto"/>
            <w:noWrap/>
            <w:vAlign w:val="center"/>
          </w:tcPr>
          <w:p w:rsidR="00EF09BB" w:rsidRPr="00C558B9" w:rsidRDefault="00EF09BB" w:rsidP="00FC4A2F">
            <w:pPr>
              <w:rPr>
                <w:sz w:val="16"/>
                <w:szCs w:val="16"/>
              </w:rPr>
            </w:pPr>
            <w:r w:rsidRPr="00C558B9">
              <w:rPr>
                <w:sz w:val="16"/>
                <w:szCs w:val="16"/>
              </w:rPr>
              <w:t>Canada</w:t>
            </w:r>
          </w:p>
        </w:tc>
        <w:tc>
          <w:tcPr>
            <w:tcW w:w="936" w:type="dxa"/>
            <w:shd w:val="clear" w:color="auto" w:fill="auto"/>
            <w:noWrap/>
            <w:vAlign w:val="center"/>
          </w:tcPr>
          <w:p w:rsidR="00EF09BB" w:rsidRPr="00C558B9" w:rsidRDefault="00EF09BB" w:rsidP="00FC4A2F">
            <w:pPr>
              <w:jc w:val="right"/>
              <w:rPr>
                <w:sz w:val="16"/>
                <w:szCs w:val="16"/>
              </w:rPr>
            </w:pPr>
            <w:r w:rsidRPr="00C558B9">
              <w:rPr>
                <w:sz w:val="16"/>
                <w:szCs w:val="16"/>
              </w:rPr>
              <w:t>1,458,647</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0</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-17</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-142</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-4,521</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-4,573</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-859</w:t>
            </w:r>
          </w:p>
        </w:tc>
        <w:tc>
          <w:tcPr>
            <w:tcW w:w="808" w:type="dxa"/>
            <w:vAlign w:val="center"/>
          </w:tcPr>
          <w:p w:rsidR="00EF09BB" w:rsidRPr="00C558B9" w:rsidRDefault="00EF09BB" w:rsidP="00FC4A2F">
            <w:pPr>
              <w:jc w:val="right"/>
              <w:rPr>
                <w:sz w:val="16"/>
                <w:szCs w:val="16"/>
              </w:rPr>
            </w:pPr>
            <w:r w:rsidRPr="00C558B9">
              <w:rPr>
                <w:sz w:val="16"/>
                <w:szCs w:val="16"/>
              </w:rPr>
              <w:t>-10,112</w:t>
            </w:r>
          </w:p>
        </w:tc>
        <w:tc>
          <w:tcPr>
            <w:tcW w:w="856" w:type="dxa"/>
            <w:shd w:val="clear" w:color="auto" w:fill="auto"/>
            <w:noWrap/>
            <w:vAlign w:val="center"/>
          </w:tcPr>
          <w:p w:rsidR="00EF09BB" w:rsidRPr="00C558B9" w:rsidRDefault="00EF09BB" w:rsidP="00FC4A2F">
            <w:pPr>
              <w:jc w:val="right"/>
              <w:rPr>
                <w:sz w:val="16"/>
                <w:szCs w:val="16"/>
              </w:rPr>
            </w:pPr>
            <w:r w:rsidRPr="00C558B9">
              <w:rPr>
                <w:sz w:val="16"/>
                <w:szCs w:val="16"/>
              </w:rPr>
              <w:t>7.27%</w:t>
            </w:r>
          </w:p>
        </w:tc>
      </w:tr>
      <w:tr w:rsidR="00EF09BB" w:rsidRPr="00C558B9" w:rsidTr="00FC4A2F">
        <w:trPr>
          <w:trHeight w:val="225"/>
        </w:trPr>
        <w:tc>
          <w:tcPr>
            <w:tcW w:w="1575" w:type="dxa"/>
            <w:shd w:val="clear" w:color="auto" w:fill="auto"/>
            <w:noWrap/>
            <w:vAlign w:val="center"/>
          </w:tcPr>
          <w:p w:rsidR="00EF09BB" w:rsidRPr="00C558B9" w:rsidRDefault="00EF09BB" w:rsidP="00FC4A2F">
            <w:pPr>
              <w:rPr>
                <w:sz w:val="16"/>
                <w:szCs w:val="16"/>
              </w:rPr>
            </w:pPr>
            <w:r w:rsidRPr="00C558B9">
              <w:rPr>
                <w:sz w:val="16"/>
                <w:szCs w:val="16"/>
              </w:rPr>
              <w:t>China</w:t>
            </w:r>
          </w:p>
        </w:tc>
        <w:tc>
          <w:tcPr>
            <w:tcW w:w="936" w:type="dxa"/>
            <w:shd w:val="clear" w:color="auto" w:fill="auto"/>
            <w:noWrap/>
            <w:vAlign w:val="center"/>
          </w:tcPr>
          <w:p w:rsidR="00EF09BB" w:rsidRPr="00C558B9" w:rsidRDefault="00EF09BB" w:rsidP="00FC4A2F">
            <w:pPr>
              <w:jc w:val="right"/>
              <w:rPr>
                <w:sz w:val="16"/>
                <w:szCs w:val="16"/>
              </w:rPr>
            </w:pPr>
            <w:r w:rsidRPr="00C558B9">
              <w:rPr>
                <w:sz w:val="16"/>
                <w:szCs w:val="16"/>
              </w:rPr>
              <w:t>5,931,085</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0</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-289</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-1,357</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-2,686</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-2,983</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-3,810</w:t>
            </w:r>
          </w:p>
        </w:tc>
        <w:tc>
          <w:tcPr>
            <w:tcW w:w="808" w:type="dxa"/>
            <w:vAlign w:val="center"/>
          </w:tcPr>
          <w:p w:rsidR="00EF09BB" w:rsidRPr="00C558B9" w:rsidRDefault="00EF09BB" w:rsidP="00FC4A2F">
            <w:pPr>
              <w:jc w:val="right"/>
              <w:rPr>
                <w:sz w:val="16"/>
                <w:szCs w:val="16"/>
              </w:rPr>
            </w:pPr>
            <w:r w:rsidRPr="00C558B9">
              <w:rPr>
                <w:sz w:val="16"/>
                <w:szCs w:val="16"/>
              </w:rPr>
              <w:t>-11,124</w:t>
            </w:r>
          </w:p>
        </w:tc>
        <w:tc>
          <w:tcPr>
            <w:tcW w:w="856" w:type="dxa"/>
            <w:shd w:val="clear" w:color="auto" w:fill="auto"/>
            <w:noWrap/>
            <w:vAlign w:val="center"/>
          </w:tcPr>
          <w:p w:rsidR="00EF09BB" w:rsidRPr="00C558B9" w:rsidRDefault="00EF09BB" w:rsidP="00FC4A2F">
            <w:pPr>
              <w:jc w:val="right"/>
              <w:rPr>
                <w:sz w:val="16"/>
                <w:szCs w:val="16"/>
              </w:rPr>
            </w:pPr>
            <w:r w:rsidRPr="00C558B9">
              <w:rPr>
                <w:sz w:val="16"/>
                <w:szCs w:val="16"/>
              </w:rPr>
              <w:t>8.00%</w:t>
            </w:r>
          </w:p>
        </w:tc>
      </w:tr>
      <w:tr w:rsidR="00EF09BB" w:rsidRPr="00C558B9" w:rsidTr="00FC4A2F">
        <w:trPr>
          <w:trHeight w:val="225"/>
        </w:trPr>
        <w:tc>
          <w:tcPr>
            <w:tcW w:w="1575" w:type="dxa"/>
            <w:shd w:val="clear" w:color="auto" w:fill="auto"/>
            <w:noWrap/>
            <w:vAlign w:val="center"/>
          </w:tcPr>
          <w:p w:rsidR="00EF09BB" w:rsidRPr="00C558B9" w:rsidRDefault="00EF09BB" w:rsidP="00FC4A2F">
            <w:pPr>
              <w:rPr>
                <w:sz w:val="16"/>
                <w:szCs w:val="16"/>
              </w:rPr>
            </w:pPr>
            <w:r w:rsidRPr="00C558B9">
              <w:rPr>
                <w:sz w:val="16"/>
                <w:szCs w:val="16"/>
              </w:rPr>
              <w:t>European Union</w:t>
            </w:r>
          </w:p>
        </w:tc>
        <w:tc>
          <w:tcPr>
            <w:tcW w:w="936" w:type="dxa"/>
            <w:shd w:val="clear" w:color="auto" w:fill="auto"/>
            <w:noWrap/>
            <w:vAlign w:val="center"/>
          </w:tcPr>
          <w:p w:rsidR="00EF09BB" w:rsidRPr="00C558B9" w:rsidRDefault="00EF09BB" w:rsidP="00FC4A2F">
            <w:pPr>
              <w:jc w:val="right"/>
              <w:rPr>
                <w:sz w:val="16"/>
                <w:szCs w:val="16"/>
              </w:rPr>
            </w:pPr>
            <w:r w:rsidRPr="00C558B9">
              <w:rPr>
                <w:sz w:val="16"/>
                <w:szCs w:val="16"/>
              </w:rPr>
              <w:t>14,677,889</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0</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-185</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-939</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-2,475</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-3,316</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-3,476</w:t>
            </w:r>
          </w:p>
        </w:tc>
        <w:tc>
          <w:tcPr>
            <w:tcW w:w="808" w:type="dxa"/>
            <w:vAlign w:val="center"/>
          </w:tcPr>
          <w:p w:rsidR="00EF09BB" w:rsidRPr="00C558B9" w:rsidRDefault="00EF09BB" w:rsidP="00FC4A2F">
            <w:pPr>
              <w:jc w:val="right"/>
              <w:rPr>
                <w:sz w:val="16"/>
                <w:szCs w:val="16"/>
              </w:rPr>
            </w:pPr>
            <w:r w:rsidRPr="00C558B9">
              <w:rPr>
                <w:sz w:val="16"/>
                <w:szCs w:val="16"/>
              </w:rPr>
              <w:t>-10,391</w:t>
            </w:r>
          </w:p>
        </w:tc>
        <w:tc>
          <w:tcPr>
            <w:tcW w:w="856" w:type="dxa"/>
            <w:shd w:val="clear" w:color="auto" w:fill="auto"/>
            <w:noWrap/>
            <w:vAlign w:val="center"/>
          </w:tcPr>
          <w:p w:rsidR="00EF09BB" w:rsidRPr="00C558B9" w:rsidRDefault="00EF09BB" w:rsidP="00FC4A2F">
            <w:pPr>
              <w:jc w:val="right"/>
              <w:rPr>
                <w:sz w:val="16"/>
                <w:szCs w:val="16"/>
              </w:rPr>
            </w:pPr>
            <w:r w:rsidRPr="00C558B9">
              <w:rPr>
                <w:sz w:val="16"/>
                <w:szCs w:val="16"/>
              </w:rPr>
              <w:t>7.47%</w:t>
            </w:r>
          </w:p>
        </w:tc>
      </w:tr>
      <w:tr w:rsidR="00EF09BB" w:rsidRPr="00C558B9" w:rsidTr="00FC4A2F">
        <w:trPr>
          <w:trHeight w:val="225"/>
        </w:trPr>
        <w:tc>
          <w:tcPr>
            <w:tcW w:w="1575" w:type="dxa"/>
            <w:shd w:val="clear" w:color="auto" w:fill="auto"/>
            <w:noWrap/>
            <w:vAlign w:val="center"/>
          </w:tcPr>
          <w:p w:rsidR="00EF09BB" w:rsidRPr="00C558B9" w:rsidRDefault="00EF09BB" w:rsidP="00FC4A2F">
            <w:pPr>
              <w:ind w:firstLineChars="100" w:firstLine="160"/>
              <w:rPr>
                <w:sz w:val="16"/>
                <w:szCs w:val="16"/>
              </w:rPr>
            </w:pPr>
            <w:r w:rsidRPr="00C558B9">
              <w:rPr>
                <w:sz w:val="16"/>
                <w:szCs w:val="16"/>
              </w:rPr>
              <w:t>Austria</w:t>
            </w:r>
          </w:p>
        </w:tc>
        <w:tc>
          <w:tcPr>
            <w:tcW w:w="936" w:type="dxa"/>
            <w:shd w:val="clear" w:color="auto" w:fill="auto"/>
            <w:noWrap/>
            <w:vAlign w:val="center"/>
          </w:tcPr>
          <w:p w:rsidR="00EF09BB" w:rsidRPr="00C558B9" w:rsidRDefault="00EF09BB" w:rsidP="00FC4A2F">
            <w:pPr>
              <w:jc w:val="right"/>
              <w:rPr>
                <w:sz w:val="16"/>
                <w:szCs w:val="16"/>
              </w:rPr>
            </w:pPr>
            <w:r w:rsidRPr="00C558B9">
              <w:rPr>
                <w:sz w:val="16"/>
                <w:szCs w:val="16"/>
              </w:rPr>
              <w:t>339,119</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0</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-7</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-29</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0</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-44</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-91</w:t>
            </w:r>
          </w:p>
        </w:tc>
        <w:tc>
          <w:tcPr>
            <w:tcW w:w="808" w:type="dxa"/>
            <w:vAlign w:val="center"/>
          </w:tcPr>
          <w:p w:rsidR="00EF09BB" w:rsidRPr="00C558B9" w:rsidRDefault="00EF09BB" w:rsidP="00FC4A2F">
            <w:pPr>
              <w:jc w:val="right"/>
              <w:rPr>
                <w:sz w:val="16"/>
                <w:szCs w:val="16"/>
              </w:rPr>
            </w:pPr>
            <w:r w:rsidRPr="00C558B9">
              <w:rPr>
                <w:sz w:val="16"/>
                <w:szCs w:val="16"/>
              </w:rPr>
              <w:t>-172</w:t>
            </w:r>
          </w:p>
        </w:tc>
        <w:tc>
          <w:tcPr>
            <w:tcW w:w="856" w:type="dxa"/>
            <w:shd w:val="clear" w:color="auto" w:fill="auto"/>
            <w:noWrap/>
            <w:vAlign w:val="center"/>
          </w:tcPr>
          <w:p w:rsidR="00EF09BB" w:rsidRPr="00C558B9" w:rsidRDefault="00EF09BB" w:rsidP="00FC4A2F">
            <w:pPr>
              <w:jc w:val="right"/>
              <w:rPr>
                <w:sz w:val="16"/>
                <w:szCs w:val="16"/>
              </w:rPr>
            </w:pPr>
            <w:r w:rsidRPr="00C558B9">
              <w:rPr>
                <w:sz w:val="16"/>
                <w:szCs w:val="16"/>
              </w:rPr>
              <w:t>0.12%</w:t>
            </w:r>
          </w:p>
        </w:tc>
      </w:tr>
      <w:tr w:rsidR="00EF09BB" w:rsidRPr="00C558B9" w:rsidTr="00FC4A2F">
        <w:trPr>
          <w:trHeight w:val="225"/>
        </w:trPr>
        <w:tc>
          <w:tcPr>
            <w:tcW w:w="1575" w:type="dxa"/>
            <w:shd w:val="clear" w:color="auto" w:fill="auto"/>
            <w:noWrap/>
            <w:vAlign w:val="center"/>
          </w:tcPr>
          <w:p w:rsidR="00EF09BB" w:rsidRPr="00C558B9" w:rsidRDefault="00EF09BB" w:rsidP="00FC4A2F">
            <w:pPr>
              <w:ind w:firstLineChars="100" w:firstLine="160"/>
              <w:rPr>
                <w:sz w:val="16"/>
                <w:szCs w:val="16"/>
              </w:rPr>
            </w:pPr>
            <w:r w:rsidRPr="00C558B9">
              <w:rPr>
                <w:sz w:val="16"/>
                <w:szCs w:val="16"/>
              </w:rPr>
              <w:t>Belgium</w:t>
            </w:r>
          </w:p>
        </w:tc>
        <w:tc>
          <w:tcPr>
            <w:tcW w:w="936" w:type="dxa"/>
            <w:shd w:val="clear" w:color="auto" w:fill="auto"/>
            <w:noWrap/>
            <w:vAlign w:val="center"/>
          </w:tcPr>
          <w:p w:rsidR="00EF09BB" w:rsidRPr="00C558B9" w:rsidRDefault="00EF09BB" w:rsidP="00FC4A2F">
            <w:pPr>
              <w:jc w:val="right"/>
              <w:rPr>
                <w:sz w:val="16"/>
                <w:szCs w:val="16"/>
              </w:rPr>
            </w:pPr>
            <w:r w:rsidRPr="00C558B9">
              <w:rPr>
                <w:sz w:val="16"/>
                <w:szCs w:val="16"/>
              </w:rPr>
              <w:t>421,101</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0</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-4</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-31</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-24</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-70</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-122</w:t>
            </w:r>
          </w:p>
        </w:tc>
        <w:tc>
          <w:tcPr>
            <w:tcW w:w="808" w:type="dxa"/>
            <w:vAlign w:val="center"/>
          </w:tcPr>
          <w:p w:rsidR="00EF09BB" w:rsidRPr="00C558B9" w:rsidRDefault="00EF09BB" w:rsidP="00FC4A2F">
            <w:pPr>
              <w:jc w:val="right"/>
              <w:rPr>
                <w:sz w:val="16"/>
                <w:szCs w:val="16"/>
              </w:rPr>
            </w:pPr>
            <w:r w:rsidRPr="00C558B9">
              <w:rPr>
                <w:sz w:val="16"/>
                <w:szCs w:val="16"/>
              </w:rPr>
              <w:t>-251</w:t>
            </w:r>
          </w:p>
        </w:tc>
        <w:tc>
          <w:tcPr>
            <w:tcW w:w="856" w:type="dxa"/>
            <w:shd w:val="clear" w:color="auto" w:fill="auto"/>
            <w:noWrap/>
            <w:vAlign w:val="center"/>
          </w:tcPr>
          <w:p w:rsidR="00EF09BB" w:rsidRPr="00C558B9" w:rsidRDefault="00EF09BB" w:rsidP="00FC4A2F">
            <w:pPr>
              <w:jc w:val="right"/>
              <w:rPr>
                <w:sz w:val="16"/>
                <w:szCs w:val="16"/>
              </w:rPr>
            </w:pPr>
            <w:r w:rsidRPr="00C558B9">
              <w:rPr>
                <w:sz w:val="16"/>
                <w:szCs w:val="16"/>
              </w:rPr>
              <w:t>0.18%</w:t>
            </w:r>
          </w:p>
        </w:tc>
      </w:tr>
      <w:tr w:rsidR="00EF09BB" w:rsidRPr="00C558B9" w:rsidTr="00FC4A2F">
        <w:trPr>
          <w:trHeight w:val="225"/>
        </w:trPr>
        <w:tc>
          <w:tcPr>
            <w:tcW w:w="1575" w:type="dxa"/>
            <w:shd w:val="clear" w:color="auto" w:fill="auto"/>
            <w:noWrap/>
            <w:vAlign w:val="center"/>
          </w:tcPr>
          <w:p w:rsidR="00EF09BB" w:rsidRPr="00C558B9" w:rsidRDefault="00EF09BB" w:rsidP="00FC4A2F">
            <w:pPr>
              <w:ind w:firstLineChars="100" w:firstLine="160"/>
              <w:rPr>
                <w:sz w:val="16"/>
                <w:szCs w:val="16"/>
              </w:rPr>
            </w:pPr>
            <w:r w:rsidRPr="00C558B9">
              <w:rPr>
                <w:sz w:val="16"/>
                <w:szCs w:val="16"/>
              </w:rPr>
              <w:t>Bulgaria</w:t>
            </w:r>
          </w:p>
        </w:tc>
        <w:tc>
          <w:tcPr>
            <w:tcW w:w="936" w:type="dxa"/>
            <w:shd w:val="clear" w:color="auto" w:fill="auto"/>
            <w:noWrap/>
            <w:vAlign w:val="center"/>
          </w:tcPr>
          <w:p w:rsidR="00EF09BB" w:rsidRPr="00C558B9" w:rsidRDefault="00EF09BB" w:rsidP="00FC4A2F">
            <w:pPr>
              <w:jc w:val="right"/>
              <w:rPr>
                <w:sz w:val="16"/>
                <w:szCs w:val="16"/>
              </w:rPr>
            </w:pPr>
            <w:r w:rsidRPr="00C558B9">
              <w:rPr>
                <w:sz w:val="16"/>
                <w:szCs w:val="16"/>
              </w:rPr>
              <w:t>38,532</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0</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0</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-2</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0</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-1</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-7</w:t>
            </w:r>
          </w:p>
        </w:tc>
        <w:tc>
          <w:tcPr>
            <w:tcW w:w="808" w:type="dxa"/>
            <w:vAlign w:val="center"/>
          </w:tcPr>
          <w:p w:rsidR="00EF09BB" w:rsidRPr="00C558B9" w:rsidRDefault="00EF09BB" w:rsidP="00FC4A2F">
            <w:pPr>
              <w:jc w:val="right"/>
              <w:rPr>
                <w:sz w:val="16"/>
                <w:szCs w:val="16"/>
              </w:rPr>
            </w:pPr>
            <w:r w:rsidRPr="00C558B9">
              <w:rPr>
                <w:sz w:val="16"/>
                <w:szCs w:val="16"/>
              </w:rPr>
              <w:t>-9</w:t>
            </w:r>
          </w:p>
        </w:tc>
        <w:tc>
          <w:tcPr>
            <w:tcW w:w="856" w:type="dxa"/>
            <w:shd w:val="clear" w:color="auto" w:fill="auto"/>
            <w:noWrap/>
            <w:vAlign w:val="center"/>
          </w:tcPr>
          <w:p w:rsidR="00EF09BB" w:rsidRPr="00C558B9" w:rsidRDefault="00EF09BB" w:rsidP="00FC4A2F">
            <w:pPr>
              <w:jc w:val="right"/>
              <w:rPr>
                <w:sz w:val="16"/>
                <w:szCs w:val="16"/>
              </w:rPr>
            </w:pPr>
            <w:r w:rsidRPr="00C558B9">
              <w:rPr>
                <w:sz w:val="16"/>
                <w:szCs w:val="16"/>
              </w:rPr>
              <w:t>0.01%</w:t>
            </w:r>
          </w:p>
        </w:tc>
      </w:tr>
      <w:tr w:rsidR="00EF09BB" w:rsidRPr="00C558B9" w:rsidTr="00FC4A2F">
        <w:trPr>
          <w:trHeight w:val="225"/>
        </w:trPr>
        <w:tc>
          <w:tcPr>
            <w:tcW w:w="1575" w:type="dxa"/>
            <w:shd w:val="clear" w:color="auto" w:fill="auto"/>
            <w:noWrap/>
            <w:vAlign w:val="center"/>
          </w:tcPr>
          <w:p w:rsidR="00EF09BB" w:rsidRPr="00C558B9" w:rsidRDefault="00EF09BB" w:rsidP="00FC4A2F">
            <w:pPr>
              <w:ind w:firstLineChars="100" w:firstLine="160"/>
              <w:rPr>
                <w:sz w:val="16"/>
                <w:szCs w:val="16"/>
              </w:rPr>
            </w:pPr>
            <w:r w:rsidRPr="00C558B9">
              <w:rPr>
                <w:sz w:val="16"/>
                <w:szCs w:val="16"/>
              </w:rPr>
              <w:t>Cyprus</w:t>
            </w:r>
          </w:p>
        </w:tc>
        <w:tc>
          <w:tcPr>
            <w:tcW w:w="936" w:type="dxa"/>
            <w:shd w:val="clear" w:color="auto" w:fill="auto"/>
            <w:noWrap/>
            <w:vAlign w:val="center"/>
          </w:tcPr>
          <w:p w:rsidR="00EF09BB" w:rsidRPr="00C558B9" w:rsidRDefault="00EF09BB" w:rsidP="00FC4A2F">
            <w:pPr>
              <w:jc w:val="right"/>
              <w:rPr>
                <w:sz w:val="16"/>
                <w:szCs w:val="16"/>
              </w:rPr>
            </w:pPr>
            <w:r w:rsidRPr="00C558B9">
              <w:rPr>
                <w:sz w:val="16"/>
                <w:szCs w:val="16"/>
              </w:rPr>
              <w:t>20,776</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0</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0</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0</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0</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0</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-1</w:t>
            </w:r>
          </w:p>
        </w:tc>
        <w:tc>
          <w:tcPr>
            <w:tcW w:w="808" w:type="dxa"/>
            <w:vAlign w:val="center"/>
          </w:tcPr>
          <w:p w:rsidR="00EF09BB" w:rsidRPr="00C558B9" w:rsidRDefault="00EF09BB" w:rsidP="00FC4A2F">
            <w:pPr>
              <w:jc w:val="right"/>
              <w:rPr>
                <w:sz w:val="16"/>
                <w:szCs w:val="16"/>
              </w:rPr>
            </w:pPr>
            <w:r w:rsidRPr="00C558B9">
              <w:rPr>
                <w:sz w:val="16"/>
                <w:szCs w:val="16"/>
              </w:rPr>
              <w:t>-2</w:t>
            </w:r>
          </w:p>
        </w:tc>
        <w:tc>
          <w:tcPr>
            <w:tcW w:w="856" w:type="dxa"/>
            <w:shd w:val="clear" w:color="auto" w:fill="auto"/>
            <w:noWrap/>
            <w:vAlign w:val="center"/>
          </w:tcPr>
          <w:p w:rsidR="00EF09BB" w:rsidRPr="00C558B9" w:rsidRDefault="00EF09BB" w:rsidP="00FC4A2F">
            <w:pPr>
              <w:jc w:val="right"/>
              <w:rPr>
                <w:sz w:val="16"/>
                <w:szCs w:val="16"/>
              </w:rPr>
            </w:pPr>
            <w:r w:rsidRPr="00C558B9">
              <w:rPr>
                <w:sz w:val="16"/>
                <w:szCs w:val="16"/>
              </w:rPr>
              <w:t>0.00%</w:t>
            </w:r>
          </w:p>
        </w:tc>
      </w:tr>
      <w:tr w:rsidR="00EF09BB" w:rsidRPr="00C558B9" w:rsidTr="00FC4A2F">
        <w:trPr>
          <w:trHeight w:val="225"/>
        </w:trPr>
        <w:tc>
          <w:tcPr>
            <w:tcW w:w="1575" w:type="dxa"/>
            <w:shd w:val="clear" w:color="auto" w:fill="auto"/>
            <w:noWrap/>
            <w:vAlign w:val="center"/>
          </w:tcPr>
          <w:p w:rsidR="00EF09BB" w:rsidRPr="00C558B9" w:rsidRDefault="00EF09BB" w:rsidP="00FC4A2F">
            <w:pPr>
              <w:ind w:firstLineChars="100" w:firstLine="160"/>
              <w:rPr>
                <w:sz w:val="16"/>
                <w:szCs w:val="16"/>
              </w:rPr>
            </w:pPr>
            <w:r w:rsidRPr="00C558B9">
              <w:rPr>
                <w:sz w:val="16"/>
                <w:szCs w:val="16"/>
              </w:rPr>
              <w:t>Czech R.</w:t>
            </w:r>
          </w:p>
        </w:tc>
        <w:tc>
          <w:tcPr>
            <w:tcW w:w="936" w:type="dxa"/>
            <w:shd w:val="clear" w:color="auto" w:fill="auto"/>
            <w:noWrap/>
            <w:vAlign w:val="center"/>
          </w:tcPr>
          <w:p w:rsidR="00EF09BB" w:rsidRPr="00C558B9" w:rsidRDefault="00EF09BB" w:rsidP="00FC4A2F">
            <w:pPr>
              <w:jc w:val="right"/>
              <w:rPr>
                <w:sz w:val="16"/>
                <w:szCs w:val="16"/>
              </w:rPr>
            </w:pPr>
            <w:r w:rsidRPr="00C558B9">
              <w:rPr>
                <w:sz w:val="16"/>
                <w:szCs w:val="16"/>
              </w:rPr>
              <w:t>172,005</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0</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-3</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-13</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0</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-20</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-50</w:t>
            </w:r>
          </w:p>
        </w:tc>
        <w:tc>
          <w:tcPr>
            <w:tcW w:w="808" w:type="dxa"/>
            <w:vAlign w:val="center"/>
          </w:tcPr>
          <w:p w:rsidR="00EF09BB" w:rsidRPr="00C558B9" w:rsidRDefault="00EF09BB" w:rsidP="00FC4A2F">
            <w:pPr>
              <w:jc w:val="right"/>
              <w:rPr>
                <w:sz w:val="16"/>
                <w:szCs w:val="16"/>
              </w:rPr>
            </w:pPr>
            <w:r w:rsidRPr="00C558B9">
              <w:rPr>
                <w:sz w:val="16"/>
                <w:szCs w:val="16"/>
              </w:rPr>
              <w:t>-86</w:t>
            </w:r>
          </w:p>
        </w:tc>
        <w:tc>
          <w:tcPr>
            <w:tcW w:w="856" w:type="dxa"/>
            <w:shd w:val="clear" w:color="auto" w:fill="auto"/>
            <w:noWrap/>
            <w:vAlign w:val="center"/>
          </w:tcPr>
          <w:p w:rsidR="00EF09BB" w:rsidRPr="00C558B9" w:rsidRDefault="00EF09BB" w:rsidP="00FC4A2F">
            <w:pPr>
              <w:jc w:val="right"/>
              <w:rPr>
                <w:sz w:val="16"/>
                <w:szCs w:val="16"/>
              </w:rPr>
            </w:pPr>
            <w:r w:rsidRPr="00C558B9">
              <w:rPr>
                <w:sz w:val="16"/>
                <w:szCs w:val="16"/>
              </w:rPr>
              <w:t>0.06%</w:t>
            </w:r>
          </w:p>
        </w:tc>
      </w:tr>
      <w:tr w:rsidR="00EF09BB" w:rsidRPr="00C558B9" w:rsidTr="00FC4A2F">
        <w:trPr>
          <w:trHeight w:val="225"/>
        </w:trPr>
        <w:tc>
          <w:tcPr>
            <w:tcW w:w="1575" w:type="dxa"/>
            <w:shd w:val="clear" w:color="auto" w:fill="auto"/>
            <w:noWrap/>
            <w:vAlign w:val="center"/>
          </w:tcPr>
          <w:p w:rsidR="00EF09BB" w:rsidRPr="00C558B9" w:rsidRDefault="00EF09BB" w:rsidP="00FC4A2F">
            <w:pPr>
              <w:ind w:firstLineChars="100" w:firstLine="160"/>
              <w:rPr>
                <w:sz w:val="16"/>
                <w:szCs w:val="16"/>
              </w:rPr>
            </w:pPr>
            <w:r w:rsidRPr="00C558B9">
              <w:rPr>
                <w:sz w:val="16"/>
                <w:szCs w:val="16"/>
              </w:rPr>
              <w:t>Denmark</w:t>
            </w:r>
          </w:p>
        </w:tc>
        <w:tc>
          <w:tcPr>
            <w:tcW w:w="936" w:type="dxa"/>
            <w:shd w:val="clear" w:color="auto" w:fill="auto"/>
            <w:noWrap/>
            <w:vAlign w:val="center"/>
          </w:tcPr>
          <w:p w:rsidR="00EF09BB" w:rsidRPr="00C558B9" w:rsidRDefault="00EF09BB" w:rsidP="00FC4A2F">
            <w:pPr>
              <w:jc w:val="right"/>
              <w:rPr>
                <w:sz w:val="16"/>
                <w:szCs w:val="16"/>
              </w:rPr>
            </w:pPr>
            <w:r w:rsidRPr="00C558B9">
              <w:rPr>
                <w:sz w:val="16"/>
                <w:szCs w:val="16"/>
              </w:rPr>
              <w:t>268,880</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0</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-2</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-15</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0</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-21</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-54</w:t>
            </w:r>
          </w:p>
        </w:tc>
        <w:tc>
          <w:tcPr>
            <w:tcW w:w="808" w:type="dxa"/>
            <w:vAlign w:val="center"/>
          </w:tcPr>
          <w:p w:rsidR="00EF09BB" w:rsidRPr="00C558B9" w:rsidRDefault="00EF09BB" w:rsidP="00FC4A2F">
            <w:pPr>
              <w:jc w:val="right"/>
              <w:rPr>
                <w:sz w:val="16"/>
                <w:szCs w:val="16"/>
              </w:rPr>
            </w:pPr>
            <w:r w:rsidRPr="00C558B9">
              <w:rPr>
                <w:sz w:val="16"/>
                <w:szCs w:val="16"/>
              </w:rPr>
              <w:t>-91</w:t>
            </w:r>
          </w:p>
        </w:tc>
        <w:tc>
          <w:tcPr>
            <w:tcW w:w="856" w:type="dxa"/>
            <w:shd w:val="clear" w:color="auto" w:fill="auto"/>
            <w:noWrap/>
            <w:vAlign w:val="center"/>
          </w:tcPr>
          <w:p w:rsidR="00EF09BB" w:rsidRPr="00C558B9" w:rsidRDefault="00EF09BB" w:rsidP="00FC4A2F">
            <w:pPr>
              <w:jc w:val="right"/>
              <w:rPr>
                <w:sz w:val="16"/>
                <w:szCs w:val="16"/>
              </w:rPr>
            </w:pPr>
            <w:r w:rsidRPr="00C558B9">
              <w:rPr>
                <w:sz w:val="16"/>
                <w:szCs w:val="16"/>
              </w:rPr>
              <w:t>0.07%</w:t>
            </w:r>
          </w:p>
        </w:tc>
      </w:tr>
      <w:tr w:rsidR="00EF09BB" w:rsidRPr="00C558B9" w:rsidTr="00FC4A2F">
        <w:trPr>
          <w:trHeight w:val="225"/>
        </w:trPr>
        <w:tc>
          <w:tcPr>
            <w:tcW w:w="1575" w:type="dxa"/>
            <w:shd w:val="clear" w:color="auto" w:fill="auto"/>
            <w:noWrap/>
            <w:vAlign w:val="center"/>
          </w:tcPr>
          <w:p w:rsidR="00EF09BB" w:rsidRPr="00C558B9" w:rsidRDefault="00EF09BB" w:rsidP="00FC4A2F">
            <w:pPr>
              <w:ind w:firstLineChars="100" w:firstLine="160"/>
              <w:rPr>
                <w:sz w:val="16"/>
                <w:szCs w:val="16"/>
              </w:rPr>
            </w:pPr>
            <w:r w:rsidRPr="00C558B9">
              <w:rPr>
                <w:sz w:val="16"/>
                <w:szCs w:val="16"/>
              </w:rPr>
              <w:t>Estonia</w:t>
            </w:r>
          </w:p>
        </w:tc>
        <w:tc>
          <w:tcPr>
            <w:tcW w:w="936" w:type="dxa"/>
            <w:shd w:val="clear" w:color="auto" w:fill="auto"/>
            <w:noWrap/>
            <w:vAlign w:val="center"/>
          </w:tcPr>
          <w:p w:rsidR="00EF09BB" w:rsidRPr="00C558B9" w:rsidRDefault="00EF09BB" w:rsidP="00FC4A2F">
            <w:pPr>
              <w:jc w:val="right"/>
              <w:rPr>
                <w:sz w:val="16"/>
                <w:szCs w:val="16"/>
              </w:rPr>
            </w:pPr>
            <w:r w:rsidRPr="00C558B9">
              <w:rPr>
                <w:sz w:val="16"/>
                <w:szCs w:val="16"/>
              </w:rPr>
              <w:t>16,538</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0</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0</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-1</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0</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-1</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-3</w:t>
            </w:r>
          </w:p>
        </w:tc>
        <w:tc>
          <w:tcPr>
            <w:tcW w:w="808" w:type="dxa"/>
            <w:vAlign w:val="center"/>
          </w:tcPr>
          <w:p w:rsidR="00EF09BB" w:rsidRPr="00C558B9" w:rsidRDefault="00EF09BB" w:rsidP="00FC4A2F">
            <w:pPr>
              <w:jc w:val="right"/>
              <w:rPr>
                <w:sz w:val="16"/>
                <w:szCs w:val="16"/>
              </w:rPr>
            </w:pPr>
            <w:r w:rsidRPr="00C558B9">
              <w:rPr>
                <w:sz w:val="16"/>
                <w:szCs w:val="16"/>
              </w:rPr>
              <w:t>-6</w:t>
            </w:r>
          </w:p>
        </w:tc>
        <w:tc>
          <w:tcPr>
            <w:tcW w:w="856" w:type="dxa"/>
            <w:shd w:val="clear" w:color="auto" w:fill="auto"/>
            <w:noWrap/>
            <w:vAlign w:val="center"/>
          </w:tcPr>
          <w:p w:rsidR="00EF09BB" w:rsidRPr="00C558B9" w:rsidRDefault="00EF09BB" w:rsidP="00FC4A2F">
            <w:pPr>
              <w:jc w:val="right"/>
              <w:rPr>
                <w:sz w:val="16"/>
                <w:szCs w:val="16"/>
              </w:rPr>
            </w:pPr>
            <w:r w:rsidRPr="00C558B9">
              <w:rPr>
                <w:sz w:val="16"/>
                <w:szCs w:val="16"/>
              </w:rPr>
              <w:t>0.00%</w:t>
            </w:r>
          </w:p>
        </w:tc>
      </w:tr>
      <w:tr w:rsidR="00EF09BB" w:rsidRPr="00C558B9" w:rsidTr="00FC4A2F">
        <w:trPr>
          <w:trHeight w:val="225"/>
        </w:trPr>
        <w:tc>
          <w:tcPr>
            <w:tcW w:w="1575" w:type="dxa"/>
            <w:shd w:val="clear" w:color="auto" w:fill="auto"/>
            <w:noWrap/>
            <w:vAlign w:val="center"/>
          </w:tcPr>
          <w:p w:rsidR="00EF09BB" w:rsidRPr="00C558B9" w:rsidRDefault="00EF09BB" w:rsidP="00FC4A2F">
            <w:pPr>
              <w:ind w:firstLineChars="100" w:firstLine="160"/>
              <w:rPr>
                <w:sz w:val="16"/>
                <w:szCs w:val="16"/>
              </w:rPr>
            </w:pPr>
            <w:r w:rsidRPr="00C558B9">
              <w:rPr>
                <w:sz w:val="16"/>
                <w:szCs w:val="16"/>
              </w:rPr>
              <w:t>Finland</w:t>
            </w:r>
          </w:p>
        </w:tc>
        <w:tc>
          <w:tcPr>
            <w:tcW w:w="936" w:type="dxa"/>
            <w:shd w:val="clear" w:color="auto" w:fill="auto"/>
            <w:noWrap/>
            <w:vAlign w:val="center"/>
          </w:tcPr>
          <w:p w:rsidR="00EF09BB" w:rsidRPr="00C558B9" w:rsidRDefault="00EF09BB" w:rsidP="00FC4A2F">
            <w:pPr>
              <w:jc w:val="right"/>
              <w:rPr>
                <w:sz w:val="16"/>
                <w:szCs w:val="16"/>
              </w:rPr>
            </w:pPr>
            <w:r w:rsidRPr="00C558B9">
              <w:rPr>
                <w:sz w:val="16"/>
                <w:szCs w:val="16"/>
              </w:rPr>
              <w:t>205,147</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0</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-4</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-22</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0</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-18</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-57</w:t>
            </w:r>
          </w:p>
        </w:tc>
        <w:tc>
          <w:tcPr>
            <w:tcW w:w="808" w:type="dxa"/>
            <w:vAlign w:val="center"/>
          </w:tcPr>
          <w:p w:rsidR="00EF09BB" w:rsidRPr="00C558B9" w:rsidRDefault="00EF09BB" w:rsidP="00FC4A2F">
            <w:pPr>
              <w:jc w:val="right"/>
              <w:rPr>
                <w:sz w:val="16"/>
                <w:szCs w:val="16"/>
              </w:rPr>
            </w:pPr>
            <w:r w:rsidRPr="00C558B9">
              <w:rPr>
                <w:sz w:val="16"/>
                <w:szCs w:val="16"/>
              </w:rPr>
              <w:t>-101</w:t>
            </w:r>
          </w:p>
        </w:tc>
        <w:tc>
          <w:tcPr>
            <w:tcW w:w="856" w:type="dxa"/>
            <w:shd w:val="clear" w:color="auto" w:fill="auto"/>
            <w:noWrap/>
            <w:vAlign w:val="center"/>
          </w:tcPr>
          <w:p w:rsidR="00EF09BB" w:rsidRPr="00C558B9" w:rsidRDefault="00EF09BB" w:rsidP="00FC4A2F">
            <w:pPr>
              <w:jc w:val="right"/>
              <w:rPr>
                <w:sz w:val="16"/>
                <w:szCs w:val="16"/>
              </w:rPr>
            </w:pPr>
            <w:r w:rsidRPr="00C558B9">
              <w:rPr>
                <w:sz w:val="16"/>
                <w:szCs w:val="16"/>
              </w:rPr>
              <w:t>0.07%</w:t>
            </w:r>
          </w:p>
        </w:tc>
      </w:tr>
      <w:tr w:rsidR="00EF09BB" w:rsidRPr="00C558B9" w:rsidTr="00FC4A2F">
        <w:trPr>
          <w:trHeight w:val="225"/>
        </w:trPr>
        <w:tc>
          <w:tcPr>
            <w:tcW w:w="1575" w:type="dxa"/>
            <w:shd w:val="clear" w:color="auto" w:fill="auto"/>
            <w:noWrap/>
            <w:vAlign w:val="center"/>
          </w:tcPr>
          <w:p w:rsidR="00EF09BB" w:rsidRPr="00C558B9" w:rsidRDefault="00EF09BB" w:rsidP="00FC4A2F">
            <w:pPr>
              <w:ind w:firstLineChars="100" w:firstLine="160"/>
              <w:rPr>
                <w:sz w:val="16"/>
                <w:szCs w:val="16"/>
              </w:rPr>
            </w:pPr>
            <w:r w:rsidRPr="00C558B9">
              <w:rPr>
                <w:sz w:val="16"/>
                <w:szCs w:val="16"/>
              </w:rPr>
              <w:t>France</w:t>
            </w:r>
          </w:p>
        </w:tc>
        <w:tc>
          <w:tcPr>
            <w:tcW w:w="936" w:type="dxa"/>
            <w:shd w:val="clear" w:color="auto" w:fill="auto"/>
            <w:noWrap/>
            <w:vAlign w:val="center"/>
          </w:tcPr>
          <w:p w:rsidR="00EF09BB" w:rsidRPr="00C558B9" w:rsidRDefault="00EF09BB" w:rsidP="00FC4A2F">
            <w:pPr>
              <w:jc w:val="right"/>
              <w:rPr>
                <w:sz w:val="16"/>
                <w:szCs w:val="16"/>
              </w:rPr>
            </w:pPr>
            <w:r w:rsidRPr="00C558B9">
              <w:rPr>
                <w:sz w:val="16"/>
                <w:szCs w:val="16"/>
              </w:rPr>
              <w:t>2,346,940</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0</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-22</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-125</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-347</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-518</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-457</w:t>
            </w:r>
          </w:p>
        </w:tc>
        <w:tc>
          <w:tcPr>
            <w:tcW w:w="808" w:type="dxa"/>
            <w:vAlign w:val="center"/>
          </w:tcPr>
          <w:p w:rsidR="00EF09BB" w:rsidRPr="00C558B9" w:rsidRDefault="00EF09BB" w:rsidP="00FC4A2F">
            <w:pPr>
              <w:jc w:val="right"/>
              <w:rPr>
                <w:sz w:val="16"/>
                <w:szCs w:val="16"/>
              </w:rPr>
            </w:pPr>
            <w:r w:rsidRPr="00C558B9">
              <w:rPr>
                <w:sz w:val="16"/>
                <w:szCs w:val="16"/>
              </w:rPr>
              <w:t>-1,469</w:t>
            </w:r>
          </w:p>
        </w:tc>
        <w:tc>
          <w:tcPr>
            <w:tcW w:w="856" w:type="dxa"/>
            <w:shd w:val="clear" w:color="auto" w:fill="auto"/>
            <w:noWrap/>
            <w:vAlign w:val="center"/>
          </w:tcPr>
          <w:p w:rsidR="00EF09BB" w:rsidRPr="00C558B9" w:rsidRDefault="00EF09BB" w:rsidP="00FC4A2F">
            <w:pPr>
              <w:jc w:val="right"/>
              <w:rPr>
                <w:sz w:val="16"/>
                <w:szCs w:val="16"/>
              </w:rPr>
            </w:pPr>
            <w:r w:rsidRPr="00C558B9">
              <w:rPr>
                <w:sz w:val="16"/>
                <w:szCs w:val="16"/>
              </w:rPr>
              <w:t>1.06%</w:t>
            </w:r>
          </w:p>
        </w:tc>
      </w:tr>
      <w:tr w:rsidR="00EF09BB" w:rsidRPr="00C558B9" w:rsidTr="00FC4A2F">
        <w:trPr>
          <w:trHeight w:val="225"/>
        </w:trPr>
        <w:tc>
          <w:tcPr>
            <w:tcW w:w="1575" w:type="dxa"/>
            <w:shd w:val="clear" w:color="auto" w:fill="auto"/>
            <w:noWrap/>
            <w:vAlign w:val="center"/>
          </w:tcPr>
          <w:p w:rsidR="00EF09BB" w:rsidRPr="00C558B9" w:rsidRDefault="00EF09BB" w:rsidP="00FC4A2F">
            <w:pPr>
              <w:ind w:firstLineChars="100" w:firstLine="160"/>
              <w:rPr>
                <w:sz w:val="16"/>
                <w:szCs w:val="16"/>
              </w:rPr>
            </w:pPr>
            <w:r w:rsidRPr="00C558B9">
              <w:rPr>
                <w:sz w:val="16"/>
                <w:szCs w:val="16"/>
              </w:rPr>
              <w:t>Germany</w:t>
            </w:r>
          </w:p>
        </w:tc>
        <w:tc>
          <w:tcPr>
            <w:tcW w:w="936" w:type="dxa"/>
            <w:shd w:val="clear" w:color="auto" w:fill="auto"/>
            <w:noWrap/>
            <w:vAlign w:val="center"/>
          </w:tcPr>
          <w:p w:rsidR="00EF09BB" w:rsidRPr="00C558B9" w:rsidRDefault="00EF09BB" w:rsidP="00FC4A2F">
            <w:pPr>
              <w:jc w:val="right"/>
              <w:rPr>
                <w:sz w:val="16"/>
                <w:szCs w:val="16"/>
              </w:rPr>
            </w:pPr>
            <w:r w:rsidRPr="00C558B9">
              <w:rPr>
                <w:sz w:val="16"/>
                <w:szCs w:val="16"/>
              </w:rPr>
              <w:t>2,992,408</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0</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-64</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-277</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-99</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-595</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-484</w:t>
            </w:r>
          </w:p>
        </w:tc>
        <w:tc>
          <w:tcPr>
            <w:tcW w:w="808" w:type="dxa"/>
            <w:vAlign w:val="center"/>
          </w:tcPr>
          <w:p w:rsidR="00EF09BB" w:rsidRPr="00C558B9" w:rsidRDefault="00EF09BB" w:rsidP="00FC4A2F">
            <w:pPr>
              <w:jc w:val="right"/>
              <w:rPr>
                <w:sz w:val="16"/>
                <w:szCs w:val="16"/>
              </w:rPr>
            </w:pPr>
            <w:r w:rsidRPr="00C558B9">
              <w:rPr>
                <w:sz w:val="16"/>
                <w:szCs w:val="16"/>
              </w:rPr>
              <w:t>-1,519</w:t>
            </w:r>
          </w:p>
        </w:tc>
        <w:tc>
          <w:tcPr>
            <w:tcW w:w="856" w:type="dxa"/>
            <w:shd w:val="clear" w:color="auto" w:fill="auto"/>
            <w:noWrap/>
            <w:vAlign w:val="center"/>
          </w:tcPr>
          <w:p w:rsidR="00EF09BB" w:rsidRPr="00C558B9" w:rsidRDefault="00EF09BB" w:rsidP="00FC4A2F">
            <w:pPr>
              <w:jc w:val="right"/>
              <w:rPr>
                <w:sz w:val="16"/>
                <w:szCs w:val="16"/>
              </w:rPr>
            </w:pPr>
            <w:r w:rsidRPr="00C558B9">
              <w:rPr>
                <w:sz w:val="16"/>
                <w:szCs w:val="16"/>
              </w:rPr>
              <w:t>1.09%</w:t>
            </w:r>
          </w:p>
        </w:tc>
      </w:tr>
      <w:tr w:rsidR="00EF09BB" w:rsidRPr="00C558B9" w:rsidTr="00FC4A2F">
        <w:trPr>
          <w:trHeight w:val="225"/>
        </w:trPr>
        <w:tc>
          <w:tcPr>
            <w:tcW w:w="1575" w:type="dxa"/>
            <w:shd w:val="clear" w:color="auto" w:fill="auto"/>
            <w:noWrap/>
            <w:vAlign w:val="center"/>
          </w:tcPr>
          <w:p w:rsidR="00EF09BB" w:rsidRPr="00C558B9" w:rsidRDefault="00EF09BB" w:rsidP="00FC4A2F">
            <w:pPr>
              <w:ind w:firstLineChars="100" w:firstLine="160"/>
              <w:rPr>
                <w:sz w:val="16"/>
                <w:szCs w:val="16"/>
              </w:rPr>
            </w:pPr>
            <w:r w:rsidRPr="00C558B9">
              <w:rPr>
                <w:sz w:val="16"/>
                <w:szCs w:val="16"/>
              </w:rPr>
              <w:t>Greece</w:t>
            </w:r>
          </w:p>
        </w:tc>
        <w:tc>
          <w:tcPr>
            <w:tcW w:w="936" w:type="dxa"/>
            <w:shd w:val="clear" w:color="auto" w:fill="auto"/>
            <w:noWrap/>
            <w:vAlign w:val="center"/>
          </w:tcPr>
          <w:p w:rsidR="00EF09BB" w:rsidRPr="00C558B9" w:rsidRDefault="00EF09BB" w:rsidP="00FC4A2F">
            <w:pPr>
              <w:jc w:val="right"/>
              <w:rPr>
                <w:sz w:val="16"/>
                <w:szCs w:val="16"/>
              </w:rPr>
            </w:pPr>
            <w:r w:rsidRPr="00C558B9">
              <w:rPr>
                <w:sz w:val="16"/>
                <w:szCs w:val="16"/>
              </w:rPr>
              <w:t>273,987</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0</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0</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-6</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0</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-3</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-16</w:t>
            </w:r>
          </w:p>
        </w:tc>
        <w:tc>
          <w:tcPr>
            <w:tcW w:w="808" w:type="dxa"/>
            <w:vAlign w:val="center"/>
          </w:tcPr>
          <w:p w:rsidR="00EF09BB" w:rsidRPr="00C558B9" w:rsidRDefault="00EF09BB" w:rsidP="00FC4A2F">
            <w:pPr>
              <w:jc w:val="right"/>
              <w:rPr>
                <w:sz w:val="16"/>
                <w:szCs w:val="16"/>
              </w:rPr>
            </w:pPr>
            <w:r w:rsidRPr="00C558B9">
              <w:rPr>
                <w:sz w:val="16"/>
                <w:szCs w:val="16"/>
              </w:rPr>
              <w:t>-25</w:t>
            </w:r>
          </w:p>
        </w:tc>
        <w:tc>
          <w:tcPr>
            <w:tcW w:w="856" w:type="dxa"/>
            <w:shd w:val="clear" w:color="auto" w:fill="auto"/>
            <w:noWrap/>
            <w:vAlign w:val="center"/>
          </w:tcPr>
          <w:p w:rsidR="00EF09BB" w:rsidRPr="00C558B9" w:rsidRDefault="00EF09BB" w:rsidP="00FC4A2F">
            <w:pPr>
              <w:jc w:val="right"/>
              <w:rPr>
                <w:sz w:val="16"/>
                <w:szCs w:val="16"/>
              </w:rPr>
            </w:pPr>
            <w:r w:rsidRPr="00C558B9">
              <w:rPr>
                <w:sz w:val="16"/>
                <w:szCs w:val="16"/>
              </w:rPr>
              <w:t>0.02%</w:t>
            </w:r>
          </w:p>
        </w:tc>
      </w:tr>
      <w:tr w:rsidR="00EF09BB" w:rsidRPr="00C558B9" w:rsidTr="00FC4A2F">
        <w:trPr>
          <w:trHeight w:val="225"/>
        </w:trPr>
        <w:tc>
          <w:tcPr>
            <w:tcW w:w="1575" w:type="dxa"/>
            <w:shd w:val="clear" w:color="auto" w:fill="auto"/>
            <w:noWrap/>
            <w:vAlign w:val="center"/>
          </w:tcPr>
          <w:p w:rsidR="00EF09BB" w:rsidRPr="00C558B9" w:rsidRDefault="00EF09BB" w:rsidP="00FC4A2F">
            <w:pPr>
              <w:ind w:firstLineChars="100" w:firstLine="160"/>
              <w:rPr>
                <w:sz w:val="16"/>
                <w:szCs w:val="16"/>
              </w:rPr>
            </w:pPr>
            <w:r w:rsidRPr="00C558B9">
              <w:rPr>
                <w:sz w:val="16"/>
                <w:szCs w:val="16"/>
              </w:rPr>
              <w:t>Hungary</w:t>
            </w:r>
          </w:p>
        </w:tc>
        <w:tc>
          <w:tcPr>
            <w:tcW w:w="936" w:type="dxa"/>
            <w:shd w:val="clear" w:color="auto" w:fill="auto"/>
            <w:noWrap/>
            <w:vAlign w:val="center"/>
          </w:tcPr>
          <w:p w:rsidR="00EF09BB" w:rsidRPr="00C558B9" w:rsidRDefault="00EF09BB" w:rsidP="00FC4A2F">
            <w:pPr>
              <w:jc w:val="right"/>
              <w:rPr>
                <w:sz w:val="16"/>
                <w:szCs w:val="16"/>
              </w:rPr>
            </w:pPr>
            <w:r w:rsidRPr="00C558B9">
              <w:rPr>
                <w:sz w:val="16"/>
                <w:szCs w:val="16"/>
              </w:rPr>
              <w:t>110,628</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0</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-2</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-10</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-36</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-32</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-25</w:t>
            </w:r>
          </w:p>
        </w:tc>
        <w:tc>
          <w:tcPr>
            <w:tcW w:w="808" w:type="dxa"/>
            <w:vAlign w:val="center"/>
          </w:tcPr>
          <w:p w:rsidR="00EF09BB" w:rsidRPr="00C558B9" w:rsidRDefault="00EF09BB" w:rsidP="00FC4A2F">
            <w:pPr>
              <w:jc w:val="right"/>
              <w:rPr>
                <w:sz w:val="16"/>
                <w:szCs w:val="16"/>
              </w:rPr>
            </w:pPr>
            <w:r w:rsidRPr="00C558B9">
              <w:rPr>
                <w:sz w:val="16"/>
                <w:szCs w:val="16"/>
              </w:rPr>
              <w:t>-105</w:t>
            </w:r>
          </w:p>
        </w:tc>
        <w:tc>
          <w:tcPr>
            <w:tcW w:w="856" w:type="dxa"/>
            <w:shd w:val="clear" w:color="auto" w:fill="auto"/>
            <w:noWrap/>
            <w:vAlign w:val="center"/>
          </w:tcPr>
          <w:p w:rsidR="00EF09BB" w:rsidRPr="00C558B9" w:rsidRDefault="00EF09BB" w:rsidP="00FC4A2F">
            <w:pPr>
              <w:jc w:val="right"/>
              <w:rPr>
                <w:sz w:val="16"/>
                <w:szCs w:val="16"/>
              </w:rPr>
            </w:pPr>
            <w:r w:rsidRPr="00C558B9">
              <w:rPr>
                <w:sz w:val="16"/>
                <w:szCs w:val="16"/>
              </w:rPr>
              <w:t>0.08%</w:t>
            </w:r>
          </w:p>
        </w:tc>
      </w:tr>
      <w:tr w:rsidR="00EF09BB" w:rsidRPr="00C558B9" w:rsidTr="00FC4A2F">
        <w:trPr>
          <w:trHeight w:val="225"/>
        </w:trPr>
        <w:tc>
          <w:tcPr>
            <w:tcW w:w="1575" w:type="dxa"/>
            <w:shd w:val="clear" w:color="auto" w:fill="auto"/>
            <w:noWrap/>
            <w:vAlign w:val="center"/>
          </w:tcPr>
          <w:p w:rsidR="00EF09BB" w:rsidRPr="00C558B9" w:rsidRDefault="00EF09BB" w:rsidP="00FC4A2F">
            <w:pPr>
              <w:ind w:firstLineChars="100" w:firstLine="160"/>
              <w:rPr>
                <w:sz w:val="16"/>
                <w:szCs w:val="16"/>
              </w:rPr>
            </w:pPr>
            <w:r w:rsidRPr="00C558B9">
              <w:rPr>
                <w:sz w:val="16"/>
                <w:szCs w:val="16"/>
              </w:rPr>
              <w:t>Ireland</w:t>
            </w:r>
          </w:p>
        </w:tc>
        <w:tc>
          <w:tcPr>
            <w:tcW w:w="936" w:type="dxa"/>
            <w:shd w:val="clear" w:color="auto" w:fill="auto"/>
            <w:noWrap/>
            <w:vAlign w:val="center"/>
          </w:tcPr>
          <w:p w:rsidR="00EF09BB" w:rsidRPr="00C558B9" w:rsidRDefault="00EF09BB" w:rsidP="00FC4A2F">
            <w:pPr>
              <w:jc w:val="right"/>
              <w:rPr>
                <w:sz w:val="16"/>
                <w:szCs w:val="16"/>
              </w:rPr>
            </w:pPr>
            <w:r w:rsidRPr="00C558B9">
              <w:rPr>
                <w:sz w:val="16"/>
                <w:szCs w:val="16"/>
              </w:rPr>
              <w:t>188,777</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0</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-3</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-21</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0</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-29</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-75</w:t>
            </w:r>
          </w:p>
        </w:tc>
        <w:tc>
          <w:tcPr>
            <w:tcW w:w="808" w:type="dxa"/>
            <w:vAlign w:val="center"/>
          </w:tcPr>
          <w:p w:rsidR="00EF09BB" w:rsidRPr="00C558B9" w:rsidRDefault="00EF09BB" w:rsidP="00FC4A2F">
            <w:pPr>
              <w:jc w:val="right"/>
              <w:rPr>
                <w:sz w:val="16"/>
                <w:szCs w:val="16"/>
              </w:rPr>
            </w:pPr>
            <w:r w:rsidRPr="00C558B9">
              <w:rPr>
                <w:sz w:val="16"/>
                <w:szCs w:val="16"/>
              </w:rPr>
              <w:t>-128</w:t>
            </w:r>
          </w:p>
        </w:tc>
        <w:tc>
          <w:tcPr>
            <w:tcW w:w="856" w:type="dxa"/>
            <w:shd w:val="clear" w:color="auto" w:fill="auto"/>
            <w:noWrap/>
            <w:vAlign w:val="center"/>
          </w:tcPr>
          <w:p w:rsidR="00EF09BB" w:rsidRPr="00C558B9" w:rsidRDefault="00EF09BB" w:rsidP="00FC4A2F">
            <w:pPr>
              <w:jc w:val="right"/>
              <w:rPr>
                <w:sz w:val="16"/>
                <w:szCs w:val="16"/>
              </w:rPr>
            </w:pPr>
            <w:r w:rsidRPr="00C558B9">
              <w:rPr>
                <w:sz w:val="16"/>
                <w:szCs w:val="16"/>
              </w:rPr>
              <w:t>0.09%</w:t>
            </w:r>
          </w:p>
        </w:tc>
      </w:tr>
      <w:tr w:rsidR="00EF09BB" w:rsidRPr="00C558B9" w:rsidTr="00FC4A2F">
        <w:trPr>
          <w:trHeight w:val="225"/>
        </w:trPr>
        <w:tc>
          <w:tcPr>
            <w:tcW w:w="1575" w:type="dxa"/>
            <w:shd w:val="clear" w:color="auto" w:fill="auto"/>
            <w:noWrap/>
            <w:vAlign w:val="center"/>
          </w:tcPr>
          <w:p w:rsidR="00EF09BB" w:rsidRPr="00C558B9" w:rsidRDefault="00EF09BB" w:rsidP="00FC4A2F">
            <w:pPr>
              <w:ind w:firstLineChars="100" w:firstLine="160"/>
              <w:rPr>
                <w:sz w:val="16"/>
                <w:szCs w:val="16"/>
              </w:rPr>
            </w:pPr>
            <w:r w:rsidRPr="00C558B9">
              <w:rPr>
                <w:sz w:val="16"/>
                <w:szCs w:val="16"/>
              </w:rPr>
              <w:t>Italy</w:t>
            </w:r>
          </w:p>
        </w:tc>
        <w:tc>
          <w:tcPr>
            <w:tcW w:w="936" w:type="dxa"/>
            <w:shd w:val="clear" w:color="auto" w:fill="auto"/>
            <w:noWrap/>
            <w:vAlign w:val="center"/>
          </w:tcPr>
          <w:p w:rsidR="00EF09BB" w:rsidRPr="00C558B9" w:rsidRDefault="00EF09BB" w:rsidP="00FC4A2F">
            <w:pPr>
              <w:jc w:val="right"/>
              <w:rPr>
                <w:sz w:val="16"/>
                <w:szCs w:val="16"/>
              </w:rPr>
            </w:pPr>
            <w:r w:rsidRPr="00C558B9">
              <w:rPr>
                <w:sz w:val="16"/>
                <w:szCs w:val="16"/>
              </w:rPr>
              <w:t>1,841,362</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0</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-13</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-82</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0</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-132</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-376</w:t>
            </w:r>
          </w:p>
        </w:tc>
        <w:tc>
          <w:tcPr>
            <w:tcW w:w="808" w:type="dxa"/>
            <w:vAlign w:val="center"/>
          </w:tcPr>
          <w:p w:rsidR="00EF09BB" w:rsidRPr="00C558B9" w:rsidRDefault="00EF09BB" w:rsidP="00FC4A2F">
            <w:pPr>
              <w:jc w:val="right"/>
              <w:rPr>
                <w:sz w:val="16"/>
                <w:szCs w:val="16"/>
              </w:rPr>
            </w:pPr>
            <w:r w:rsidRPr="00C558B9">
              <w:rPr>
                <w:sz w:val="16"/>
                <w:szCs w:val="16"/>
              </w:rPr>
              <w:t>-603</w:t>
            </w:r>
          </w:p>
        </w:tc>
        <w:tc>
          <w:tcPr>
            <w:tcW w:w="856" w:type="dxa"/>
            <w:shd w:val="clear" w:color="auto" w:fill="auto"/>
            <w:noWrap/>
            <w:vAlign w:val="center"/>
          </w:tcPr>
          <w:p w:rsidR="00EF09BB" w:rsidRPr="00C558B9" w:rsidRDefault="00EF09BB" w:rsidP="00FC4A2F">
            <w:pPr>
              <w:jc w:val="right"/>
              <w:rPr>
                <w:sz w:val="16"/>
                <w:szCs w:val="16"/>
              </w:rPr>
            </w:pPr>
            <w:r w:rsidRPr="00C558B9">
              <w:rPr>
                <w:sz w:val="16"/>
                <w:szCs w:val="16"/>
              </w:rPr>
              <w:t>0.43%</w:t>
            </w:r>
          </w:p>
        </w:tc>
      </w:tr>
      <w:tr w:rsidR="00EF09BB" w:rsidRPr="00C558B9" w:rsidTr="00FC4A2F">
        <w:trPr>
          <w:trHeight w:val="225"/>
        </w:trPr>
        <w:tc>
          <w:tcPr>
            <w:tcW w:w="1575" w:type="dxa"/>
            <w:shd w:val="clear" w:color="auto" w:fill="auto"/>
            <w:noWrap/>
            <w:vAlign w:val="center"/>
          </w:tcPr>
          <w:p w:rsidR="00EF09BB" w:rsidRPr="00C558B9" w:rsidRDefault="00EF09BB" w:rsidP="00FC4A2F">
            <w:pPr>
              <w:ind w:firstLineChars="100" w:firstLine="160"/>
              <w:rPr>
                <w:sz w:val="16"/>
                <w:szCs w:val="16"/>
              </w:rPr>
            </w:pPr>
            <w:r w:rsidRPr="00C558B9">
              <w:rPr>
                <w:sz w:val="16"/>
                <w:szCs w:val="16"/>
              </w:rPr>
              <w:t>Latvia</w:t>
            </w:r>
          </w:p>
        </w:tc>
        <w:tc>
          <w:tcPr>
            <w:tcW w:w="936" w:type="dxa"/>
            <w:shd w:val="clear" w:color="auto" w:fill="auto"/>
            <w:noWrap/>
            <w:vAlign w:val="center"/>
          </w:tcPr>
          <w:p w:rsidR="00EF09BB" w:rsidRPr="00C558B9" w:rsidRDefault="00EF09BB" w:rsidP="00FC4A2F">
            <w:pPr>
              <w:jc w:val="right"/>
              <w:rPr>
                <w:sz w:val="16"/>
                <w:szCs w:val="16"/>
              </w:rPr>
            </w:pPr>
            <w:r w:rsidRPr="00C558B9">
              <w:rPr>
                <w:sz w:val="16"/>
                <w:szCs w:val="16"/>
              </w:rPr>
              <w:t>21,699</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0</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0</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-1</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0</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0</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-3</w:t>
            </w:r>
          </w:p>
        </w:tc>
        <w:tc>
          <w:tcPr>
            <w:tcW w:w="808" w:type="dxa"/>
            <w:vAlign w:val="center"/>
          </w:tcPr>
          <w:p w:rsidR="00EF09BB" w:rsidRPr="00C558B9" w:rsidRDefault="00EF09BB" w:rsidP="00FC4A2F">
            <w:pPr>
              <w:jc w:val="right"/>
              <w:rPr>
                <w:sz w:val="16"/>
                <w:szCs w:val="16"/>
              </w:rPr>
            </w:pPr>
            <w:r w:rsidRPr="00C558B9">
              <w:rPr>
                <w:sz w:val="16"/>
                <w:szCs w:val="16"/>
              </w:rPr>
              <w:t>-4</w:t>
            </w:r>
          </w:p>
        </w:tc>
        <w:tc>
          <w:tcPr>
            <w:tcW w:w="856" w:type="dxa"/>
            <w:shd w:val="clear" w:color="auto" w:fill="auto"/>
            <w:noWrap/>
            <w:vAlign w:val="center"/>
          </w:tcPr>
          <w:p w:rsidR="00EF09BB" w:rsidRPr="00C558B9" w:rsidRDefault="00EF09BB" w:rsidP="00FC4A2F">
            <w:pPr>
              <w:jc w:val="right"/>
              <w:rPr>
                <w:sz w:val="16"/>
                <w:szCs w:val="16"/>
              </w:rPr>
            </w:pPr>
            <w:r w:rsidRPr="00C558B9">
              <w:rPr>
                <w:sz w:val="16"/>
                <w:szCs w:val="16"/>
              </w:rPr>
              <w:t>0.00%</w:t>
            </w:r>
          </w:p>
        </w:tc>
      </w:tr>
      <w:tr w:rsidR="00EF09BB" w:rsidRPr="00C558B9" w:rsidTr="00FC4A2F">
        <w:trPr>
          <w:trHeight w:val="225"/>
        </w:trPr>
        <w:tc>
          <w:tcPr>
            <w:tcW w:w="1575" w:type="dxa"/>
            <w:shd w:val="clear" w:color="auto" w:fill="auto"/>
            <w:noWrap/>
            <w:vAlign w:val="center"/>
          </w:tcPr>
          <w:p w:rsidR="00EF09BB" w:rsidRPr="00C558B9" w:rsidRDefault="00EF09BB" w:rsidP="00FC4A2F">
            <w:pPr>
              <w:ind w:firstLineChars="100" w:firstLine="160"/>
              <w:rPr>
                <w:sz w:val="16"/>
                <w:szCs w:val="16"/>
              </w:rPr>
            </w:pPr>
            <w:r w:rsidRPr="00C558B9">
              <w:rPr>
                <w:sz w:val="16"/>
                <w:szCs w:val="16"/>
              </w:rPr>
              <w:t>Lithuania</w:t>
            </w:r>
          </w:p>
        </w:tc>
        <w:tc>
          <w:tcPr>
            <w:tcW w:w="936" w:type="dxa"/>
            <w:shd w:val="clear" w:color="auto" w:fill="auto"/>
            <w:noWrap/>
            <w:vAlign w:val="center"/>
          </w:tcPr>
          <w:p w:rsidR="00EF09BB" w:rsidRPr="00C558B9" w:rsidRDefault="00EF09BB" w:rsidP="00FC4A2F">
            <w:pPr>
              <w:jc w:val="right"/>
              <w:rPr>
                <w:sz w:val="16"/>
                <w:szCs w:val="16"/>
              </w:rPr>
            </w:pPr>
            <w:r w:rsidRPr="00C558B9">
              <w:rPr>
                <w:sz w:val="16"/>
                <w:szCs w:val="16"/>
              </w:rPr>
              <w:t>32,775</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0</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0</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-1</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0</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-1</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-4</w:t>
            </w:r>
          </w:p>
        </w:tc>
        <w:tc>
          <w:tcPr>
            <w:tcW w:w="808" w:type="dxa"/>
            <w:vAlign w:val="center"/>
          </w:tcPr>
          <w:p w:rsidR="00EF09BB" w:rsidRPr="00C558B9" w:rsidRDefault="00EF09BB" w:rsidP="00FC4A2F">
            <w:pPr>
              <w:jc w:val="right"/>
              <w:rPr>
                <w:sz w:val="16"/>
                <w:szCs w:val="16"/>
              </w:rPr>
            </w:pPr>
            <w:r w:rsidRPr="00C558B9">
              <w:rPr>
                <w:sz w:val="16"/>
                <w:szCs w:val="16"/>
              </w:rPr>
              <w:t>-6</w:t>
            </w:r>
          </w:p>
        </w:tc>
        <w:tc>
          <w:tcPr>
            <w:tcW w:w="856" w:type="dxa"/>
            <w:shd w:val="clear" w:color="auto" w:fill="auto"/>
            <w:noWrap/>
            <w:vAlign w:val="center"/>
          </w:tcPr>
          <w:p w:rsidR="00EF09BB" w:rsidRPr="00C558B9" w:rsidRDefault="00EF09BB" w:rsidP="00FC4A2F">
            <w:pPr>
              <w:jc w:val="right"/>
              <w:rPr>
                <w:sz w:val="16"/>
                <w:szCs w:val="16"/>
              </w:rPr>
            </w:pPr>
            <w:r w:rsidRPr="00C558B9">
              <w:rPr>
                <w:sz w:val="16"/>
                <w:szCs w:val="16"/>
              </w:rPr>
              <w:t>0.00%</w:t>
            </w:r>
          </w:p>
        </w:tc>
      </w:tr>
      <w:tr w:rsidR="00EF09BB" w:rsidRPr="00C558B9" w:rsidTr="00FC4A2F">
        <w:trPr>
          <w:trHeight w:val="225"/>
        </w:trPr>
        <w:tc>
          <w:tcPr>
            <w:tcW w:w="1575" w:type="dxa"/>
            <w:shd w:val="clear" w:color="auto" w:fill="auto"/>
            <w:noWrap/>
            <w:vAlign w:val="center"/>
          </w:tcPr>
          <w:p w:rsidR="00EF09BB" w:rsidRPr="00C558B9" w:rsidRDefault="00EF09BB" w:rsidP="00FC4A2F">
            <w:pPr>
              <w:ind w:firstLineChars="100" w:firstLine="160"/>
              <w:rPr>
                <w:sz w:val="16"/>
                <w:szCs w:val="16"/>
              </w:rPr>
            </w:pPr>
            <w:r w:rsidRPr="00C558B9">
              <w:rPr>
                <w:sz w:val="16"/>
                <w:szCs w:val="16"/>
              </w:rPr>
              <w:t>Luxembourg</w:t>
            </w:r>
          </w:p>
        </w:tc>
        <w:tc>
          <w:tcPr>
            <w:tcW w:w="936" w:type="dxa"/>
            <w:shd w:val="clear" w:color="auto" w:fill="auto"/>
            <w:noWrap/>
            <w:vAlign w:val="center"/>
          </w:tcPr>
          <w:p w:rsidR="00EF09BB" w:rsidRPr="00C558B9" w:rsidRDefault="00EF09BB" w:rsidP="00FC4A2F">
            <w:pPr>
              <w:jc w:val="right"/>
              <w:rPr>
                <w:sz w:val="16"/>
                <w:szCs w:val="16"/>
              </w:rPr>
            </w:pPr>
            <w:r w:rsidRPr="00C558B9">
              <w:rPr>
                <w:sz w:val="16"/>
                <w:szCs w:val="16"/>
              </w:rPr>
              <w:t>49,162</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0</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0</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-5</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0</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-4</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-14</w:t>
            </w:r>
          </w:p>
        </w:tc>
        <w:tc>
          <w:tcPr>
            <w:tcW w:w="808" w:type="dxa"/>
            <w:vAlign w:val="center"/>
          </w:tcPr>
          <w:p w:rsidR="00EF09BB" w:rsidRPr="00C558B9" w:rsidRDefault="00EF09BB" w:rsidP="00FC4A2F">
            <w:pPr>
              <w:jc w:val="right"/>
              <w:rPr>
                <w:sz w:val="16"/>
                <w:szCs w:val="16"/>
              </w:rPr>
            </w:pPr>
            <w:r w:rsidRPr="00C558B9">
              <w:rPr>
                <w:sz w:val="16"/>
                <w:szCs w:val="16"/>
              </w:rPr>
              <w:t>-23</w:t>
            </w:r>
          </w:p>
        </w:tc>
        <w:tc>
          <w:tcPr>
            <w:tcW w:w="856" w:type="dxa"/>
            <w:shd w:val="clear" w:color="auto" w:fill="auto"/>
            <w:noWrap/>
            <w:vAlign w:val="center"/>
          </w:tcPr>
          <w:p w:rsidR="00EF09BB" w:rsidRPr="00C558B9" w:rsidRDefault="00EF09BB" w:rsidP="00FC4A2F">
            <w:pPr>
              <w:jc w:val="right"/>
              <w:rPr>
                <w:sz w:val="16"/>
                <w:szCs w:val="16"/>
              </w:rPr>
            </w:pPr>
            <w:r w:rsidRPr="00C558B9">
              <w:rPr>
                <w:sz w:val="16"/>
                <w:szCs w:val="16"/>
              </w:rPr>
              <w:t>0.02%</w:t>
            </w:r>
          </w:p>
        </w:tc>
      </w:tr>
      <w:tr w:rsidR="00EF09BB" w:rsidRPr="00C558B9" w:rsidTr="00FC4A2F">
        <w:trPr>
          <w:trHeight w:val="225"/>
        </w:trPr>
        <w:tc>
          <w:tcPr>
            <w:tcW w:w="1575" w:type="dxa"/>
            <w:shd w:val="clear" w:color="auto" w:fill="auto"/>
            <w:noWrap/>
            <w:vAlign w:val="center"/>
          </w:tcPr>
          <w:p w:rsidR="00EF09BB" w:rsidRPr="00C558B9" w:rsidRDefault="00EF09BB" w:rsidP="00FC4A2F">
            <w:pPr>
              <w:ind w:firstLineChars="100" w:firstLine="160"/>
              <w:rPr>
                <w:sz w:val="16"/>
                <w:szCs w:val="16"/>
              </w:rPr>
            </w:pPr>
            <w:r w:rsidRPr="00C558B9">
              <w:rPr>
                <w:sz w:val="16"/>
                <w:szCs w:val="16"/>
              </w:rPr>
              <w:t>Malta</w:t>
            </w:r>
          </w:p>
        </w:tc>
        <w:tc>
          <w:tcPr>
            <w:tcW w:w="936" w:type="dxa"/>
            <w:shd w:val="clear" w:color="auto" w:fill="auto"/>
            <w:noWrap/>
            <w:vAlign w:val="center"/>
          </w:tcPr>
          <w:p w:rsidR="00EF09BB" w:rsidRPr="00C558B9" w:rsidRDefault="00EF09BB" w:rsidP="00FC4A2F">
            <w:pPr>
              <w:jc w:val="right"/>
              <w:rPr>
                <w:sz w:val="16"/>
                <w:szCs w:val="16"/>
              </w:rPr>
            </w:pPr>
            <w:r w:rsidRPr="00C558B9">
              <w:rPr>
                <w:sz w:val="16"/>
                <w:szCs w:val="16"/>
              </w:rPr>
              <w:t>7,185</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0</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0</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-1</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0</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-1</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-2</w:t>
            </w:r>
          </w:p>
        </w:tc>
        <w:tc>
          <w:tcPr>
            <w:tcW w:w="808" w:type="dxa"/>
            <w:vAlign w:val="center"/>
          </w:tcPr>
          <w:p w:rsidR="00EF09BB" w:rsidRPr="00C558B9" w:rsidRDefault="00EF09BB" w:rsidP="00FC4A2F">
            <w:pPr>
              <w:jc w:val="right"/>
              <w:rPr>
                <w:sz w:val="16"/>
                <w:szCs w:val="16"/>
              </w:rPr>
            </w:pPr>
            <w:r w:rsidRPr="00C558B9">
              <w:rPr>
                <w:sz w:val="16"/>
                <w:szCs w:val="16"/>
              </w:rPr>
              <w:t>-4</w:t>
            </w:r>
          </w:p>
        </w:tc>
        <w:tc>
          <w:tcPr>
            <w:tcW w:w="856" w:type="dxa"/>
            <w:shd w:val="clear" w:color="auto" w:fill="auto"/>
            <w:noWrap/>
            <w:vAlign w:val="center"/>
          </w:tcPr>
          <w:p w:rsidR="00EF09BB" w:rsidRPr="00C558B9" w:rsidRDefault="00EF09BB" w:rsidP="00FC4A2F">
            <w:pPr>
              <w:jc w:val="right"/>
              <w:rPr>
                <w:sz w:val="16"/>
                <w:szCs w:val="16"/>
              </w:rPr>
            </w:pPr>
            <w:r w:rsidRPr="00C558B9">
              <w:rPr>
                <w:sz w:val="16"/>
                <w:szCs w:val="16"/>
              </w:rPr>
              <w:t>0.00%</w:t>
            </w:r>
          </w:p>
        </w:tc>
      </w:tr>
      <w:tr w:rsidR="00EF09BB" w:rsidRPr="00C558B9" w:rsidTr="00FC4A2F">
        <w:trPr>
          <w:trHeight w:val="225"/>
        </w:trPr>
        <w:tc>
          <w:tcPr>
            <w:tcW w:w="1575" w:type="dxa"/>
            <w:shd w:val="clear" w:color="auto" w:fill="auto"/>
            <w:noWrap/>
            <w:vAlign w:val="center"/>
          </w:tcPr>
          <w:p w:rsidR="00EF09BB" w:rsidRPr="00C558B9" w:rsidRDefault="00EF09BB" w:rsidP="00FC4A2F">
            <w:pPr>
              <w:ind w:firstLineChars="100" w:firstLine="160"/>
              <w:rPr>
                <w:sz w:val="16"/>
                <w:szCs w:val="16"/>
              </w:rPr>
            </w:pPr>
            <w:r w:rsidRPr="00C558B9">
              <w:rPr>
                <w:sz w:val="16"/>
                <w:szCs w:val="16"/>
              </w:rPr>
              <w:t>Netherlands</w:t>
            </w:r>
          </w:p>
        </w:tc>
        <w:tc>
          <w:tcPr>
            <w:tcW w:w="936" w:type="dxa"/>
            <w:shd w:val="clear" w:color="auto" w:fill="auto"/>
            <w:noWrap/>
            <w:vAlign w:val="center"/>
          </w:tcPr>
          <w:p w:rsidR="00EF09BB" w:rsidRPr="00C558B9" w:rsidRDefault="00EF09BB" w:rsidP="00FC4A2F">
            <w:pPr>
              <w:jc w:val="right"/>
              <w:rPr>
                <w:sz w:val="16"/>
                <w:szCs w:val="16"/>
              </w:rPr>
            </w:pPr>
            <w:r w:rsidRPr="00C558B9">
              <w:rPr>
                <w:sz w:val="16"/>
                <w:szCs w:val="16"/>
              </w:rPr>
              <w:t>698,412</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0</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-11</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-46</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0</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-83</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-193</w:t>
            </w:r>
          </w:p>
        </w:tc>
        <w:tc>
          <w:tcPr>
            <w:tcW w:w="808" w:type="dxa"/>
            <w:vAlign w:val="center"/>
          </w:tcPr>
          <w:p w:rsidR="00EF09BB" w:rsidRPr="00C558B9" w:rsidRDefault="00EF09BB" w:rsidP="00FC4A2F">
            <w:pPr>
              <w:jc w:val="right"/>
              <w:rPr>
                <w:sz w:val="16"/>
                <w:szCs w:val="16"/>
              </w:rPr>
            </w:pPr>
            <w:r w:rsidRPr="00C558B9">
              <w:rPr>
                <w:sz w:val="16"/>
                <w:szCs w:val="16"/>
              </w:rPr>
              <w:t>-332</w:t>
            </w:r>
          </w:p>
        </w:tc>
        <w:tc>
          <w:tcPr>
            <w:tcW w:w="856" w:type="dxa"/>
            <w:shd w:val="clear" w:color="auto" w:fill="auto"/>
            <w:noWrap/>
            <w:vAlign w:val="center"/>
          </w:tcPr>
          <w:p w:rsidR="00EF09BB" w:rsidRPr="00C558B9" w:rsidRDefault="00EF09BB" w:rsidP="00FC4A2F">
            <w:pPr>
              <w:jc w:val="right"/>
              <w:rPr>
                <w:sz w:val="16"/>
                <w:szCs w:val="16"/>
              </w:rPr>
            </w:pPr>
            <w:r w:rsidRPr="00C558B9">
              <w:rPr>
                <w:sz w:val="16"/>
                <w:szCs w:val="16"/>
              </w:rPr>
              <w:t>0.24%</w:t>
            </w:r>
          </w:p>
        </w:tc>
      </w:tr>
      <w:tr w:rsidR="00EF09BB" w:rsidRPr="00C558B9" w:rsidTr="00FC4A2F">
        <w:trPr>
          <w:trHeight w:val="225"/>
        </w:trPr>
        <w:tc>
          <w:tcPr>
            <w:tcW w:w="1575" w:type="dxa"/>
            <w:shd w:val="clear" w:color="auto" w:fill="auto"/>
            <w:noWrap/>
            <w:vAlign w:val="center"/>
          </w:tcPr>
          <w:p w:rsidR="00EF09BB" w:rsidRPr="00C558B9" w:rsidRDefault="00EF09BB" w:rsidP="00FC4A2F">
            <w:pPr>
              <w:ind w:firstLineChars="100" w:firstLine="160"/>
              <w:rPr>
                <w:sz w:val="16"/>
                <w:szCs w:val="16"/>
              </w:rPr>
            </w:pPr>
            <w:r w:rsidRPr="00C558B9">
              <w:rPr>
                <w:sz w:val="16"/>
                <w:szCs w:val="16"/>
              </w:rPr>
              <w:t>Poland</w:t>
            </w:r>
          </w:p>
        </w:tc>
        <w:tc>
          <w:tcPr>
            <w:tcW w:w="936" w:type="dxa"/>
            <w:shd w:val="clear" w:color="auto" w:fill="auto"/>
            <w:noWrap/>
            <w:vAlign w:val="center"/>
          </w:tcPr>
          <w:p w:rsidR="00EF09BB" w:rsidRPr="00C558B9" w:rsidRDefault="00EF09BB" w:rsidP="00FC4A2F">
            <w:pPr>
              <w:jc w:val="right"/>
              <w:rPr>
                <w:sz w:val="16"/>
                <w:szCs w:val="16"/>
              </w:rPr>
            </w:pPr>
            <w:r w:rsidRPr="00C558B9">
              <w:rPr>
                <w:sz w:val="16"/>
                <w:szCs w:val="16"/>
              </w:rPr>
              <w:t>410,889</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0</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-6</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-27</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0</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-43</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-116</w:t>
            </w:r>
          </w:p>
        </w:tc>
        <w:tc>
          <w:tcPr>
            <w:tcW w:w="808" w:type="dxa"/>
            <w:vAlign w:val="center"/>
          </w:tcPr>
          <w:p w:rsidR="00EF09BB" w:rsidRPr="00C558B9" w:rsidRDefault="00EF09BB" w:rsidP="00FC4A2F">
            <w:pPr>
              <w:jc w:val="right"/>
              <w:rPr>
                <w:sz w:val="16"/>
                <w:szCs w:val="16"/>
              </w:rPr>
            </w:pPr>
            <w:r w:rsidRPr="00C558B9">
              <w:rPr>
                <w:sz w:val="16"/>
                <w:szCs w:val="16"/>
              </w:rPr>
              <w:t>-192</w:t>
            </w:r>
          </w:p>
        </w:tc>
        <w:tc>
          <w:tcPr>
            <w:tcW w:w="856" w:type="dxa"/>
            <w:shd w:val="clear" w:color="auto" w:fill="auto"/>
            <w:noWrap/>
            <w:vAlign w:val="center"/>
          </w:tcPr>
          <w:p w:rsidR="00EF09BB" w:rsidRPr="00C558B9" w:rsidRDefault="00EF09BB" w:rsidP="00FC4A2F">
            <w:pPr>
              <w:jc w:val="right"/>
              <w:rPr>
                <w:sz w:val="16"/>
                <w:szCs w:val="16"/>
              </w:rPr>
            </w:pPr>
            <w:r w:rsidRPr="00C558B9">
              <w:rPr>
                <w:sz w:val="16"/>
                <w:szCs w:val="16"/>
              </w:rPr>
              <w:t>0.14%</w:t>
            </w:r>
          </w:p>
        </w:tc>
      </w:tr>
      <w:tr w:rsidR="00EF09BB" w:rsidRPr="00C558B9" w:rsidTr="00FC4A2F">
        <w:trPr>
          <w:trHeight w:val="225"/>
        </w:trPr>
        <w:tc>
          <w:tcPr>
            <w:tcW w:w="1575" w:type="dxa"/>
            <w:shd w:val="clear" w:color="auto" w:fill="auto"/>
            <w:noWrap/>
            <w:vAlign w:val="center"/>
          </w:tcPr>
          <w:p w:rsidR="00EF09BB" w:rsidRPr="00C558B9" w:rsidRDefault="00EF09BB" w:rsidP="00FC4A2F">
            <w:pPr>
              <w:ind w:firstLineChars="100" w:firstLine="160"/>
              <w:rPr>
                <w:sz w:val="16"/>
                <w:szCs w:val="16"/>
              </w:rPr>
            </w:pPr>
            <w:r w:rsidRPr="00C558B9">
              <w:rPr>
                <w:sz w:val="16"/>
                <w:szCs w:val="16"/>
              </w:rPr>
              <w:t>Portugal</w:t>
            </w:r>
          </w:p>
        </w:tc>
        <w:tc>
          <w:tcPr>
            <w:tcW w:w="936" w:type="dxa"/>
            <w:shd w:val="clear" w:color="auto" w:fill="auto"/>
            <w:noWrap/>
            <w:vAlign w:val="center"/>
          </w:tcPr>
          <w:p w:rsidR="00EF09BB" w:rsidRPr="00C558B9" w:rsidRDefault="00EF09BB" w:rsidP="00FC4A2F">
            <w:pPr>
              <w:jc w:val="right"/>
              <w:rPr>
                <w:sz w:val="16"/>
                <w:szCs w:val="16"/>
              </w:rPr>
            </w:pPr>
            <w:r w:rsidRPr="00C558B9">
              <w:rPr>
                <w:sz w:val="16"/>
                <w:szCs w:val="16"/>
              </w:rPr>
              <w:t>200,292</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0</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0</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-5</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0</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-10</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-27</w:t>
            </w:r>
          </w:p>
        </w:tc>
        <w:tc>
          <w:tcPr>
            <w:tcW w:w="808" w:type="dxa"/>
            <w:vAlign w:val="center"/>
          </w:tcPr>
          <w:p w:rsidR="00EF09BB" w:rsidRPr="00C558B9" w:rsidRDefault="00EF09BB" w:rsidP="00FC4A2F">
            <w:pPr>
              <w:jc w:val="right"/>
              <w:rPr>
                <w:sz w:val="16"/>
                <w:szCs w:val="16"/>
              </w:rPr>
            </w:pPr>
            <w:r w:rsidRPr="00C558B9">
              <w:rPr>
                <w:sz w:val="16"/>
                <w:szCs w:val="16"/>
              </w:rPr>
              <w:t>-42</w:t>
            </w:r>
          </w:p>
        </w:tc>
        <w:tc>
          <w:tcPr>
            <w:tcW w:w="856" w:type="dxa"/>
            <w:shd w:val="clear" w:color="auto" w:fill="auto"/>
            <w:noWrap/>
            <w:vAlign w:val="center"/>
          </w:tcPr>
          <w:p w:rsidR="00EF09BB" w:rsidRPr="00C558B9" w:rsidRDefault="00EF09BB" w:rsidP="00FC4A2F">
            <w:pPr>
              <w:jc w:val="right"/>
              <w:rPr>
                <w:sz w:val="16"/>
                <w:szCs w:val="16"/>
              </w:rPr>
            </w:pPr>
            <w:r w:rsidRPr="00C558B9">
              <w:rPr>
                <w:sz w:val="16"/>
                <w:szCs w:val="16"/>
              </w:rPr>
              <w:t>0.03%</w:t>
            </w:r>
          </w:p>
        </w:tc>
      </w:tr>
      <w:tr w:rsidR="00EF09BB" w:rsidRPr="00C558B9" w:rsidTr="00FC4A2F">
        <w:trPr>
          <w:trHeight w:val="225"/>
        </w:trPr>
        <w:tc>
          <w:tcPr>
            <w:tcW w:w="1575" w:type="dxa"/>
            <w:shd w:val="clear" w:color="auto" w:fill="auto"/>
            <w:noWrap/>
            <w:vAlign w:val="center"/>
          </w:tcPr>
          <w:p w:rsidR="00EF09BB" w:rsidRPr="00C558B9" w:rsidRDefault="00EF09BB" w:rsidP="00FC4A2F">
            <w:pPr>
              <w:ind w:firstLineChars="100" w:firstLine="160"/>
              <w:rPr>
                <w:sz w:val="16"/>
                <w:szCs w:val="16"/>
              </w:rPr>
            </w:pPr>
            <w:r w:rsidRPr="00C558B9">
              <w:rPr>
                <w:sz w:val="16"/>
                <w:szCs w:val="16"/>
              </w:rPr>
              <w:t>Romania</w:t>
            </w:r>
          </w:p>
        </w:tc>
        <w:tc>
          <w:tcPr>
            <w:tcW w:w="936" w:type="dxa"/>
            <w:shd w:val="clear" w:color="auto" w:fill="auto"/>
            <w:noWrap/>
            <w:vAlign w:val="center"/>
          </w:tcPr>
          <w:p w:rsidR="00EF09BB" w:rsidRPr="00C558B9" w:rsidRDefault="00EF09BB" w:rsidP="00FC4A2F">
            <w:pPr>
              <w:jc w:val="right"/>
              <w:rPr>
                <w:sz w:val="16"/>
                <w:szCs w:val="16"/>
              </w:rPr>
            </w:pPr>
            <w:r w:rsidRPr="00C558B9">
              <w:rPr>
                <w:sz w:val="16"/>
                <w:szCs w:val="16"/>
              </w:rPr>
              <w:t>147,328</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0</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-1</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-6</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0</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-8</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-21</w:t>
            </w:r>
          </w:p>
        </w:tc>
        <w:tc>
          <w:tcPr>
            <w:tcW w:w="808" w:type="dxa"/>
            <w:vAlign w:val="center"/>
          </w:tcPr>
          <w:p w:rsidR="00EF09BB" w:rsidRPr="00C558B9" w:rsidRDefault="00EF09BB" w:rsidP="00FC4A2F">
            <w:pPr>
              <w:jc w:val="right"/>
              <w:rPr>
                <w:sz w:val="16"/>
                <w:szCs w:val="16"/>
              </w:rPr>
            </w:pPr>
            <w:r w:rsidRPr="00C558B9">
              <w:rPr>
                <w:sz w:val="16"/>
                <w:szCs w:val="16"/>
              </w:rPr>
              <w:t>-35</w:t>
            </w:r>
          </w:p>
        </w:tc>
        <w:tc>
          <w:tcPr>
            <w:tcW w:w="856" w:type="dxa"/>
            <w:shd w:val="clear" w:color="auto" w:fill="auto"/>
            <w:noWrap/>
            <w:vAlign w:val="center"/>
          </w:tcPr>
          <w:p w:rsidR="00EF09BB" w:rsidRPr="00C558B9" w:rsidRDefault="00EF09BB" w:rsidP="00FC4A2F">
            <w:pPr>
              <w:jc w:val="right"/>
              <w:rPr>
                <w:sz w:val="16"/>
                <w:szCs w:val="16"/>
              </w:rPr>
            </w:pPr>
            <w:r w:rsidRPr="00C558B9">
              <w:rPr>
                <w:sz w:val="16"/>
                <w:szCs w:val="16"/>
              </w:rPr>
              <w:t>0.03%</w:t>
            </w:r>
          </w:p>
        </w:tc>
      </w:tr>
      <w:tr w:rsidR="00EF09BB" w:rsidRPr="00C558B9" w:rsidTr="00FC4A2F">
        <w:trPr>
          <w:trHeight w:val="225"/>
        </w:trPr>
        <w:tc>
          <w:tcPr>
            <w:tcW w:w="1575" w:type="dxa"/>
            <w:shd w:val="clear" w:color="auto" w:fill="auto"/>
            <w:noWrap/>
            <w:vAlign w:val="center"/>
          </w:tcPr>
          <w:p w:rsidR="00EF09BB" w:rsidRPr="00C558B9" w:rsidRDefault="00EF09BB" w:rsidP="00FC4A2F">
            <w:pPr>
              <w:ind w:firstLineChars="100" w:firstLine="160"/>
              <w:rPr>
                <w:sz w:val="16"/>
                <w:szCs w:val="16"/>
              </w:rPr>
            </w:pPr>
            <w:r w:rsidRPr="00C558B9">
              <w:rPr>
                <w:sz w:val="16"/>
                <w:szCs w:val="16"/>
              </w:rPr>
              <w:t>Slovakia</w:t>
            </w:r>
          </w:p>
        </w:tc>
        <w:tc>
          <w:tcPr>
            <w:tcW w:w="936" w:type="dxa"/>
            <w:shd w:val="clear" w:color="auto" w:fill="auto"/>
            <w:noWrap/>
            <w:vAlign w:val="center"/>
          </w:tcPr>
          <w:p w:rsidR="00EF09BB" w:rsidRPr="00C558B9" w:rsidRDefault="00EF09BB" w:rsidP="00FC4A2F">
            <w:pPr>
              <w:jc w:val="right"/>
              <w:rPr>
                <w:sz w:val="16"/>
                <w:szCs w:val="16"/>
              </w:rPr>
            </w:pPr>
            <w:r w:rsidRPr="00C558B9">
              <w:rPr>
                <w:sz w:val="16"/>
                <w:szCs w:val="16"/>
              </w:rPr>
              <w:t>79,580</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0</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-1</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-5</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0</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-5</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-19</w:t>
            </w:r>
          </w:p>
        </w:tc>
        <w:tc>
          <w:tcPr>
            <w:tcW w:w="808" w:type="dxa"/>
            <w:vAlign w:val="center"/>
          </w:tcPr>
          <w:p w:rsidR="00EF09BB" w:rsidRPr="00C558B9" w:rsidRDefault="00EF09BB" w:rsidP="00FC4A2F">
            <w:pPr>
              <w:jc w:val="right"/>
              <w:rPr>
                <w:sz w:val="16"/>
                <w:szCs w:val="16"/>
              </w:rPr>
            </w:pPr>
            <w:r w:rsidRPr="00C558B9">
              <w:rPr>
                <w:sz w:val="16"/>
                <w:szCs w:val="16"/>
              </w:rPr>
              <w:t>-29</w:t>
            </w:r>
          </w:p>
        </w:tc>
        <w:tc>
          <w:tcPr>
            <w:tcW w:w="856" w:type="dxa"/>
            <w:shd w:val="clear" w:color="auto" w:fill="auto"/>
            <w:noWrap/>
            <w:vAlign w:val="center"/>
          </w:tcPr>
          <w:p w:rsidR="00EF09BB" w:rsidRPr="00C558B9" w:rsidRDefault="00EF09BB" w:rsidP="00FC4A2F">
            <w:pPr>
              <w:jc w:val="right"/>
              <w:rPr>
                <w:sz w:val="16"/>
                <w:szCs w:val="16"/>
              </w:rPr>
            </w:pPr>
            <w:r w:rsidRPr="00C558B9">
              <w:rPr>
                <w:sz w:val="16"/>
                <w:szCs w:val="16"/>
              </w:rPr>
              <w:t>0.02%</w:t>
            </w:r>
          </w:p>
        </w:tc>
      </w:tr>
      <w:tr w:rsidR="00EF09BB" w:rsidRPr="00C558B9" w:rsidTr="00FC4A2F">
        <w:trPr>
          <w:trHeight w:val="225"/>
        </w:trPr>
        <w:tc>
          <w:tcPr>
            <w:tcW w:w="1575" w:type="dxa"/>
            <w:shd w:val="clear" w:color="auto" w:fill="auto"/>
            <w:noWrap/>
            <w:vAlign w:val="center"/>
          </w:tcPr>
          <w:p w:rsidR="00EF09BB" w:rsidRPr="00C558B9" w:rsidRDefault="00EF09BB" w:rsidP="00FC4A2F">
            <w:pPr>
              <w:ind w:firstLineChars="100" w:firstLine="160"/>
              <w:rPr>
                <w:sz w:val="16"/>
                <w:szCs w:val="16"/>
              </w:rPr>
            </w:pPr>
            <w:r w:rsidRPr="00C558B9">
              <w:rPr>
                <w:sz w:val="16"/>
                <w:szCs w:val="16"/>
              </w:rPr>
              <w:t>Slovenia</w:t>
            </w:r>
          </w:p>
        </w:tc>
        <w:tc>
          <w:tcPr>
            <w:tcW w:w="936" w:type="dxa"/>
            <w:shd w:val="clear" w:color="auto" w:fill="auto"/>
            <w:noWrap/>
            <w:vAlign w:val="center"/>
          </w:tcPr>
          <w:p w:rsidR="00EF09BB" w:rsidRPr="00C558B9" w:rsidRDefault="00EF09BB" w:rsidP="00FC4A2F">
            <w:pPr>
              <w:jc w:val="right"/>
              <w:rPr>
                <w:sz w:val="16"/>
                <w:szCs w:val="16"/>
              </w:rPr>
            </w:pPr>
            <w:r w:rsidRPr="00C558B9">
              <w:rPr>
                <w:sz w:val="16"/>
                <w:szCs w:val="16"/>
              </w:rPr>
              <w:t>40,981</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0</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0</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-2</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0</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-3</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-8</w:t>
            </w:r>
          </w:p>
        </w:tc>
        <w:tc>
          <w:tcPr>
            <w:tcW w:w="808" w:type="dxa"/>
            <w:vAlign w:val="center"/>
          </w:tcPr>
          <w:p w:rsidR="00EF09BB" w:rsidRPr="00C558B9" w:rsidRDefault="00EF09BB" w:rsidP="00FC4A2F">
            <w:pPr>
              <w:jc w:val="right"/>
              <w:rPr>
                <w:sz w:val="16"/>
                <w:szCs w:val="16"/>
              </w:rPr>
            </w:pPr>
            <w:r w:rsidRPr="00C558B9">
              <w:rPr>
                <w:sz w:val="16"/>
                <w:szCs w:val="16"/>
              </w:rPr>
              <w:t>-13</w:t>
            </w:r>
          </w:p>
        </w:tc>
        <w:tc>
          <w:tcPr>
            <w:tcW w:w="856" w:type="dxa"/>
            <w:shd w:val="clear" w:color="auto" w:fill="auto"/>
            <w:noWrap/>
            <w:vAlign w:val="center"/>
          </w:tcPr>
          <w:p w:rsidR="00EF09BB" w:rsidRPr="00C558B9" w:rsidRDefault="00EF09BB" w:rsidP="00FC4A2F">
            <w:pPr>
              <w:jc w:val="right"/>
              <w:rPr>
                <w:sz w:val="16"/>
                <w:szCs w:val="16"/>
              </w:rPr>
            </w:pPr>
            <w:r w:rsidRPr="00C558B9">
              <w:rPr>
                <w:sz w:val="16"/>
                <w:szCs w:val="16"/>
              </w:rPr>
              <w:t>0.01%</w:t>
            </w:r>
          </w:p>
        </w:tc>
      </w:tr>
      <w:tr w:rsidR="00EF09BB" w:rsidRPr="00C558B9" w:rsidTr="00FC4A2F">
        <w:trPr>
          <w:trHeight w:val="225"/>
        </w:trPr>
        <w:tc>
          <w:tcPr>
            <w:tcW w:w="1575" w:type="dxa"/>
            <w:shd w:val="clear" w:color="auto" w:fill="auto"/>
            <w:noWrap/>
            <w:vAlign w:val="center"/>
          </w:tcPr>
          <w:p w:rsidR="00EF09BB" w:rsidRPr="00C558B9" w:rsidRDefault="00EF09BB" w:rsidP="00FC4A2F">
            <w:pPr>
              <w:ind w:firstLineChars="100" w:firstLine="160"/>
              <w:rPr>
                <w:sz w:val="16"/>
                <w:szCs w:val="16"/>
              </w:rPr>
            </w:pPr>
            <w:r w:rsidRPr="00C558B9">
              <w:rPr>
                <w:sz w:val="16"/>
                <w:szCs w:val="16"/>
              </w:rPr>
              <w:t>Spain</w:t>
            </w:r>
          </w:p>
        </w:tc>
        <w:tc>
          <w:tcPr>
            <w:tcW w:w="936" w:type="dxa"/>
            <w:shd w:val="clear" w:color="auto" w:fill="auto"/>
            <w:noWrap/>
            <w:vAlign w:val="center"/>
          </w:tcPr>
          <w:p w:rsidR="00EF09BB" w:rsidRPr="00C558B9" w:rsidRDefault="00EF09BB" w:rsidP="00FC4A2F">
            <w:pPr>
              <w:jc w:val="right"/>
              <w:rPr>
                <w:sz w:val="16"/>
                <w:szCs w:val="16"/>
              </w:rPr>
            </w:pPr>
            <w:r w:rsidRPr="00C558B9">
              <w:rPr>
                <w:sz w:val="16"/>
                <w:szCs w:val="16"/>
              </w:rPr>
              <w:t>1,290,057</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0</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-6</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-45</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-126</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-192</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-201</w:t>
            </w:r>
          </w:p>
        </w:tc>
        <w:tc>
          <w:tcPr>
            <w:tcW w:w="808" w:type="dxa"/>
            <w:vAlign w:val="center"/>
          </w:tcPr>
          <w:p w:rsidR="00EF09BB" w:rsidRPr="00C558B9" w:rsidRDefault="00EF09BB" w:rsidP="00FC4A2F">
            <w:pPr>
              <w:jc w:val="right"/>
              <w:rPr>
                <w:sz w:val="16"/>
                <w:szCs w:val="16"/>
              </w:rPr>
            </w:pPr>
            <w:r w:rsidRPr="00C558B9">
              <w:rPr>
                <w:sz w:val="16"/>
                <w:szCs w:val="16"/>
              </w:rPr>
              <w:t>-569</w:t>
            </w:r>
          </w:p>
        </w:tc>
        <w:tc>
          <w:tcPr>
            <w:tcW w:w="856" w:type="dxa"/>
            <w:shd w:val="clear" w:color="auto" w:fill="auto"/>
            <w:noWrap/>
            <w:vAlign w:val="center"/>
          </w:tcPr>
          <w:p w:rsidR="00EF09BB" w:rsidRPr="00C558B9" w:rsidRDefault="00EF09BB" w:rsidP="00FC4A2F">
            <w:pPr>
              <w:jc w:val="right"/>
              <w:rPr>
                <w:sz w:val="16"/>
                <w:szCs w:val="16"/>
              </w:rPr>
            </w:pPr>
            <w:r w:rsidRPr="00C558B9">
              <w:rPr>
                <w:sz w:val="16"/>
                <w:szCs w:val="16"/>
              </w:rPr>
              <w:t>0.41%</w:t>
            </w:r>
          </w:p>
        </w:tc>
      </w:tr>
      <w:tr w:rsidR="00EF09BB" w:rsidRPr="00C558B9" w:rsidTr="00FC4A2F">
        <w:trPr>
          <w:trHeight w:val="225"/>
        </w:trPr>
        <w:tc>
          <w:tcPr>
            <w:tcW w:w="1575" w:type="dxa"/>
            <w:shd w:val="clear" w:color="auto" w:fill="auto"/>
            <w:noWrap/>
            <w:vAlign w:val="center"/>
          </w:tcPr>
          <w:p w:rsidR="00EF09BB" w:rsidRPr="00C558B9" w:rsidRDefault="00EF09BB" w:rsidP="00FC4A2F">
            <w:pPr>
              <w:ind w:firstLineChars="100" w:firstLine="160"/>
              <w:rPr>
                <w:sz w:val="16"/>
                <w:szCs w:val="16"/>
              </w:rPr>
            </w:pPr>
            <w:r w:rsidRPr="00C558B9">
              <w:rPr>
                <w:sz w:val="16"/>
                <w:szCs w:val="16"/>
              </w:rPr>
              <w:t>Sweden</w:t>
            </w:r>
          </w:p>
        </w:tc>
        <w:tc>
          <w:tcPr>
            <w:tcW w:w="936" w:type="dxa"/>
            <w:shd w:val="clear" w:color="auto" w:fill="auto"/>
            <w:noWrap/>
            <w:vAlign w:val="center"/>
          </w:tcPr>
          <w:p w:rsidR="00EF09BB" w:rsidRPr="00C558B9" w:rsidRDefault="00EF09BB" w:rsidP="00FC4A2F">
            <w:pPr>
              <w:jc w:val="right"/>
              <w:rPr>
                <w:sz w:val="16"/>
                <w:szCs w:val="16"/>
              </w:rPr>
            </w:pPr>
            <w:r w:rsidRPr="00C558B9">
              <w:rPr>
                <w:sz w:val="16"/>
                <w:szCs w:val="16"/>
              </w:rPr>
              <w:t>403,043</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0</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-5</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-38</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0</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-52</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-144</w:t>
            </w:r>
          </w:p>
        </w:tc>
        <w:tc>
          <w:tcPr>
            <w:tcW w:w="808" w:type="dxa"/>
            <w:vAlign w:val="center"/>
          </w:tcPr>
          <w:p w:rsidR="00EF09BB" w:rsidRPr="00C558B9" w:rsidRDefault="00EF09BB" w:rsidP="00FC4A2F">
            <w:pPr>
              <w:jc w:val="right"/>
              <w:rPr>
                <w:sz w:val="16"/>
                <w:szCs w:val="16"/>
              </w:rPr>
            </w:pPr>
            <w:r w:rsidRPr="00C558B9">
              <w:rPr>
                <w:sz w:val="16"/>
                <w:szCs w:val="16"/>
              </w:rPr>
              <w:t>-238</w:t>
            </w:r>
          </w:p>
        </w:tc>
        <w:tc>
          <w:tcPr>
            <w:tcW w:w="856" w:type="dxa"/>
            <w:shd w:val="clear" w:color="auto" w:fill="auto"/>
            <w:noWrap/>
            <w:vAlign w:val="center"/>
          </w:tcPr>
          <w:p w:rsidR="00EF09BB" w:rsidRPr="00C558B9" w:rsidRDefault="00EF09BB" w:rsidP="00FC4A2F">
            <w:pPr>
              <w:jc w:val="right"/>
              <w:rPr>
                <w:sz w:val="16"/>
                <w:szCs w:val="16"/>
              </w:rPr>
            </w:pPr>
            <w:r w:rsidRPr="00C558B9">
              <w:rPr>
                <w:sz w:val="16"/>
                <w:szCs w:val="16"/>
              </w:rPr>
              <w:t>0.17%</w:t>
            </w:r>
          </w:p>
        </w:tc>
      </w:tr>
      <w:tr w:rsidR="00EF09BB" w:rsidRPr="00C558B9" w:rsidTr="00FC4A2F">
        <w:trPr>
          <w:trHeight w:val="225"/>
        </w:trPr>
        <w:tc>
          <w:tcPr>
            <w:tcW w:w="1575" w:type="dxa"/>
            <w:shd w:val="clear" w:color="auto" w:fill="auto"/>
            <w:noWrap/>
            <w:vAlign w:val="center"/>
          </w:tcPr>
          <w:p w:rsidR="00EF09BB" w:rsidRPr="00C558B9" w:rsidRDefault="00EF09BB" w:rsidP="00FC4A2F">
            <w:pPr>
              <w:ind w:firstLineChars="100" w:firstLine="160"/>
              <w:rPr>
                <w:sz w:val="16"/>
                <w:szCs w:val="16"/>
              </w:rPr>
            </w:pPr>
            <w:r w:rsidRPr="00C558B9">
              <w:rPr>
                <w:sz w:val="16"/>
                <w:szCs w:val="16"/>
              </w:rPr>
              <w:t>United Kingdom</w:t>
            </w:r>
          </w:p>
        </w:tc>
        <w:tc>
          <w:tcPr>
            <w:tcW w:w="936" w:type="dxa"/>
            <w:shd w:val="clear" w:color="auto" w:fill="auto"/>
            <w:noWrap/>
            <w:vAlign w:val="center"/>
          </w:tcPr>
          <w:p w:rsidR="00EF09BB" w:rsidRPr="00C558B9" w:rsidRDefault="00EF09BB" w:rsidP="00FC4A2F">
            <w:pPr>
              <w:jc w:val="right"/>
              <w:rPr>
                <w:sz w:val="16"/>
                <w:szCs w:val="16"/>
              </w:rPr>
            </w:pPr>
            <w:r w:rsidRPr="00C558B9">
              <w:rPr>
                <w:sz w:val="16"/>
                <w:szCs w:val="16"/>
              </w:rPr>
              <w:t>2,060,286</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0</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-31</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-122</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-1,844</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-1,432</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-907</w:t>
            </w:r>
          </w:p>
        </w:tc>
        <w:tc>
          <w:tcPr>
            <w:tcW w:w="808" w:type="dxa"/>
            <w:vAlign w:val="center"/>
          </w:tcPr>
          <w:p w:rsidR="00EF09BB" w:rsidRPr="00C558B9" w:rsidRDefault="00EF09BB" w:rsidP="00FC4A2F">
            <w:pPr>
              <w:jc w:val="right"/>
              <w:rPr>
                <w:sz w:val="16"/>
                <w:szCs w:val="16"/>
              </w:rPr>
            </w:pPr>
            <w:r w:rsidRPr="00C558B9">
              <w:rPr>
                <w:sz w:val="16"/>
                <w:szCs w:val="16"/>
              </w:rPr>
              <w:t>-4,336</w:t>
            </w:r>
          </w:p>
        </w:tc>
        <w:tc>
          <w:tcPr>
            <w:tcW w:w="856" w:type="dxa"/>
            <w:shd w:val="clear" w:color="auto" w:fill="auto"/>
            <w:noWrap/>
            <w:vAlign w:val="center"/>
          </w:tcPr>
          <w:p w:rsidR="00EF09BB" w:rsidRPr="00C558B9" w:rsidRDefault="00EF09BB" w:rsidP="00FC4A2F">
            <w:pPr>
              <w:jc w:val="right"/>
              <w:rPr>
                <w:sz w:val="16"/>
                <w:szCs w:val="16"/>
              </w:rPr>
            </w:pPr>
            <w:r w:rsidRPr="00C558B9">
              <w:rPr>
                <w:sz w:val="16"/>
                <w:szCs w:val="16"/>
              </w:rPr>
              <w:t>3.12%</w:t>
            </w:r>
          </w:p>
        </w:tc>
      </w:tr>
      <w:tr w:rsidR="00EF09BB" w:rsidRPr="00C558B9" w:rsidTr="00FC4A2F">
        <w:trPr>
          <w:trHeight w:val="225"/>
        </w:trPr>
        <w:tc>
          <w:tcPr>
            <w:tcW w:w="1575" w:type="dxa"/>
            <w:shd w:val="clear" w:color="auto" w:fill="auto"/>
            <w:noWrap/>
            <w:vAlign w:val="center"/>
          </w:tcPr>
          <w:p w:rsidR="00EF09BB" w:rsidRPr="00C558B9" w:rsidRDefault="00EF09BB" w:rsidP="00FC4A2F">
            <w:pPr>
              <w:rPr>
                <w:sz w:val="16"/>
                <w:szCs w:val="16"/>
              </w:rPr>
            </w:pPr>
            <w:r w:rsidRPr="00C558B9">
              <w:rPr>
                <w:sz w:val="16"/>
                <w:szCs w:val="16"/>
              </w:rPr>
              <w:t>India</w:t>
            </w:r>
          </w:p>
        </w:tc>
        <w:tc>
          <w:tcPr>
            <w:tcW w:w="936" w:type="dxa"/>
            <w:shd w:val="clear" w:color="auto" w:fill="auto"/>
            <w:noWrap/>
            <w:vAlign w:val="center"/>
          </w:tcPr>
          <w:p w:rsidR="00EF09BB" w:rsidRPr="00C558B9" w:rsidRDefault="00EF09BB" w:rsidP="00FC4A2F">
            <w:pPr>
              <w:jc w:val="right"/>
              <w:rPr>
                <w:sz w:val="16"/>
                <w:szCs w:val="16"/>
              </w:rPr>
            </w:pPr>
            <w:r w:rsidRPr="00C558B9">
              <w:rPr>
                <w:sz w:val="16"/>
                <w:szCs w:val="16"/>
              </w:rPr>
              <w:t>1,564,494</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0</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-13</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-86</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-307</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-372</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-354</w:t>
            </w:r>
          </w:p>
        </w:tc>
        <w:tc>
          <w:tcPr>
            <w:tcW w:w="808" w:type="dxa"/>
            <w:vAlign w:val="center"/>
          </w:tcPr>
          <w:p w:rsidR="00EF09BB" w:rsidRPr="00C558B9" w:rsidRDefault="00EF09BB" w:rsidP="00FC4A2F">
            <w:pPr>
              <w:jc w:val="right"/>
              <w:rPr>
                <w:sz w:val="16"/>
                <w:szCs w:val="16"/>
              </w:rPr>
            </w:pPr>
            <w:r w:rsidRPr="00C558B9">
              <w:rPr>
                <w:sz w:val="16"/>
                <w:szCs w:val="16"/>
              </w:rPr>
              <w:t>-1,132</w:t>
            </w:r>
          </w:p>
        </w:tc>
        <w:tc>
          <w:tcPr>
            <w:tcW w:w="856" w:type="dxa"/>
            <w:shd w:val="clear" w:color="auto" w:fill="auto"/>
            <w:noWrap/>
            <w:vAlign w:val="center"/>
          </w:tcPr>
          <w:p w:rsidR="00EF09BB" w:rsidRPr="00C558B9" w:rsidRDefault="00EF09BB" w:rsidP="00FC4A2F">
            <w:pPr>
              <w:jc w:val="right"/>
              <w:rPr>
                <w:sz w:val="16"/>
                <w:szCs w:val="16"/>
              </w:rPr>
            </w:pPr>
            <w:r w:rsidRPr="00C558B9">
              <w:rPr>
                <w:sz w:val="16"/>
                <w:szCs w:val="16"/>
              </w:rPr>
              <w:t>0.81%</w:t>
            </w:r>
          </w:p>
        </w:tc>
      </w:tr>
      <w:tr w:rsidR="00EF09BB" w:rsidRPr="00C558B9" w:rsidTr="00FC4A2F">
        <w:trPr>
          <w:trHeight w:val="225"/>
        </w:trPr>
        <w:tc>
          <w:tcPr>
            <w:tcW w:w="1575" w:type="dxa"/>
            <w:shd w:val="clear" w:color="auto" w:fill="auto"/>
            <w:noWrap/>
            <w:vAlign w:val="center"/>
          </w:tcPr>
          <w:p w:rsidR="00EF09BB" w:rsidRPr="00C558B9" w:rsidRDefault="00EF09BB" w:rsidP="00FC4A2F">
            <w:pPr>
              <w:rPr>
                <w:sz w:val="16"/>
                <w:szCs w:val="16"/>
              </w:rPr>
            </w:pPr>
            <w:r w:rsidRPr="00C558B9">
              <w:rPr>
                <w:sz w:val="16"/>
                <w:szCs w:val="16"/>
              </w:rPr>
              <w:t>Indonesia</w:t>
            </w:r>
          </w:p>
        </w:tc>
        <w:tc>
          <w:tcPr>
            <w:tcW w:w="936" w:type="dxa"/>
            <w:shd w:val="clear" w:color="auto" w:fill="auto"/>
            <w:noWrap/>
            <w:vAlign w:val="center"/>
          </w:tcPr>
          <w:p w:rsidR="00EF09BB" w:rsidRPr="00C558B9" w:rsidRDefault="00EF09BB" w:rsidP="00FC4A2F">
            <w:pPr>
              <w:jc w:val="right"/>
              <w:rPr>
                <w:sz w:val="16"/>
                <w:szCs w:val="16"/>
              </w:rPr>
            </w:pPr>
            <w:r w:rsidRPr="00C558B9">
              <w:rPr>
                <w:sz w:val="16"/>
                <w:szCs w:val="16"/>
              </w:rPr>
              <w:t>708,944</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0</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-54</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-286</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-1,760</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-947</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190</w:t>
            </w:r>
          </w:p>
        </w:tc>
        <w:tc>
          <w:tcPr>
            <w:tcW w:w="808" w:type="dxa"/>
            <w:vAlign w:val="center"/>
          </w:tcPr>
          <w:p w:rsidR="00EF09BB" w:rsidRPr="00C558B9" w:rsidRDefault="00EF09BB" w:rsidP="00FC4A2F">
            <w:pPr>
              <w:jc w:val="right"/>
              <w:rPr>
                <w:sz w:val="16"/>
                <w:szCs w:val="16"/>
              </w:rPr>
            </w:pPr>
            <w:r w:rsidRPr="00C558B9">
              <w:rPr>
                <w:sz w:val="16"/>
                <w:szCs w:val="16"/>
              </w:rPr>
              <w:t>-2,857</w:t>
            </w:r>
          </w:p>
        </w:tc>
        <w:tc>
          <w:tcPr>
            <w:tcW w:w="856" w:type="dxa"/>
            <w:shd w:val="clear" w:color="auto" w:fill="auto"/>
            <w:noWrap/>
            <w:vAlign w:val="center"/>
          </w:tcPr>
          <w:p w:rsidR="00EF09BB" w:rsidRPr="00C558B9" w:rsidRDefault="00EF09BB" w:rsidP="00FC4A2F">
            <w:pPr>
              <w:jc w:val="right"/>
              <w:rPr>
                <w:sz w:val="16"/>
                <w:szCs w:val="16"/>
              </w:rPr>
            </w:pPr>
            <w:r w:rsidRPr="00C558B9">
              <w:rPr>
                <w:sz w:val="16"/>
                <w:szCs w:val="16"/>
              </w:rPr>
              <w:t>2.05%</w:t>
            </w:r>
          </w:p>
        </w:tc>
      </w:tr>
      <w:tr w:rsidR="00EF09BB" w:rsidRPr="00C558B9" w:rsidTr="00FC4A2F">
        <w:trPr>
          <w:trHeight w:val="225"/>
        </w:trPr>
        <w:tc>
          <w:tcPr>
            <w:tcW w:w="1575" w:type="dxa"/>
            <w:shd w:val="clear" w:color="auto" w:fill="auto"/>
            <w:noWrap/>
            <w:vAlign w:val="center"/>
          </w:tcPr>
          <w:p w:rsidR="00EF09BB" w:rsidRPr="00C558B9" w:rsidRDefault="00EF09BB" w:rsidP="00FC4A2F">
            <w:pPr>
              <w:rPr>
                <w:sz w:val="16"/>
                <w:szCs w:val="16"/>
              </w:rPr>
            </w:pPr>
            <w:r w:rsidRPr="00C558B9">
              <w:rPr>
                <w:sz w:val="16"/>
                <w:szCs w:val="16"/>
              </w:rPr>
              <w:t>Japan</w:t>
            </w:r>
          </w:p>
        </w:tc>
        <w:tc>
          <w:tcPr>
            <w:tcW w:w="936" w:type="dxa"/>
            <w:shd w:val="clear" w:color="auto" w:fill="auto"/>
            <w:noWrap/>
            <w:vAlign w:val="center"/>
          </w:tcPr>
          <w:p w:rsidR="00EF09BB" w:rsidRPr="00C558B9" w:rsidRDefault="00EF09BB" w:rsidP="00FC4A2F">
            <w:pPr>
              <w:jc w:val="right"/>
              <w:rPr>
                <w:sz w:val="16"/>
                <w:szCs w:val="16"/>
              </w:rPr>
            </w:pPr>
            <w:r w:rsidRPr="00C558B9">
              <w:rPr>
                <w:sz w:val="16"/>
                <w:szCs w:val="16"/>
              </w:rPr>
              <w:t>5,370,277</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-24,964</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-23,281</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-4,546</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0</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-496</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-1,599</w:t>
            </w:r>
          </w:p>
        </w:tc>
        <w:tc>
          <w:tcPr>
            <w:tcW w:w="808" w:type="dxa"/>
            <w:vAlign w:val="center"/>
          </w:tcPr>
          <w:p w:rsidR="00EF09BB" w:rsidRPr="00C558B9" w:rsidRDefault="00EF09BB" w:rsidP="00FC4A2F">
            <w:pPr>
              <w:jc w:val="right"/>
              <w:rPr>
                <w:sz w:val="16"/>
                <w:szCs w:val="16"/>
              </w:rPr>
            </w:pPr>
            <w:r w:rsidRPr="00C558B9">
              <w:rPr>
                <w:sz w:val="16"/>
                <w:szCs w:val="16"/>
              </w:rPr>
              <w:t>-54,886</w:t>
            </w:r>
          </w:p>
        </w:tc>
        <w:tc>
          <w:tcPr>
            <w:tcW w:w="856" w:type="dxa"/>
            <w:shd w:val="clear" w:color="auto" w:fill="auto"/>
            <w:noWrap/>
            <w:vAlign w:val="center"/>
          </w:tcPr>
          <w:p w:rsidR="00EF09BB" w:rsidRPr="00C558B9" w:rsidRDefault="00EF09BB" w:rsidP="00FC4A2F">
            <w:pPr>
              <w:jc w:val="right"/>
              <w:rPr>
                <w:sz w:val="16"/>
                <w:szCs w:val="16"/>
              </w:rPr>
            </w:pPr>
            <w:r w:rsidRPr="00C558B9">
              <w:rPr>
                <w:sz w:val="16"/>
                <w:szCs w:val="16"/>
              </w:rPr>
              <w:t>39.46%</w:t>
            </w:r>
          </w:p>
        </w:tc>
      </w:tr>
      <w:tr w:rsidR="00EF09BB" w:rsidRPr="00C558B9" w:rsidTr="00FC4A2F">
        <w:trPr>
          <w:trHeight w:val="225"/>
        </w:trPr>
        <w:tc>
          <w:tcPr>
            <w:tcW w:w="1575" w:type="dxa"/>
            <w:shd w:val="clear" w:color="auto" w:fill="auto"/>
            <w:noWrap/>
            <w:vAlign w:val="center"/>
          </w:tcPr>
          <w:p w:rsidR="00EF09BB" w:rsidRPr="00C558B9" w:rsidRDefault="00EF09BB" w:rsidP="00FC4A2F">
            <w:pPr>
              <w:rPr>
                <w:sz w:val="16"/>
                <w:szCs w:val="16"/>
              </w:rPr>
            </w:pPr>
            <w:r w:rsidRPr="00C558B9">
              <w:rPr>
                <w:sz w:val="16"/>
                <w:szCs w:val="16"/>
              </w:rPr>
              <w:t>Mexico</w:t>
            </w:r>
          </w:p>
        </w:tc>
        <w:tc>
          <w:tcPr>
            <w:tcW w:w="936" w:type="dxa"/>
            <w:shd w:val="clear" w:color="auto" w:fill="auto"/>
            <w:noWrap/>
            <w:vAlign w:val="center"/>
          </w:tcPr>
          <w:p w:rsidR="00EF09BB" w:rsidRPr="00C558B9" w:rsidRDefault="00EF09BB" w:rsidP="00FC4A2F">
            <w:pPr>
              <w:jc w:val="right"/>
              <w:rPr>
                <w:sz w:val="16"/>
                <w:szCs w:val="16"/>
              </w:rPr>
            </w:pPr>
            <w:r w:rsidRPr="00C558B9">
              <w:rPr>
                <w:sz w:val="16"/>
                <w:szCs w:val="16"/>
              </w:rPr>
              <w:t>991,003</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0</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-14</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-59</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-481</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-855</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-152</w:t>
            </w:r>
          </w:p>
        </w:tc>
        <w:tc>
          <w:tcPr>
            <w:tcW w:w="808" w:type="dxa"/>
            <w:vAlign w:val="center"/>
          </w:tcPr>
          <w:p w:rsidR="00EF09BB" w:rsidRPr="00C558B9" w:rsidRDefault="00EF09BB" w:rsidP="00FC4A2F">
            <w:pPr>
              <w:jc w:val="right"/>
              <w:rPr>
                <w:sz w:val="16"/>
                <w:szCs w:val="16"/>
              </w:rPr>
            </w:pPr>
            <w:r w:rsidRPr="00C558B9">
              <w:rPr>
                <w:sz w:val="16"/>
                <w:szCs w:val="16"/>
              </w:rPr>
              <w:t>-1,560</w:t>
            </w:r>
          </w:p>
        </w:tc>
        <w:tc>
          <w:tcPr>
            <w:tcW w:w="856" w:type="dxa"/>
            <w:shd w:val="clear" w:color="auto" w:fill="auto"/>
            <w:noWrap/>
            <w:vAlign w:val="center"/>
          </w:tcPr>
          <w:p w:rsidR="00EF09BB" w:rsidRPr="00C558B9" w:rsidRDefault="00EF09BB" w:rsidP="00FC4A2F">
            <w:pPr>
              <w:jc w:val="right"/>
              <w:rPr>
                <w:sz w:val="16"/>
                <w:szCs w:val="16"/>
              </w:rPr>
            </w:pPr>
            <w:r w:rsidRPr="00C558B9">
              <w:rPr>
                <w:sz w:val="16"/>
                <w:szCs w:val="16"/>
              </w:rPr>
              <w:t>1.12%</w:t>
            </w:r>
          </w:p>
        </w:tc>
      </w:tr>
      <w:tr w:rsidR="00EF09BB" w:rsidRPr="00C558B9" w:rsidTr="00FC4A2F">
        <w:trPr>
          <w:trHeight w:val="225"/>
        </w:trPr>
        <w:tc>
          <w:tcPr>
            <w:tcW w:w="1575" w:type="dxa"/>
            <w:shd w:val="clear" w:color="auto" w:fill="auto"/>
            <w:noWrap/>
            <w:vAlign w:val="center"/>
          </w:tcPr>
          <w:p w:rsidR="00EF09BB" w:rsidRPr="00C558B9" w:rsidRDefault="00EF09BB" w:rsidP="00FC4A2F">
            <w:pPr>
              <w:rPr>
                <w:sz w:val="16"/>
                <w:szCs w:val="16"/>
              </w:rPr>
            </w:pPr>
            <w:r w:rsidRPr="00C558B9">
              <w:rPr>
                <w:sz w:val="16"/>
                <w:szCs w:val="16"/>
              </w:rPr>
              <w:t>Russia</w:t>
            </w:r>
          </w:p>
        </w:tc>
        <w:tc>
          <w:tcPr>
            <w:tcW w:w="936" w:type="dxa"/>
            <w:shd w:val="clear" w:color="auto" w:fill="auto"/>
            <w:noWrap/>
            <w:vAlign w:val="center"/>
          </w:tcPr>
          <w:p w:rsidR="00EF09BB" w:rsidRPr="00C558B9" w:rsidRDefault="00EF09BB" w:rsidP="00FC4A2F">
            <w:pPr>
              <w:jc w:val="right"/>
              <w:rPr>
                <w:sz w:val="16"/>
                <w:szCs w:val="16"/>
              </w:rPr>
            </w:pPr>
            <w:r w:rsidRPr="00C558B9">
              <w:rPr>
                <w:sz w:val="16"/>
                <w:szCs w:val="16"/>
              </w:rPr>
              <w:t>1,296,437</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0</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-12</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-250</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-25</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-48</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-305</w:t>
            </w:r>
          </w:p>
        </w:tc>
        <w:tc>
          <w:tcPr>
            <w:tcW w:w="808" w:type="dxa"/>
            <w:vAlign w:val="center"/>
          </w:tcPr>
          <w:p w:rsidR="00EF09BB" w:rsidRPr="00C558B9" w:rsidRDefault="00EF09BB" w:rsidP="00FC4A2F">
            <w:pPr>
              <w:jc w:val="right"/>
              <w:rPr>
                <w:sz w:val="16"/>
                <w:szCs w:val="16"/>
              </w:rPr>
            </w:pPr>
            <w:r w:rsidRPr="00C558B9">
              <w:rPr>
                <w:sz w:val="16"/>
                <w:szCs w:val="16"/>
              </w:rPr>
              <w:t>-640</w:t>
            </w:r>
          </w:p>
        </w:tc>
        <w:tc>
          <w:tcPr>
            <w:tcW w:w="856" w:type="dxa"/>
            <w:shd w:val="clear" w:color="auto" w:fill="auto"/>
            <w:noWrap/>
            <w:vAlign w:val="center"/>
          </w:tcPr>
          <w:p w:rsidR="00EF09BB" w:rsidRPr="00C558B9" w:rsidRDefault="00EF09BB" w:rsidP="00FC4A2F">
            <w:pPr>
              <w:jc w:val="right"/>
              <w:rPr>
                <w:sz w:val="16"/>
                <w:szCs w:val="16"/>
              </w:rPr>
            </w:pPr>
            <w:r w:rsidRPr="00C558B9">
              <w:rPr>
                <w:sz w:val="16"/>
                <w:szCs w:val="16"/>
              </w:rPr>
              <w:t>0.46%</w:t>
            </w:r>
          </w:p>
        </w:tc>
      </w:tr>
      <w:tr w:rsidR="00EF09BB" w:rsidRPr="00C558B9" w:rsidTr="00FC4A2F">
        <w:trPr>
          <w:trHeight w:val="225"/>
        </w:trPr>
        <w:tc>
          <w:tcPr>
            <w:tcW w:w="1575" w:type="dxa"/>
            <w:shd w:val="clear" w:color="auto" w:fill="auto"/>
            <w:noWrap/>
            <w:vAlign w:val="center"/>
          </w:tcPr>
          <w:p w:rsidR="00EF09BB" w:rsidRPr="00C558B9" w:rsidRDefault="00EF09BB" w:rsidP="00FC4A2F">
            <w:pPr>
              <w:rPr>
                <w:sz w:val="16"/>
                <w:szCs w:val="16"/>
              </w:rPr>
            </w:pPr>
            <w:r w:rsidRPr="00C558B9">
              <w:rPr>
                <w:sz w:val="16"/>
                <w:szCs w:val="16"/>
              </w:rPr>
              <w:t>South Korea</w:t>
            </w:r>
          </w:p>
        </w:tc>
        <w:tc>
          <w:tcPr>
            <w:tcW w:w="936" w:type="dxa"/>
            <w:shd w:val="clear" w:color="auto" w:fill="auto"/>
            <w:noWrap/>
            <w:vAlign w:val="center"/>
          </w:tcPr>
          <w:p w:rsidR="00EF09BB" w:rsidRPr="00C558B9" w:rsidRDefault="00EF09BB" w:rsidP="00FC4A2F">
            <w:pPr>
              <w:jc w:val="right"/>
              <w:rPr>
                <w:sz w:val="16"/>
                <w:szCs w:val="16"/>
              </w:rPr>
            </w:pPr>
            <w:r w:rsidRPr="00C558B9">
              <w:rPr>
                <w:sz w:val="16"/>
                <w:szCs w:val="16"/>
              </w:rPr>
              <w:t>912,259</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0</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-123</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-368</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-28</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-181</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-271</w:t>
            </w:r>
          </w:p>
        </w:tc>
        <w:tc>
          <w:tcPr>
            <w:tcW w:w="808" w:type="dxa"/>
            <w:vAlign w:val="center"/>
          </w:tcPr>
          <w:p w:rsidR="00EF09BB" w:rsidRPr="00C558B9" w:rsidRDefault="00EF09BB" w:rsidP="00FC4A2F">
            <w:pPr>
              <w:jc w:val="right"/>
              <w:rPr>
                <w:sz w:val="16"/>
                <w:szCs w:val="16"/>
              </w:rPr>
            </w:pPr>
            <w:r w:rsidRPr="00C558B9">
              <w:rPr>
                <w:sz w:val="16"/>
                <w:szCs w:val="16"/>
              </w:rPr>
              <w:t>-972</w:t>
            </w:r>
          </w:p>
        </w:tc>
        <w:tc>
          <w:tcPr>
            <w:tcW w:w="856" w:type="dxa"/>
            <w:shd w:val="clear" w:color="auto" w:fill="auto"/>
            <w:noWrap/>
            <w:vAlign w:val="center"/>
          </w:tcPr>
          <w:p w:rsidR="00EF09BB" w:rsidRPr="00C558B9" w:rsidRDefault="00EF09BB" w:rsidP="00FC4A2F">
            <w:pPr>
              <w:jc w:val="right"/>
              <w:rPr>
                <w:sz w:val="16"/>
                <w:szCs w:val="16"/>
              </w:rPr>
            </w:pPr>
            <w:r w:rsidRPr="00C558B9">
              <w:rPr>
                <w:sz w:val="16"/>
                <w:szCs w:val="16"/>
              </w:rPr>
              <w:t>0.70%</w:t>
            </w:r>
          </w:p>
        </w:tc>
      </w:tr>
      <w:tr w:rsidR="00EF09BB" w:rsidRPr="00C558B9" w:rsidTr="00FC4A2F">
        <w:trPr>
          <w:trHeight w:val="225"/>
        </w:trPr>
        <w:tc>
          <w:tcPr>
            <w:tcW w:w="1575" w:type="dxa"/>
            <w:shd w:val="clear" w:color="auto" w:fill="auto"/>
            <w:noWrap/>
            <w:vAlign w:val="center"/>
          </w:tcPr>
          <w:p w:rsidR="00EF09BB" w:rsidRPr="00C558B9" w:rsidRDefault="00EF09BB" w:rsidP="00FC4A2F">
            <w:pPr>
              <w:rPr>
                <w:sz w:val="16"/>
                <w:szCs w:val="16"/>
              </w:rPr>
            </w:pPr>
            <w:r w:rsidRPr="00C558B9">
              <w:rPr>
                <w:sz w:val="16"/>
                <w:szCs w:val="16"/>
              </w:rPr>
              <w:t>Taiwan</w:t>
            </w:r>
          </w:p>
        </w:tc>
        <w:tc>
          <w:tcPr>
            <w:tcW w:w="936" w:type="dxa"/>
            <w:shd w:val="clear" w:color="auto" w:fill="auto"/>
            <w:noWrap/>
            <w:vAlign w:val="center"/>
          </w:tcPr>
          <w:p w:rsidR="00EF09BB" w:rsidRPr="00C558B9" w:rsidRDefault="00EF09BB" w:rsidP="00FC4A2F">
            <w:pPr>
              <w:jc w:val="right"/>
              <w:rPr>
                <w:sz w:val="16"/>
                <w:szCs w:val="16"/>
              </w:rPr>
            </w:pPr>
            <w:r w:rsidRPr="00C558B9">
              <w:rPr>
                <w:sz w:val="16"/>
                <w:szCs w:val="16"/>
              </w:rPr>
              <w:t>410,200</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0</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-40</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-184</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0</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-93</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-331</w:t>
            </w:r>
          </w:p>
        </w:tc>
        <w:tc>
          <w:tcPr>
            <w:tcW w:w="808" w:type="dxa"/>
            <w:vAlign w:val="center"/>
          </w:tcPr>
          <w:p w:rsidR="00EF09BB" w:rsidRPr="00C558B9" w:rsidRDefault="00EF09BB" w:rsidP="00FC4A2F">
            <w:pPr>
              <w:jc w:val="right"/>
              <w:rPr>
                <w:sz w:val="16"/>
                <w:szCs w:val="16"/>
              </w:rPr>
            </w:pPr>
            <w:r w:rsidRPr="00C558B9">
              <w:rPr>
                <w:sz w:val="16"/>
                <w:szCs w:val="16"/>
              </w:rPr>
              <w:t>-647</w:t>
            </w:r>
          </w:p>
        </w:tc>
        <w:tc>
          <w:tcPr>
            <w:tcW w:w="856" w:type="dxa"/>
            <w:shd w:val="clear" w:color="auto" w:fill="auto"/>
            <w:noWrap/>
            <w:vAlign w:val="center"/>
          </w:tcPr>
          <w:p w:rsidR="00EF09BB" w:rsidRPr="00C558B9" w:rsidRDefault="00EF09BB" w:rsidP="00FC4A2F">
            <w:pPr>
              <w:jc w:val="right"/>
              <w:rPr>
                <w:sz w:val="16"/>
                <w:szCs w:val="16"/>
              </w:rPr>
            </w:pPr>
            <w:r w:rsidRPr="00C558B9">
              <w:rPr>
                <w:sz w:val="16"/>
                <w:szCs w:val="16"/>
              </w:rPr>
              <w:t>0.47%</w:t>
            </w:r>
          </w:p>
        </w:tc>
      </w:tr>
      <w:tr w:rsidR="00EF09BB" w:rsidRPr="00C558B9" w:rsidTr="00FC4A2F">
        <w:trPr>
          <w:trHeight w:val="225"/>
        </w:trPr>
        <w:tc>
          <w:tcPr>
            <w:tcW w:w="1575" w:type="dxa"/>
            <w:shd w:val="clear" w:color="auto" w:fill="auto"/>
            <w:noWrap/>
            <w:vAlign w:val="center"/>
          </w:tcPr>
          <w:p w:rsidR="00EF09BB" w:rsidRPr="00C558B9" w:rsidRDefault="00EF09BB" w:rsidP="00FC4A2F">
            <w:pPr>
              <w:rPr>
                <w:sz w:val="16"/>
                <w:szCs w:val="16"/>
              </w:rPr>
            </w:pPr>
            <w:r w:rsidRPr="00C558B9">
              <w:rPr>
                <w:sz w:val="16"/>
                <w:szCs w:val="16"/>
              </w:rPr>
              <w:t>Turkey</w:t>
            </w:r>
          </w:p>
        </w:tc>
        <w:tc>
          <w:tcPr>
            <w:tcW w:w="936" w:type="dxa"/>
            <w:shd w:val="clear" w:color="auto" w:fill="auto"/>
            <w:noWrap/>
            <w:vAlign w:val="center"/>
          </w:tcPr>
          <w:p w:rsidR="00EF09BB" w:rsidRPr="00C558B9" w:rsidRDefault="00EF09BB" w:rsidP="00FC4A2F">
            <w:pPr>
              <w:jc w:val="right"/>
              <w:rPr>
                <w:sz w:val="16"/>
                <w:szCs w:val="16"/>
              </w:rPr>
            </w:pPr>
            <w:r w:rsidRPr="00C558B9">
              <w:rPr>
                <w:sz w:val="16"/>
                <w:szCs w:val="16"/>
              </w:rPr>
              <w:t>640,039</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0</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-3</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-20</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-147</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-126</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-127</w:t>
            </w:r>
          </w:p>
        </w:tc>
        <w:tc>
          <w:tcPr>
            <w:tcW w:w="808" w:type="dxa"/>
            <w:vAlign w:val="center"/>
          </w:tcPr>
          <w:p w:rsidR="00EF09BB" w:rsidRPr="00C558B9" w:rsidRDefault="00EF09BB" w:rsidP="00FC4A2F">
            <w:pPr>
              <w:jc w:val="right"/>
              <w:rPr>
                <w:sz w:val="16"/>
                <w:szCs w:val="16"/>
              </w:rPr>
            </w:pPr>
            <w:r w:rsidRPr="00C558B9">
              <w:rPr>
                <w:sz w:val="16"/>
                <w:szCs w:val="16"/>
              </w:rPr>
              <w:t>-422</w:t>
            </w:r>
          </w:p>
        </w:tc>
        <w:tc>
          <w:tcPr>
            <w:tcW w:w="856" w:type="dxa"/>
            <w:shd w:val="clear" w:color="auto" w:fill="auto"/>
            <w:noWrap/>
            <w:vAlign w:val="center"/>
          </w:tcPr>
          <w:p w:rsidR="00EF09BB" w:rsidRPr="00C558B9" w:rsidRDefault="00EF09BB" w:rsidP="00FC4A2F">
            <w:pPr>
              <w:jc w:val="right"/>
              <w:rPr>
                <w:sz w:val="16"/>
                <w:szCs w:val="16"/>
              </w:rPr>
            </w:pPr>
            <w:r w:rsidRPr="00C558B9">
              <w:rPr>
                <w:sz w:val="16"/>
                <w:szCs w:val="16"/>
              </w:rPr>
              <w:t>0.30%</w:t>
            </w:r>
          </w:p>
        </w:tc>
      </w:tr>
      <w:tr w:rsidR="00EF09BB" w:rsidRPr="00C558B9" w:rsidTr="00FC4A2F">
        <w:trPr>
          <w:trHeight w:val="225"/>
        </w:trPr>
        <w:tc>
          <w:tcPr>
            <w:tcW w:w="1575" w:type="dxa"/>
            <w:shd w:val="clear" w:color="auto" w:fill="auto"/>
            <w:noWrap/>
            <w:vAlign w:val="center"/>
          </w:tcPr>
          <w:p w:rsidR="00EF09BB" w:rsidRPr="00C558B9" w:rsidRDefault="00EF09BB" w:rsidP="00FC4A2F">
            <w:pPr>
              <w:rPr>
                <w:sz w:val="16"/>
                <w:szCs w:val="16"/>
              </w:rPr>
            </w:pPr>
            <w:r w:rsidRPr="00C558B9">
              <w:rPr>
                <w:sz w:val="16"/>
                <w:szCs w:val="16"/>
              </w:rPr>
              <w:t>United States</w:t>
            </w:r>
          </w:p>
        </w:tc>
        <w:tc>
          <w:tcPr>
            <w:tcW w:w="936" w:type="dxa"/>
            <w:shd w:val="clear" w:color="auto" w:fill="auto"/>
            <w:noWrap/>
            <w:vAlign w:val="center"/>
          </w:tcPr>
          <w:p w:rsidR="00EF09BB" w:rsidRPr="00C558B9" w:rsidRDefault="00EF09BB" w:rsidP="00FC4A2F">
            <w:pPr>
              <w:jc w:val="right"/>
              <w:rPr>
                <w:sz w:val="16"/>
                <w:szCs w:val="16"/>
              </w:rPr>
            </w:pPr>
            <w:r w:rsidRPr="00C558B9">
              <w:rPr>
                <w:sz w:val="16"/>
                <w:szCs w:val="16"/>
              </w:rPr>
              <w:t>14,525,130</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0</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-206</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-834</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-11,094</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-14,860</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-8,090</w:t>
            </w:r>
          </w:p>
        </w:tc>
        <w:tc>
          <w:tcPr>
            <w:tcW w:w="808" w:type="dxa"/>
            <w:vAlign w:val="center"/>
          </w:tcPr>
          <w:p w:rsidR="00EF09BB" w:rsidRPr="00C558B9" w:rsidRDefault="00EF09BB" w:rsidP="00FC4A2F">
            <w:pPr>
              <w:jc w:val="right"/>
              <w:rPr>
                <w:sz w:val="16"/>
                <w:szCs w:val="16"/>
              </w:rPr>
            </w:pPr>
            <w:r w:rsidRPr="00C558B9">
              <w:rPr>
                <w:sz w:val="16"/>
                <w:szCs w:val="16"/>
              </w:rPr>
              <w:t>-35,084</w:t>
            </w:r>
          </w:p>
        </w:tc>
        <w:tc>
          <w:tcPr>
            <w:tcW w:w="856" w:type="dxa"/>
            <w:shd w:val="clear" w:color="auto" w:fill="auto"/>
            <w:noWrap/>
            <w:vAlign w:val="center"/>
          </w:tcPr>
          <w:p w:rsidR="00EF09BB" w:rsidRPr="00C558B9" w:rsidRDefault="00EF09BB" w:rsidP="00FC4A2F">
            <w:pPr>
              <w:jc w:val="right"/>
              <w:rPr>
                <w:sz w:val="16"/>
                <w:szCs w:val="16"/>
              </w:rPr>
            </w:pPr>
            <w:r w:rsidRPr="00C558B9">
              <w:rPr>
                <w:sz w:val="16"/>
                <w:szCs w:val="16"/>
              </w:rPr>
              <w:t>25.22%</w:t>
            </w:r>
          </w:p>
        </w:tc>
      </w:tr>
      <w:tr w:rsidR="00EF09BB" w:rsidRPr="00C558B9" w:rsidTr="00FC4A2F">
        <w:trPr>
          <w:trHeight w:val="225"/>
        </w:trPr>
        <w:tc>
          <w:tcPr>
            <w:tcW w:w="1575" w:type="dxa"/>
            <w:shd w:val="clear" w:color="auto" w:fill="auto"/>
            <w:noWrap/>
            <w:vAlign w:val="center"/>
          </w:tcPr>
          <w:p w:rsidR="00EF09BB" w:rsidRPr="00C558B9" w:rsidRDefault="00EF09BB" w:rsidP="00FC4A2F">
            <w:pPr>
              <w:rPr>
                <w:sz w:val="16"/>
                <w:szCs w:val="16"/>
              </w:rPr>
            </w:pPr>
            <w:r w:rsidRPr="00C558B9">
              <w:rPr>
                <w:sz w:val="16"/>
                <w:szCs w:val="16"/>
              </w:rPr>
              <w:t>Rest of World</w:t>
            </w:r>
          </w:p>
        </w:tc>
        <w:tc>
          <w:tcPr>
            <w:tcW w:w="936" w:type="dxa"/>
            <w:shd w:val="clear" w:color="auto" w:fill="auto"/>
            <w:noWrap/>
            <w:vAlign w:val="center"/>
          </w:tcPr>
          <w:p w:rsidR="00EF09BB" w:rsidRPr="00C558B9" w:rsidRDefault="00EF09BB" w:rsidP="00FC4A2F">
            <w:pPr>
              <w:jc w:val="right"/>
              <w:rPr>
                <w:sz w:val="16"/>
                <w:szCs w:val="16"/>
              </w:rPr>
            </w:pPr>
            <w:r w:rsidRPr="00C558B9">
              <w:rPr>
                <w:sz w:val="16"/>
                <w:szCs w:val="16"/>
              </w:rPr>
              <w:t>8,859,798</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0</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-270</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-2,145</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0</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-503</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-2,354</w:t>
            </w:r>
          </w:p>
        </w:tc>
        <w:tc>
          <w:tcPr>
            <w:tcW w:w="808" w:type="dxa"/>
            <w:vAlign w:val="center"/>
          </w:tcPr>
          <w:p w:rsidR="00EF09BB" w:rsidRPr="00C558B9" w:rsidRDefault="00EF09BB" w:rsidP="00FC4A2F">
            <w:pPr>
              <w:jc w:val="right"/>
              <w:rPr>
                <w:sz w:val="16"/>
                <w:szCs w:val="16"/>
              </w:rPr>
            </w:pPr>
            <w:r w:rsidRPr="00C558B9">
              <w:rPr>
                <w:sz w:val="16"/>
                <w:szCs w:val="16"/>
              </w:rPr>
              <w:t>-5,272</w:t>
            </w:r>
          </w:p>
        </w:tc>
        <w:tc>
          <w:tcPr>
            <w:tcW w:w="856" w:type="dxa"/>
            <w:shd w:val="clear" w:color="auto" w:fill="auto"/>
            <w:noWrap/>
            <w:vAlign w:val="center"/>
          </w:tcPr>
          <w:p w:rsidR="00EF09BB" w:rsidRPr="00C558B9" w:rsidRDefault="00EF09BB" w:rsidP="00FC4A2F">
            <w:pPr>
              <w:jc w:val="right"/>
              <w:rPr>
                <w:sz w:val="16"/>
                <w:szCs w:val="16"/>
              </w:rPr>
            </w:pPr>
            <w:r w:rsidRPr="00C558B9">
              <w:rPr>
                <w:sz w:val="16"/>
                <w:szCs w:val="16"/>
              </w:rPr>
              <w:t>3.79%</w:t>
            </w:r>
          </w:p>
        </w:tc>
      </w:tr>
      <w:tr w:rsidR="00EF09BB" w:rsidRPr="00C558B9" w:rsidTr="00FC4A2F">
        <w:trPr>
          <w:trHeight w:val="225"/>
        </w:trPr>
        <w:tc>
          <w:tcPr>
            <w:tcW w:w="1575" w:type="dxa"/>
            <w:shd w:val="clear" w:color="auto" w:fill="auto"/>
            <w:noWrap/>
            <w:vAlign w:val="center"/>
          </w:tcPr>
          <w:p w:rsidR="00EF09BB" w:rsidRPr="00C558B9" w:rsidRDefault="00EF09BB" w:rsidP="00FC4A2F">
            <w:pPr>
              <w:rPr>
                <w:sz w:val="16"/>
                <w:szCs w:val="16"/>
              </w:rPr>
            </w:pPr>
            <w:r w:rsidRPr="00C558B9">
              <w:rPr>
                <w:sz w:val="16"/>
                <w:szCs w:val="16"/>
              </w:rPr>
              <w:t>Total</w:t>
            </w:r>
          </w:p>
        </w:tc>
        <w:tc>
          <w:tcPr>
            <w:tcW w:w="936" w:type="dxa"/>
            <w:shd w:val="clear" w:color="auto" w:fill="auto"/>
            <w:noWrap/>
            <w:vAlign w:val="center"/>
          </w:tcPr>
          <w:p w:rsidR="00EF09BB" w:rsidRPr="00C558B9" w:rsidRDefault="00EF09BB" w:rsidP="00FC4A2F">
            <w:pPr>
              <w:jc w:val="right"/>
              <w:rPr>
                <w:sz w:val="16"/>
                <w:szCs w:val="16"/>
              </w:rPr>
            </w:pPr>
            <w:r w:rsidRPr="00C558B9">
              <w:rPr>
                <w:sz w:val="16"/>
                <w:szCs w:val="16"/>
              </w:rPr>
              <w:t>60,349,018</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-24,964</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-24,565</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-11,789</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-24,530</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-30,551</w:t>
            </w:r>
          </w:p>
        </w:tc>
        <w:tc>
          <w:tcPr>
            <w:tcW w:w="791" w:type="dxa"/>
            <w:shd w:val="clear" w:color="auto" w:fill="auto"/>
            <w:noWrap/>
            <w:vAlign w:val="center"/>
          </w:tcPr>
          <w:p w:rsidR="00EF09BB" w:rsidRPr="00C558B9" w:rsidRDefault="00EF09BB" w:rsidP="00FC4A2F">
            <w:pPr>
              <w:jc w:val="right"/>
              <w:rPr>
                <w:sz w:val="16"/>
                <w:szCs w:val="16"/>
              </w:rPr>
            </w:pPr>
            <w:r w:rsidRPr="00C558B9">
              <w:rPr>
                <w:sz w:val="16"/>
                <w:szCs w:val="16"/>
              </w:rPr>
              <w:t>-22,687</w:t>
            </w:r>
          </w:p>
        </w:tc>
        <w:tc>
          <w:tcPr>
            <w:tcW w:w="808" w:type="dxa"/>
            <w:vAlign w:val="center"/>
          </w:tcPr>
          <w:p w:rsidR="00EF09BB" w:rsidRPr="00C558B9" w:rsidRDefault="00EF09BB" w:rsidP="00FC4A2F">
            <w:pPr>
              <w:jc w:val="right"/>
              <w:rPr>
                <w:sz w:val="16"/>
                <w:szCs w:val="16"/>
              </w:rPr>
            </w:pPr>
            <w:r w:rsidRPr="00C558B9">
              <w:rPr>
                <w:sz w:val="16"/>
                <w:szCs w:val="16"/>
              </w:rPr>
              <w:t>-139,086</w:t>
            </w:r>
          </w:p>
        </w:tc>
        <w:tc>
          <w:tcPr>
            <w:tcW w:w="856" w:type="dxa"/>
            <w:shd w:val="clear" w:color="auto" w:fill="auto"/>
            <w:noWrap/>
            <w:vAlign w:val="center"/>
          </w:tcPr>
          <w:p w:rsidR="00EF09BB" w:rsidRPr="00C558B9" w:rsidRDefault="00EF09BB" w:rsidP="00FC4A2F">
            <w:pPr>
              <w:jc w:val="right"/>
              <w:rPr>
                <w:sz w:val="16"/>
                <w:szCs w:val="16"/>
              </w:rPr>
            </w:pPr>
            <w:r w:rsidRPr="00C558B9">
              <w:rPr>
                <w:sz w:val="16"/>
                <w:szCs w:val="16"/>
              </w:rPr>
              <w:t>100.00%</w:t>
            </w:r>
          </w:p>
        </w:tc>
      </w:tr>
    </w:tbl>
    <w:p w:rsidR="00EF09BB" w:rsidRDefault="00EF09BB" w:rsidP="00EF09BB">
      <w:pPr>
        <w:jc w:val="both"/>
        <w:rPr>
          <w:sz w:val="20"/>
          <w:szCs w:val="20"/>
          <w:lang w:val="en-US"/>
        </w:rPr>
      </w:pPr>
    </w:p>
    <w:p w:rsidR="00EF09BB" w:rsidRPr="00844BD4" w:rsidRDefault="00EF09BB">
      <w:pPr>
        <w:jc w:val="both"/>
        <w:rPr>
          <w:sz w:val="20"/>
          <w:szCs w:val="20"/>
          <w:lang w:val="en-US"/>
        </w:rPr>
      </w:pPr>
      <w:r w:rsidRPr="00844BD4">
        <w:rPr>
          <w:sz w:val="20"/>
          <w:szCs w:val="20"/>
          <w:lang w:val="en-US"/>
        </w:rPr>
        <w:t>Source: own elaboration.</w:t>
      </w:r>
    </w:p>
    <w:p w:rsidR="00EF09BB" w:rsidRDefault="00EF09BB" w:rsidP="00CE33BD">
      <w:pPr>
        <w:ind w:left="720" w:hanging="720"/>
        <w:jc w:val="both"/>
        <w:rPr>
          <w:sz w:val="20"/>
          <w:szCs w:val="20"/>
          <w:lang w:val="en-US"/>
        </w:rPr>
      </w:pPr>
      <w:r w:rsidRPr="00844BD4">
        <w:rPr>
          <w:sz w:val="20"/>
          <w:szCs w:val="20"/>
          <w:lang w:val="en-US"/>
        </w:rPr>
        <w:t>Note: I: initial; BD: backward direct; BI: backward indirect.</w:t>
      </w:r>
      <w:r>
        <w:rPr>
          <w:sz w:val="20"/>
          <w:szCs w:val="20"/>
          <w:lang w:val="en-US"/>
        </w:rPr>
        <w:t xml:space="preserve"> The</w:t>
      </w:r>
      <w:r w:rsidR="00A24957">
        <w:rPr>
          <w:sz w:val="20"/>
          <w:szCs w:val="20"/>
          <w:lang w:val="en-US"/>
        </w:rPr>
        <w:t xml:space="preserve"> standard effect includes the in</w:t>
      </w:r>
      <w:r>
        <w:rPr>
          <w:sz w:val="20"/>
          <w:szCs w:val="20"/>
          <w:lang w:val="en-US"/>
        </w:rPr>
        <w:t>direct impac</w:t>
      </w:r>
      <w:r w:rsidR="00A24957">
        <w:rPr>
          <w:sz w:val="20"/>
          <w:szCs w:val="20"/>
          <w:lang w:val="en-US"/>
        </w:rPr>
        <w:t>t</w:t>
      </w:r>
      <w:r>
        <w:rPr>
          <w:sz w:val="20"/>
          <w:szCs w:val="20"/>
          <w:lang w:val="en-US"/>
        </w:rPr>
        <w:t xml:space="preserve"> in the Japanese TEI industry and the resulting from the reduction in its demand for intermediates. The s</w:t>
      </w:r>
      <w:r w:rsidRPr="0091349F">
        <w:rPr>
          <w:sz w:val="20"/>
          <w:szCs w:val="20"/>
          <w:lang w:val="en-US"/>
        </w:rPr>
        <w:t>upply chain disruption effect</w:t>
      </w:r>
      <w:r>
        <w:rPr>
          <w:sz w:val="20"/>
          <w:szCs w:val="20"/>
          <w:lang w:val="en-US"/>
        </w:rPr>
        <w:t xml:space="preserve"> include the impact in the non-Japanese TEI affected by the disruption in the intermediate deliveries of the Japanese TEI, and the subsequent cascading effects in all the other sectors supplying components to the non-Japanese TEI.</w:t>
      </w:r>
    </w:p>
    <w:p w:rsidR="00EF09BB" w:rsidRDefault="00EF09BB" w:rsidP="00EF09BB">
      <w:pPr>
        <w:spacing w:before="120" w:line="480" w:lineRule="auto"/>
        <w:ind w:left="720" w:hanging="720"/>
        <w:jc w:val="both"/>
        <w:rPr>
          <w:sz w:val="20"/>
          <w:szCs w:val="20"/>
          <w:lang w:val="en-US"/>
        </w:rPr>
      </w:pPr>
    </w:p>
    <w:p w:rsidR="00EF09BB" w:rsidRPr="00236D5B" w:rsidRDefault="00EF09BB" w:rsidP="00EF09BB">
      <w:pPr>
        <w:jc w:val="both"/>
        <w:rPr>
          <w:b/>
          <w:sz w:val="16"/>
          <w:lang w:val="en-US"/>
        </w:rPr>
      </w:pPr>
      <w:r>
        <w:rPr>
          <w:b/>
          <w:lang w:val="en-US"/>
        </w:rPr>
        <w:br w:type="page"/>
      </w:r>
      <w:r w:rsidRPr="00844BD4">
        <w:rPr>
          <w:b/>
          <w:lang w:val="en-US"/>
        </w:rPr>
        <w:t xml:space="preserve">Table </w:t>
      </w:r>
      <w:r>
        <w:rPr>
          <w:b/>
          <w:lang w:val="en-US"/>
        </w:rPr>
        <w:t>3</w:t>
      </w:r>
      <w:r w:rsidRPr="00844BD4">
        <w:rPr>
          <w:b/>
          <w:lang w:val="en-US"/>
        </w:rPr>
        <w:t>. Change in Global Value Added by sector (million US$)</w:t>
      </w:r>
    </w:p>
    <w:tbl>
      <w:tblPr>
        <w:tblW w:w="915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6"/>
        <w:gridCol w:w="936"/>
        <w:gridCol w:w="870"/>
        <w:gridCol w:w="801"/>
        <w:gridCol w:w="870"/>
      </w:tblGrid>
      <w:tr w:rsidR="00EF09BB" w:rsidRPr="00C239E1" w:rsidTr="00FC4A2F">
        <w:trPr>
          <w:trHeight w:val="255"/>
          <w:jc w:val="right"/>
        </w:trPr>
        <w:tc>
          <w:tcPr>
            <w:tcW w:w="5676" w:type="dxa"/>
            <w:shd w:val="clear" w:color="auto" w:fill="auto"/>
            <w:noWrap/>
            <w:vAlign w:val="center"/>
          </w:tcPr>
          <w:p w:rsidR="00EF09BB" w:rsidRPr="00C239E1" w:rsidRDefault="00EF09BB" w:rsidP="00FC4A2F">
            <w:pPr>
              <w:rPr>
                <w:sz w:val="16"/>
                <w:szCs w:val="16"/>
              </w:rPr>
            </w:pPr>
            <w:r w:rsidRPr="00C239E1">
              <w:rPr>
                <w:sz w:val="16"/>
                <w:szCs w:val="16"/>
              </w:rPr>
              <w:t>Sector</w:t>
            </w:r>
          </w:p>
        </w:tc>
        <w:tc>
          <w:tcPr>
            <w:tcW w:w="936" w:type="dxa"/>
            <w:shd w:val="clear" w:color="auto" w:fill="auto"/>
            <w:noWrap/>
            <w:vAlign w:val="center"/>
          </w:tcPr>
          <w:p w:rsidR="00EF09BB" w:rsidRPr="00C239E1" w:rsidRDefault="00EF09BB" w:rsidP="00FC4A2F">
            <w:pPr>
              <w:jc w:val="center"/>
              <w:rPr>
                <w:sz w:val="16"/>
                <w:szCs w:val="16"/>
              </w:rPr>
            </w:pPr>
            <w:r w:rsidRPr="00C239E1">
              <w:rPr>
                <w:sz w:val="16"/>
                <w:szCs w:val="16"/>
              </w:rPr>
              <w:t>Base</w:t>
            </w:r>
          </w:p>
          <w:p w:rsidR="00EF09BB" w:rsidRPr="00C239E1" w:rsidRDefault="00EF09BB" w:rsidP="00FC4A2F">
            <w:pPr>
              <w:jc w:val="center"/>
              <w:rPr>
                <w:sz w:val="16"/>
                <w:szCs w:val="16"/>
              </w:rPr>
            </w:pPr>
            <w:r w:rsidRPr="00C239E1">
              <w:rPr>
                <w:sz w:val="16"/>
                <w:szCs w:val="16"/>
              </w:rPr>
              <w:t>Value</w:t>
            </w:r>
          </w:p>
          <w:p w:rsidR="00EF09BB" w:rsidRPr="00C239E1" w:rsidRDefault="00EF09BB" w:rsidP="00FC4A2F">
            <w:pPr>
              <w:jc w:val="center"/>
              <w:rPr>
                <w:sz w:val="16"/>
                <w:szCs w:val="16"/>
              </w:rPr>
            </w:pPr>
            <w:r w:rsidRPr="00C239E1">
              <w:rPr>
                <w:sz w:val="16"/>
                <w:szCs w:val="16"/>
              </w:rPr>
              <w:t>Added, 2010</w:t>
            </w:r>
          </w:p>
          <w:p w:rsidR="00EF09BB" w:rsidRPr="00C239E1" w:rsidRDefault="00EF09BB" w:rsidP="00FC4A2F">
            <w:pPr>
              <w:jc w:val="center"/>
              <w:rPr>
                <w:sz w:val="16"/>
                <w:szCs w:val="16"/>
              </w:rPr>
            </w:pPr>
            <w:r w:rsidRPr="00C239E1">
              <w:rPr>
                <w:sz w:val="16"/>
                <w:szCs w:val="16"/>
              </w:rPr>
              <w:t>(1)</w:t>
            </w:r>
          </w:p>
        </w:tc>
        <w:tc>
          <w:tcPr>
            <w:tcW w:w="870" w:type="dxa"/>
            <w:shd w:val="clear" w:color="auto" w:fill="auto"/>
            <w:noWrap/>
            <w:vAlign w:val="center"/>
          </w:tcPr>
          <w:p w:rsidR="00EF09BB" w:rsidRPr="00C239E1" w:rsidRDefault="00EF09BB" w:rsidP="00FC4A2F">
            <w:pPr>
              <w:jc w:val="center"/>
              <w:rPr>
                <w:sz w:val="16"/>
                <w:szCs w:val="16"/>
              </w:rPr>
            </w:pPr>
            <w:r w:rsidRPr="00C239E1">
              <w:rPr>
                <w:sz w:val="16"/>
                <w:szCs w:val="16"/>
              </w:rPr>
              <w:t>Total</w:t>
            </w:r>
          </w:p>
          <w:p w:rsidR="00EF09BB" w:rsidRPr="00C239E1" w:rsidRDefault="00EF09BB" w:rsidP="00FC4A2F">
            <w:pPr>
              <w:jc w:val="center"/>
              <w:rPr>
                <w:sz w:val="16"/>
                <w:szCs w:val="16"/>
              </w:rPr>
            </w:pPr>
            <w:r w:rsidRPr="00C239E1">
              <w:rPr>
                <w:sz w:val="16"/>
                <w:szCs w:val="16"/>
              </w:rPr>
              <w:t>Change</w:t>
            </w:r>
          </w:p>
          <w:p w:rsidR="00EF09BB" w:rsidRPr="00C239E1" w:rsidRDefault="00EF09BB" w:rsidP="00FC4A2F">
            <w:pPr>
              <w:jc w:val="center"/>
              <w:rPr>
                <w:sz w:val="16"/>
                <w:szCs w:val="16"/>
              </w:rPr>
            </w:pPr>
            <w:r w:rsidRPr="00C239E1">
              <w:rPr>
                <w:sz w:val="16"/>
                <w:szCs w:val="16"/>
              </w:rPr>
              <w:t>(2)</w:t>
            </w:r>
          </w:p>
        </w:tc>
        <w:tc>
          <w:tcPr>
            <w:tcW w:w="801" w:type="dxa"/>
            <w:shd w:val="clear" w:color="auto" w:fill="auto"/>
            <w:noWrap/>
            <w:vAlign w:val="center"/>
          </w:tcPr>
          <w:p w:rsidR="00EF09BB" w:rsidRPr="00C239E1" w:rsidRDefault="00EF09BB" w:rsidP="00FC4A2F">
            <w:pPr>
              <w:jc w:val="center"/>
              <w:rPr>
                <w:sz w:val="16"/>
                <w:szCs w:val="16"/>
              </w:rPr>
            </w:pPr>
            <w:r w:rsidRPr="00C239E1">
              <w:rPr>
                <w:sz w:val="16"/>
                <w:szCs w:val="16"/>
              </w:rPr>
              <w:t>Total</w:t>
            </w:r>
          </w:p>
          <w:p w:rsidR="00EF09BB" w:rsidRPr="00C239E1" w:rsidRDefault="00EF09BB" w:rsidP="00FC4A2F">
            <w:pPr>
              <w:jc w:val="center"/>
              <w:rPr>
                <w:sz w:val="16"/>
                <w:szCs w:val="16"/>
              </w:rPr>
            </w:pPr>
            <w:r w:rsidRPr="00C239E1">
              <w:rPr>
                <w:sz w:val="16"/>
                <w:szCs w:val="16"/>
              </w:rPr>
              <w:t>Change</w:t>
            </w:r>
          </w:p>
          <w:p w:rsidR="00EF09BB" w:rsidRPr="00C239E1" w:rsidRDefault="00EF09BB" w:rsidP="00FC4A2F">
            <w:pPr>
              <w:jc w:val="center"/>
              <w:rPr>
                <w:sz w:val="16"/>
                <w:szCs w:val="16"/>
              </w:rPr>
            </w:pPr>
            <w:r w:rsidRPr="00C239E1">
              <w:rPr>
                <w:sz w:val="16"/>
                <w:szCs w:val="16"/>
              </w:rPr>
              <w:t>(3)</w:t>
            </w:r>
          </w:p>
        </w:tc>
        <w:tc>
          <w:tcPr>
            <w:tcW w:w="870" w:type="dxa"/>
            <w:shd w:val="clear" w:color="auto" w:fill="auto"/>
            <w:noWrap/>
            <w:vAlign w:val="center"/>
          </w:tcPr>
          <w:p w:rsidR="00EF09BB" w:rsidRPr="00C239E1" w:rsidRDefault="00EF09BB" w:rsidP="00FC4A2F">
            <w:pPr>
              <w:jc w:val="center"/>
              <w:rPr>
                <w:sz w:val="16"/>
                <w:szCs w:val="16"/>
              </w:rPr>
            </w:pPr>
            <w:r w:rsidRPr="00C239E1">
              <w:rPr>
                <w:sz w:val="16"/>
                <w:szCs w:val="16"/>
              </w:rPr>
              <w:t>Share</w:t>
            </w:r>
          </w:p>
          <w:p w:rsidR="00EF09BB" w:rsidRPr="00C239E1" w:rsidRDefault="00EF09BB" w:rsidP="00FC4A2F">
            <w:pPr>
              <w:jc w:val="center"/>
              <w:rPr>
                <w:sz w:val="16"/>
                <w:szCs w:val="16"/>
              </w:rPr>
            </w:pPr>
            <w:r w:rsidRPr="00C239E1">
              <w:rPr>
                <w:sz w:val="16"/>
                <w:szCs w:val="16"/>
              </w:rPr>
              <w:t>Total</w:t>
            </w:r>
          </w:p>
          <w:p w:rsidR="00EF09BB" w:rsidRPr="00C239E1" w:rsidRDefault="00EF09BB" w:rsidP="00FC4A2F">
            <w:pPr>
              <w:jc w:val="center"/>
              <w:rPr>
                <w:sz w:val="16"/>
                <w:szCs w:val="16"/>
              </w:rPr>
            </w:pPr>
            <w:r w:rsidRPr="00C239E1">
              <w:rPr>
                <w:sz w:val="16"/>
                <w:szCs w:val="16"/>
              </w:rPr>
              <w:t>(4)</w:t>
            </w:r>
          </w:p>
        </w:tc>
      </w:tr>
      <w:tr w:rsidR="00EF09BB" w:rsidRPr="00C239E1" w:rsidTr="00FC4A2F">
        <w:trPr>
          <w:trHeight w:val="255"/>
          <w:jc w:val="right"/>
        </w:trPr>
        <w:tc>
          <w:tcPr>
            <w:tcW w:w="5676" w:type="dxa"/>
            <w:shd w:val="clear" w:color="auto" w:fill="auto"/>
            <w:noWrap/>
            <w:vAlign w:val="center"/>
          </w:tcPr>
          <w:p w:rsidR="00EF09BB" w:rsidRPr="00C239E1" w:rsidRDefault="00EF09BB" w:rsidP="00FC4A2F">
            <w:pPr>
              <w:rPr>
                <w:sz w:val="16"/>
                <w:szCs w:val="16"/>
              </w:rPr>
            </w:pPr>
            <w:r w:rsidRPr="00C239E1">
              <w:rPr>
                <w:sz w:val="16"/>
                <w:szCs w:val="16"/>
              </w:rPr>
              <w:t>Transport Equipment</w:t>
            </w:r>
          </w:p>
        </w:tc>
        <w:tc>
          <w:tcPr>
            <w:tcW w:w="936" w:type="dxa"/>
            <w:shd w:val="clear" w:color="auto" w:fill="auto"/>
            <w:noWrap/>
            <w:vAlign w:val="center"/>
          </w:tcPr>
          <w:p w:rsidR="00EF09BB" w:rsidRPr="00C239E1" w:rsidRDefault="00EF09BB" w:rsidP="00FC4A2F">
            <w:pPr>
              <w:jc w:val="right"/>
              <w:rPr>
                <w:sz w:val="16"/>
                <w:szCs w:val="16"/>
              </w:rPr>
            </w:pPr>
            <w:r w:rsidRPr="00C239E1">
              <w:rPr>
                <w:sz w:val="16"/>
                <w:szCs w:val="16"/>
              </w:rPr>
              <w:t>919,281</w:t>
            </w:r>
          </w:p>
        </w:tc>
        <w:tc>
          <w:tcPr>
            <w:tcW w:w="870" w:type="dxa"/>
            <w:shd w:val="clear" w:color="auto" w:fill="auto"/>
            <w:noWrap/>
            <w:vAlign w:val="center"/>
          </w:tcPr>
          <w:p w:rsidR="00EF09BB" w:rsidRPr="00C239E1" w:rsidRDefault="00EF09BB" w:rsidP="00FC4A2F">
            <w:pPr>
              <w:jc w:val="right"/>
              <w:rPr>
                <w:sz w:val="16"/>
                <w:szCs w:val="16"/>
              </w:rPr>
            </w:pPr>
            <w:r w:rsidRPr="00C239E1">
              <w:rPr>
                <w:sz w:val="16"/>
                <w:szCs w:val="16"/>
              </w:rPr>
              <w:t>-50,918</w:t>
            </w:r>
          </w:p>
        </w:tc>
        <w:tc>
          <w:tcPr>
            <w:tcW w:w="801" w:type="dxa"/>
            <w:shd w:val="clear" w:color="auto" w:fill="auto"/>
            <w:noWrap/>
            <w:vAlign w:val="center"/>
          </w:tcPr>
          <w:p w:rsidR="00EF09BB" w:rsidRPr="00C239E1" w:rsidRDefault="00EF09BB" w:rsidP="00FC4A2F">
            <w:pPr>
              <w:jc w:val="right"/>
              <w:rPr>
                <w:sz w:val="16"/>
                <w:szCs w:val="16"/>
              </w:rPr>
            </w:pPr>
            <w:r w:rsidRPr="00C239E1">
              <w:rPr>
                <w:sz w:val="16"/>
                <w:szCs w:val="16"/>
              </w:rPr>
              <w:t>-5.54%</w:t>
            </w:r>
          </w:p>
        </w:tc>
        <w:tc>
          <w:tcPr>
            <w:tcW w:w="870" w:type="dxa"/>
            <w:shd w:val="clear" w:color="auto" w:fill="auto"/>
            <w:noWrap/>
            <w:vAlign w:val="center"/>
          </w:tcPr>
          <w:p w:rsidR="00EF09BB" w:rsidRPr="00C239E1" w:rsidRDefault="00EF09BB" w:rsidP="00FC4A2F">
            <w:pPr>
              <w:jc w:val="right"/>
              <w:rPr>
                <w:sz w:val="16"/>
                <w:szCs w:val="16"/>
              </w:rPr>
            </w:pPr>
            <w:r w:rsidRPr="00C239E1">
              <w:rPr>
                <w:sz w:val="16"/>
                <w:szCs w:val="16"/>
              </w:rPr>
              <w:t>36.61%</w:t>
            </w:r>
          </w:p>
        </w:tc>
      </w:tr>
      <w:tr w:rsidR="00EF09BB" w:rsidRPr="00C239E1" w:rsidTr="00FC4A2F">
        <w:trPr>
          <w:trHeight w:val="255"/>
          <w:jc w:val="right"/>
        </w:trPr>
        <w:tc>
          <w:tcPr>
            <w:tcW w:w="5676" w:type="dxa"/>
            <w:shd w:val="clear" w:color="auto" w:fill="auto"/>
            <w:noWrap/>
            <w:vAlign w:val="center"/>
          </w:tcPr>
          <w:p w:rsidR="00EF09BB" w:rsidRPr="00C239E1" w:rsidRDefault="00EF09BB" w:rsidP="00FC4A2F">
            <w:pPr>
              <w:rPr>
                <w:sz w:val="16"/>
                <w:szCs w:val="16"/>
              </w:rPr>
            </w:pPr>
            <w:r w:rsidRPr="00C239E1">
              <w:rPr>
                <w:sz w:val="16"/>
                <w:szCs w:val="16"/>
              </w:rPr>
              <w:t>Renting of M&amp;Eq and Other Business Activities</w:t>
            </w:r>
          </w:p>
        </w:tc>
        <w:tc>
          <w:tcPr>
            <w:tcW w:w="936" w:type="dxa"/>
            <w:shd w:val="clear" w:color="auto" w:fill="auto"/>
            <w:noWrap/>
            <w:vAlign w:val="center"/>
          </w:tcPr>
          <w:p w:rsidR="00EF09BB" w:rsidRPr="00C239E1" w:rsidRDefault="00EF09BB" w:rsidP="00FC4A2F">
            <w:pPr>
              <w:jc w:val="right"/>
              <w:rPr>
                <w:sz w:val="16"/>
                <w:szCs w:val="16"/>
              </w:rPr>
            </w:pPr>
            <w:r w:rsidRPr="00C239E1">
              <w:rPr>
                <w:sz w:val="16"/>
                <w:szCs w:val="16"/>
              </w:rPr>
              <w:t>5,536,094</w:t>
            </w:r>
          </w:p>
        </w:tc>
        <w:tc>
          <w:tcPr>
            <w:tcW w:w="870" w:type="dxa"/>
            <w:shd w:val="clear" w:color="auto" w:fill="auto"/>
            <w:noWrap/>
            <w:vAlign w:val="center"/>
          </w:tcPr>
          <w:p w:rsidR="00EF09BB" w:rsidRPr="00C239E1" w:rsidRDefault="00EF09BB" w:rsidP="00FC4A2F">
            <w:pPr>
              <w:jc w:val="right"/>
              <w:rPr>
                <w:sz w:val="16"/>
                <w:szCs w:val="16"/>
              </w:rPr>
            </w:pPr>
            <w:r w:rsidRPr="00C239E1">
              <w:rPr>
                <w:sz w:val="16"/>
                <w:szCs w:val="16"/>
              </w:rPr>
              <w:t>-14,010</w:t>
            </w:r>
          </w:p>
        </w:tc>
        <w:tc>
          <w:tcPr>
            <w:tcW w:w="801" w:type="dxa"/>
            <w:shd w:val="clear" w:color="auto" w:fill="auto"/>
            <w:noWrap/>
            <w:vAlign w:val="center"/>
          </w:tcPr>
          <w:p w:rsidR="00EF09BB" w:rsidRPr="00C239E1" w:rsidRDefault="00EF09BB" w:rsidP="00FC4A2F">
            <w:pPr>
              <w:jc w:val="right"/>
              <w:rPr>
                <w:sz w:val="16"/>
                <w:szCs w:val="16"/>
              </w:rPr>
            </w:pPr>
            <w:r w:rsidRPr="00C239E1">
              <w:rPr>
                <w:sz w:val="16"/>
                <w:szCs w:val="16"/>
              </w:rPr>
              <w:t>-0.25%</w:t>
            </w:r>
          </w:p>
        </w:tc>
        <w:tc>
          <w:tcPr>
            <w:tcW w:w="870" w:type="dxa"/>
            <w:shd w:val="clear" w:color="auto" w:fill="auto"/>
            <w:noWrap/>
            <w:vAlign w:val="center"/>
          </w:tcPr>
          <w:p w:rsidR="00EF09BB" w:rsidRPr="00C239E1" w:rsidRDefault="00EF09BB" w:rsidP="00FC4A2F">
            <w:pPr>
              <w:jc w:val="right"/>
              <w:rPr>
                <w:sz w:val="16"/>
                <w:szCs w:val="16"/>
              </w:rPr>
            </w:pPr>
            <w:r w:rsidRPr="00C239E1">
              <w:rPr>
                <w:sz w:val="16"/>
                <w:szCs w:val="16"/>
              </w:rPr>
              <w:t>10.07%</w:t>
            </w:r>
          </w:p>
        </w:tc>
      </w:tr>
      <w:tr w:rsidR="00EF09BB" w:rsidRPr="00C239E1" w:rsidTr="00FC4A2F">
        <w:trPr>
          <w:trHeight w:val="255"/>
          <w:jc w:val="right"/>
        </w:trPr>
        <w:tc>
          <w:tcPr>
            <w:tcW w:w="5676" w:type="dxa"/>
            <w:shd w:val="clear" w:color="auto" w:fill="auto"/>
            <w:noWrap/>
            <w:vAlign w:val="center"/>
          </w:tcPr>
          <w:p w:rsidR="00EF09BB" w:rsidRPr="00C239E1" w:rsidRDefault="00EF09BB" w:rsidP="00FC4A2F">
            <w:pPr>
              <w:rPr>
                <w:sz w:val="16"/>
                <w:szCs w:val="16"/>
              </w:rPr>
            </w:pPr>
            <w:r w:rsidRPr="00C239E1">
              <w:rPr>
                <w:sz w:val="16"/>
                <w:szCs w:val="16"/>
              </w:rPr>
              <w:t>Basic Metals and Fabricated Metal</w:t>
            </w:r>
          </w:p>
        </w:tc>
        <w:tc>
          <w:tcPr>
            <w:tcW w:w="936" w:type="dxa"/>
            <w:shd w:val="clear" w:color="auto" w:fill="auto"/>
            <w:noWrap/>
            <w:vAlign w:val="center"/>
          </w:tcPr>
          <w:p w:rsidR="00EF09BB" w:rsidRPr="00C239E1" w:rsidRDefault="00EF09BB" w:rsidP="00FC4A2F">
            <w:pPr>
              <w:jc w:val="right"/>
              <w:rPr>
                <w:sz w:val="16"/>
                <w:szCs w:val="16"/>
              </w:rPr>
            </w:pPr>
            <w:r w:rsidRPr="00C239E1">
              <w:rPr>
                <w:sz w:val="16"/>
                <w:szCs w:val="16"/>
              </w:rPr>
              <w:t>1,397,059</w:t>
            </w:r>
          </w:p>
        </w:tc>
        <w:tc>
          <w:tcPr>
            <w:tcW w:w="870" w:type="dxa"/>
            <w:shd w:val="clear" w:color="auto" w:fill="auto"/>
            <w:noWrap/>
            <w:vAlign w:val="center"/>
          </w:tcPr>
          <w:p w:rsidR="00EF09BB" w:rsidRPr="00C239E1" w:rsidRDefault="00EF09BB" w:rsidP="00FC4A2F">
            <w:pPr>
              <w:jc w:val="right"/>
              <w:rPr>
                <w:sz w:val="16"/>
                <w:szCs w:val="16"/>
              </w:rPr>
            </w:pPr>
            <w:r w:rsidRPr="00C239E1">
              <w:rPr>
                <w:sz w:val="16"/>
                <w:szCs w:val="16"/>
              </w:rPr>
              <w:t>-11,437</w:t>
            </w:r>
          </w:p>
        </w:tc>
        <w:tc>
          <w:tcPr>
            <w:tcW w:w="801" w:type="dxa"/>
            <w:shd w:val="clear" w:color="auto" w:fill="auto"/>
            <w:noWrap/>
            <w:vAlign w:val="center"/>
          </w:tcPr>
          <w:p w:rsidR="00EF09BB" w:rsidRPr="00C239E1" w:rsidRDefault="00EF09BB" w:rsidP="00FC4A2F">
            <w:pPr>
              <w:jc w:val="right"/>
              <w:rPr>
                <w:sz w:val="16"/>
                <w:szCs w:val="16"/>
              </w:rPr>
            </w:pPr>
            <w:r w:rsidRPr="00C239E1">
              <w:rPr>
                <w:sz w:val="16"/>
                <w:szCs w:val="16"/>
              </w:rPr>
              <w:t>-0.82%</w:t>
            </w:r>
          </w:p>
        </w:tc>
        <w:tc>
          <w:tcPr>
            <w:tcW w:w="870" w:type="dxa"/>
            <w:shd w:val="clear" w:color="auto" w:fill="auto"/>
            <w:noWrap/>
            <w:vAlign w:val="center"/>
          </w:tcPr>
          <w:p w:rsidR="00EF09BB" w:rsidRPr="00C239E1" w:rsidRDefault="00EF09BB" w:rsidP="00FC4A2F">
            <w:pPr>
              <w:jc w:val="right"/>
              <w:rPr>
                <w:sz w:val="16"/>
                <w:szCs w:val="16"/>
              </w:rPr>
            </w:pPr>
            <w:r w:rsidRPr="00C239E1">
              <w:rPr>
                <w:sz w:val="16"/>
                <w:szCs w:val="16"/>
              </w:rPr>
              <w:t>8.22%</w:t>
            </w:r>
          </w:p>
        </w:tc>
      </w:tr>
      <w:tr w:rsidR="00EF09BB" w:rsidRPr="00C239E1" w:rsidTr="00FC4A2F">
        <w:trPr>
          <w:trHeight w:val="255"/>
          <w:jc w:val="right"/>
        </w:trPr>
        <w:tc>
          <w:tcPr>
            <w:tcW w:w="5676" w:type="dxa"/>
            <w:shd w:val="clear" w:color="auto" w:fill="auto"/>
            <w:noWrap/>
            <w:vAlign w:val="center"/>
          </w:tcPr>
          <w:p w:rsidR="00EF09BB" w:rsidRPr="00C239E1" w:rsidRDefault="00EF09BB" w:rsidP="00FC4A2F">
            <w:pPr>
              <w:rPr>
                <w:sz w:val="16"/>
                <w:szCs w:val="16"/>
              </w:rPr>
            </w:pPr>
            <w:r w:rsidRPr="00C239E1">
              <w:rPr>
                <w:sz w:val="16"/>
                <w:szCs w:val="16"/>
              </w:rPr>
              <w:t>Wholesale Trade and Commission Trade, Except of Motor Vehicles and Motorcycles</w:t>
            </w:r>
          </w:p>
        </w:tc>
        <w:tc>
          <w:tcPr>
            <w:tcW w:w="936" w:type="dxa"/>
            <w:shd w:val="clear" w:color="auto" w:fill="auto"/>
            <w:noWrap/>
            <w:vAlign w:val="center"/>
          </w:tcPr>
          <w:p w:rsidR="00EF09BB" w:rsidRPr="00C239E1" w:rsidRDefault="00EF09BB" w:rsidP="00FC4A2F">
            <w:pPr>
              <w:jc w:val="right"/>
              <w:rPr>
                <w:sz w:val="16"/>
                <w:szCs w:val="16"/>
              </w:rPr>
            </w:pPr>
            <w:r w:rsidRPr="00C239E1">
              <w:rPr>
                <w:sz w:val="16"/>
                <w:szCs w:val="16"/>
              </w:rPr>
              <w:t>3,721,066</w:t>
            </w:r>
          </w:p>
        </w:tc>
        <w:tc>
          <w:tcPr>
            <w:tcW w:w="870" w:type="dxa"/>
            <w:shd w:val="clear" w:color="auto" w:fill="auto"/>
            <w:noWrap/>
            <w:vAlign w:val="center"/>
          </w:tcPr>
          <w:p w:rsidR="00EF09BB" w:rsidRPr="00C239E1" w:rsidRDefault="00EF09BB" w:rsidP="00FC4A2F">
            <w:pPr>
              <w:jc w:val="right"/>
              <w:rPr>
                <w:sz w:val="16"/>
                <w:szCs w:val="16"/>
              </w:rPr>
            </w:pPr>
            <w:r w:rsidRPr="00C239E1">
              <w:rPr>
                <w:sz w:val="16"/>
                <w:szCs w:val="16"/>
              </w:rPr>
              <w:t>-9,843</w:t>
            </w:r>
          </w:p>
        </w:tc>
        <w:tc>
          <w:tcPr>
            <w:tcW w:w="801" w:type="dxa"/>
            <w:shd w:val="clear" w:color="auto" w:fill="auto"/>
            <w:noWrap/>
            <w:vAlign w:val="center"/>
          </w:tcPr>
          <w:p w:rsidR="00EF09BB" w:rsidRPr="00C239E1" w:rsidRDefault="00EF09BB" w:rsidP="00FC4A2F">
            <w:pPr>
              <w:jc w:val="right"/>
              <w:rPr>
                <w:sz w:val="16"/>
                <w:szCs w:val="16"/>
              </w:rPr>
            </w:pPr>
            <w:r w:rsidRPr="00C239E1">
              <w:rPr>
                <w:sz w:val="16"/>
                <w:szCs w:val="16"/>
              </w:rPr>
              <w:t>-0.26%</w:t>
            </w:r>
          </w:p>
        </w:tc>
        <w:tc>
          <w:tcPr>
            <w:tcW w:w="870" w:type="dxa"/>
            <w:shd w:val="clear" w:color="auto" w:fill="auto"/>
            <w:noWrap/>
            <w:vAlign w:val="center"/>
          </w:tcPr>
          <w:p w:rsidR="00EF09BB" w:rsidRPr="00C239E1" w:rsidRDefault="00EF09BB" w:rsidP="00FC4A2F">
            <w:pPr>
              <w:jc w:val="right"/>
              <w:rPr>
                <w:sz w:val="16"/>
                <w:szCs w:val="16"/>
              </w:rPr>
            </w:pPr>
            <w:r w:rsidRPr="00C239E1">
              <w:rPr>
                <w:sz w:val="16"/>
                <w:szCs w:val="16"/>
              </w:rPr>
              <w:t>7.08%</w:t>
            </w:r>
          </w:p>
        </w:tc>
      </w:tr>
      <w:tr w:rsidR="00EF09BB" w:rsidRPr="00C239E1" w:rsidTr="00FC4A2F">
        <w:trPr>
          <w:trHeight w:val="255"/>
          <w:jc w:val="right"/>
        </w:trPr>
        <w:tc>
          <w:tcPr>
            <w:tcW w:w="5676" w:type="dxa"/>
            <w:shd w:val="clear" w:color="auto" w:fill="auto"/>
            <w:noWrap/>
            <w:vAlign w:val="center"/>
          </w:tcPr>
          <w:p w:rsidR="00EF09BB" w:rsidRPr="00C239E1" w:rsidRDefault="00EF09BB" w:rsidP="00FC4A2F">
            <w:pPr>
              <w:rPr>
                <w:sz w:val="16"/>
                <w:szCs w:val="16"/>
              </w:rPr>
            </w:pPr>
            <w:r w:rsidRPr="00C239E1">
              <w:rPr>
                <w:sz w:val="16"/>
                <w:szCs w:val="16"/>
              </w:rPr>
              <w:t>Financial Intermediation</w:t>
            </w:r>
          </w:p>
        </w:tc>
        <w:tc>
          <w:tcPr>
            <w:tcW w:w="936" w:type="dxa"/>
            <w:shd w:val="clear" w:color="auto" w:fill="auto"/>
            <w:noWrap/>
            <w:vAlign w:val="center"/>
          </w:tcPr>
          <w:p w:rsidR="00EF09BB" w:rsidRPr="00C239E1" w:rsidRDefault="00EF09BB" w:rsidP="00FC4A2F">
            <w:pPr>
              <w:jc w:val="right"/>
              <w:rPr>
                <w:sz w:val="16"/>
                <w:szCs w:val="16"/>
              </w:rPr>
            </w:pPr>
            <w:r w:rsidRPr="00C239E1">
              <w:rPr>
                <w:sz w:val="16"/>
                <w:szCs w:val="16"/>
              </w:rPr>
              <w:t>3,969,288</w:t>
            </w:r>
          </w:p>
        </w:tc>
        <w:tc>
          <w:tcPr>
            <w:tcW w:w="870" w:type="dxa"/>
            <w:shd w:val="clear" w:color="auto" w:fill="auto"/>
            <w:noWrap/>
            <w:vAlign w:val="center"/>
          </w:tcPr>
          <w:p w:rsidR="00EF09BB" w:rsidRPr="00C239E1" w:rsidRDefault="00EF09BB" w:rsidP="00FC4A2F">
            <w:pPr>
              <w:jc w:val="right"/>
              <w:rPr>
                <w:sz w:val="16"/>
                <w:szCs w:val="16"/>
              </w:rPr>
            </w:pPr>
            <w:r w:rsidRPr="00C239E1">
              <w:rPr>
                <w:sz w:val="16"/>
                <w:szCs w:val="16"/>
              </w:rPr>
              <w:t>-6,124</w:t>
            </w:r>
          </w:p>
        </w:tc>
        <w:tc>
          <w:tcPr>
            <w:tcW w:w="801" w:type="dxa"/>
            <w:shd w:val="clear" w:color="auto" w:fill="auto"/>
            <w:noWrap/>
            <w:vAlign w:val="center"/>
          </w:tcPr>
          <w:p w:rsidR="00EF09BB" w:rsidRPr="00C239E1" w:rsidRDefault="00EF09BB" w:rsidP="00FC4A2F">
            <w:pPr>
              <w:jc w:val="right"/>
              <w:rPr>
                <w:sz w:val="16"/>
                <w:szCs w:val="16"/>
              </w:rPr>
            </w:pPr>
            <w:r w:rsidRPr="00C239E1">
              <w:rPr>
                <w:sz w:val="16"/>
                <w:szCs w:val="16"/>
              </w:rPr>
              <w:t>-0.15%</w:t>
            </w:r>
          </w:p>
        </w:tc>
        <w:tc>
          <w:tcPr>
            <w:tcW w:w="870" w:type="dxa"/>
            <w:shd w:val="clear" w:color="auto" w:fill="auto"/>
            <w:noWrap/>
            <w:vAlign w:val="center"/>
          </w:tcPr>
          <w:p w:rsidR="00EF09BB" w:rsidRPr="00C239E1" w:rsidRDefault="00EF09BB" w:rsidP="00FC4A2F">
            <w:pPr>
              <w:jc w:val="right"/>
              <w:rPr>
                <w:sz w:val="16"/>
                <w:szCs w:val="16"/>
              </w:rPr>
            </w:pPr>
            <w:r w:rsidRPr="00C239E1">
              <w:rPr>
                <w:sz w:val="16"/>
                <w:szCs w:val="16"/>
              </w:rPr>
              <w:t>4.40%</w:t>
            </w:r>
          </w:p>
        </w:tc>
      </w:tr>
      <w:tr w:rsidR="00EF09BB" w:rsidRPr="00C239E1" w:rsidTr="00FC4A2F">
        <w:trPr>
          <w:trHeight w:val="255"/>
          <w:jc w:val="right"/>
        </w:trPr>
        <w:tc>
          <w:tcPr>
            <w:tcW w:w="5676" w:type="dxa"/>
            <w:shd w:val="clear" w:color="auto" w:fill="auto"/>
            <w:noWrap/>
            <w:vAlign w:val="center"/>
          </w:tcPr>
          <w:p w:rsidR="00EF09BB" w:rsidRPr="00C239E1" w:rsidRDefault="00EF09BB" w:rsidP="00FC4A2F">
            <w:pPr>
              <w:rPr>
                <w:sz w:val="16"/>
                <w:szCs w:val="16"/>
              </w:rPr>
            </w:pPr>
            <w:r w:rsidRPr="00C239E1">
              <w:rPr>
                <w:sz w:val="16"/>
                <w:szCs w:val="16"/>
              </w:rPr>
              <w:t>Mining and Quarrying</w:t>
            </w:r>
          </w:p>
        </w:tc>
        <w:tc>
          <w:tcPr>
            <w:tcW w:w="936" w:type="dxa"/>
            <w:shd w:val="clear" w:color="auto" w:fill="auto"/>
            <w:noWrap/>
            <w:vAlign w:val="center"/>
          </w:tcPr>
          <w:p w:rsidR="00EF09BB" w:rsidRPr="00C239E1" w:rsidRDefault="00EF09BB" w:rsidP="00FC4A2F">
            <w:pPr>
              <w:jc w:val="right"/>
              <w:rPr>
                <w:sz w:val="16"/>
                <w:szCs w:val="16"/>
              </w:rPr>
            </w:pPr>
            <w:r w:rsidRPr="00C239E1">
              <w:rPr>
                <w:sz w:val="16"/>
                <w:szCs w:val="16"/>
              </w:rPr>
              <w:t>2,769,023</w:t>
            </w:r>
          </w:p>
        </w:tc>
        <w:tc>
          <w:tcPr>
            <w:tcW w:w="870" w:type="dxa"/>
            <w:shd w:val="clear" w:color="auto" w:fill="auto"/>
            <w:noWrap/>
            <w:vAlign w:val="center"/>
          </w:tcPr>
          <w:p w:rsidR="00EF09BB" w:rsidRPr="00C239E1" w:rsidRDefault="00EF09BB" w:rsidP="00FC4A2F">
            <w:pPr>
              <w:jc w:val="right"/>
              <w:rPr>
                <w:sz w:val="16"/>
                <w:szCs w:val="16"/>
              </w:rPr>
            </w:pPr>
            <w:r w:rsidRPr="00C239E1">
              <w:rPr>
                <w:sz w:val="16"/>
                <w:szCs w:val="16"/>
              </w:rPr>
              <w:t>-5,356</w:t>
            </w:r>
          </w:p>
        </w:tc>
        <w:tc>
          <w:tcPr>
            <w:tcW w:w="801" w:type="dxa"/>
            <w:shd w:val="clear" w:color="auto" w:fill="auto"/>
            <w:noWrap/>
            <w:vAlign w:val="center"/>
          </w:tcPr>
          <w:p w:rsidR="00EF09BB" w:rsidRPr="00C239E1" w:rsidRDefault="00EF09BB" w:rsidP="00FC4A2F">
            <w:pPr>
              <w:jc w:val="right"/>
              <w:rPr>
                <w:sz w:val="16"/>
                <w:szCs w:val="16"/>
              </w:rPr>
            </w:pPr>
            <w:r w:rsidRPr="00C239E1">
              <w:rPr>
                <w:sz w:val="16"/>
                <w:szCs w:val="16"/>
              </w:rPr>
              <w:t>-0.19%</w:t>
            </w:r>
          </w:p>
        </w:tc>
        <w:tc>
          <w:tcPr>
            <w:tcW w:w="870" w:type="dxa"/>
            <w:shd w:val="clear" w:color="auto" w:fill="auto"/>
            <w:noWrap/>
            <w:vAlign w:val="center"/>
          </w:tcPr>
          <w:p w:rsidR="00EF09BB" w:rsidRPr="00C239E1" w:rsidRDefault="00EF09BB" w:rsidP="00FC4A2F">
            <w:pPr>
              <w:jc w:val="right"/>
              <w:rPr>
                <w:sz w:val="16"/>
                <w:szCs w:val="16"/>
              </w:rPr>
            </w:pPr>
            <w:r w:rsidRPr="00C239E1">
              <w:rPr>
                <w:sz w:val="16"/>
                <w:szCs w:val="16"/>
              </w:rPr>
              <w:t>3.85%</w:t>
            </w:r>
          </w:p>
        </w:tc>
      </w:tr>
      <w:tr w:rsidR="00EF09BB" w:rsidRPr="00C239E1" w:rsidTr="00FC4A2F">
        <w:trPr>
          <w:trHeight w:val="255"/>
          <w:jc w:val="right"/>
        </w:trPr>
        <w:tc>
          <w:tcPr>
            <w:tcW w:w="5676" w:type="dxa"/>
            <w:shd w:val="clear" w:color="auto" w:fill="auto"/>
            <w:noWrap/>
            <w:vAlign w:val="center"/>
          </w:tcPr>
          <w:p w:rsidR="00EF09BB" w:rsidRPr="00C239E1" w:rsidRDefault="00EF09BB" w:rsidP="00FC4A2F">
            <w:pPr>
              <w:rPr>
                <w:sz w:val="16"/>
                <w:szCs w:val="16"/>
              </w:rPr>
            </w:pPr>
            <w:r w:rsidRPr="00C239E1">
              <w:rPr>
                <w:sz w:val="16"/>
                <w:szCs w:val="16"/>
              </w:rPr>
              <w:t>Electrical and Optical Equipment</w:t>
            </w:r>
          </w:p>
        </w:tc>
        <w:tc>
          <w:tcPr>
            <w:tcW w:w="936" w:type="dxa"/>
            <w:shd w:val="clear" w:color="auto" w:fill="auto"/>
            <w:noWrap/>
            <w:vAlign w:val="center"/>
          </w:tcPr>
          <w:p w:rsidR="00EF09BB" w:rsidRPr="00C239E1" w:rsidRDefault="00EF09BB" w:rsidP="00FC4A2F">
            <w:pPr>
              <w:jc w:val="right"/>
              <w:rPr>
                <w:sz w:val="16"/>
                <w:szCs w:val="16"/>
              </w:rPr>
            </w:pPr>
            <w:r w:rsidRPr="00C239E1">
              <w:rPr>
                <w:sz w:val="16"/>
                <w:szCs w:val="16"/>
              </w:rPr>
              <w:t>1,342,103</w:t>
            </w:r>
          </w:p>
        </w:tc>
        <w:tc>
          <w:tcPr>
            <w:tcW w:w="870" w:type="dxa"/>
            <w:shd w:val="clear" w:color="auto" w:fill="auto"/>
            <w:noWrap/>
            <w:vAlign w:val="center"/>
          </w:tcPr>
          <w:p w:rsidR="00EF09BB" w:rsidRPr="00C239E1" w:rsidRDefault="00EF09BB" w:rsidP="00FC4A2F">
            <w:pPr>
              <w:jc w:val="right"/>
              <w:rPr>
                <w:sz w:val="16"/>
                <w:szCs w:val="16"/>
              </w:rPr>
            </w:pPr>
            <w:r w:rsidRPr="00C239E1">
              <w:rPr>
                <w:sz w:val="16"/>
                <w:szCs w:val="16"/>
              </w:rPr>
              <w:t>-5,277</w:t>
            </w:r>
          </w:p>
        </w:tc>
        <w:tc>
          <w:tcPr>
            <w:tcW w:w="801" w:type="dxa"/>
            <w:shd w:val="clear" w:color="auto" w:fill="auto"/>
            <w:noWrap/>
            <w:vAlign w:val="center"/>
          </w:tcPr>
          <w:p w:rsidR="00EF09BB" w:rsidRPr="00C239E1" w:rsidRDefault="00EF09BB" w:rsidP="00FC4A2F">
            <w:pPr>
              <w:jc w:val="right"/>
              <w:rPr>
                <w:sz w:val="16"/>
                <w:szCs w:val="16"/>
              </w:rPr>
            </w:pPr>
            <w:r w:rsidRPr="00C239E1">
              <w:rPr>
                <w:sz w:val="16"/>
                <w:szCs w:val="16"/>
              </w:rPr>
              <w:t>-0.39%</w:t>
            </w:r>
          </w:p>
        </w:tc>
        <w:tc>
          <w:tcPr>
            <w:tcW w:w="870" w:type="dxa"/>
            <w:shd w:val="clear" w:color="auto" w:fill="auto"/>
            <w:noWrap/>
            <w:vAlign w:val="center"/>
          </w:tcPr>
          <w:p w:rsidR="00EF09BB" w:rsidRPr="00C239E1" w:rsidRDefault="00EF09BB" w:rsidP="00FC4A2F">
            <w:pPr>
              <w:jc w:val="right"/>
              <w:rPr>
                <w:sz w:val="16"/>
                <w:szCs w:val="16"/>
              </w:rPr>
            </w:pPr>
            <w:r w:rsidRPr="00C239E1">
              <w:rPr>
                <w:sz w:val="16"/>
                <w:szCs w:val="16"/>
              </w:rPr>
              <w:t>3.79%</w:t>
            </w:r>
          </w:p>
        </w:tc>
      </w:tr>
      <w:tr w:rsidR="00EF09BB" w:rsidRPr="00C239E1" w:rsidTr="00FC4A2F">
        <w:trPr>
          <w:trHeight w:val="255"/>
          <w:jc w:val="right"/>
        </w:trPr>
        <w:tc>
          <w:tcPr>
            <w:tcW w:w="5676" w:type="dxa"/>
            <w:shd w:val="clear" w:color="auto" w:fill="auto"/>
            <w:noWrap/>
            <w:vAlign w:val="center"/>
          </w:tcPr>
          <w:p w:rsidR="00EF09BB" w:rsidRPr="00C239E1" w:rsidRDefault="00EF09BB" w:rsidP="00FC4A2F">
            <w:pPr>
              <w:rPr>
                <w:sz w:val="16"/>
                <w:szCs w:val="16"/>
              </w:rPr>
            </w:pPr>
            <w:r w:rsidRPr="00C239E1">
              <w:rPr>
                <w:sz w:val="16"/>
                <w:szCs w:val="16"/>
              </w:rPr>
              <w:t>Rubber and Plastics</w:t>
            </w:r>
          </w:p>
        </w:tc>
        <w:tc>
          <w:tcPr>
            <w:tcW w:w="936" w:type="dxa"/>
            <w:shd w:val="clear" w:color="auto" w:fill="auto"/>
            <w:noWrap/>
            <w:vAlign w:val="center"/>
          </w:tcPr>
          <w:p w:rsidR="00EF09BB" w:rsidRPr="00C239E1" w:rsidRDefault="00EF09BB" w:rsidP="00FC4A2F">
            <w:pPr>
              <w:jc w:val="right"/>
              <w:rPr>
                <w:sz w:val="16"/>
                <w:szCs w:val="16"/>
              </w:rPr>
            </w:pPr>
            <w:r w:rsidRPr="00C239E1">
              <w:rPr>
                <w:sz w:val="16"/>
                <w:szCs w:val="16"/>
              </w:rPr>
              <w:t>405,816</w:t>
            </w:r>
          </w:p>
        </w:tc>
        <w:tc>
          <w:tcPr>
            <w:tcW w:w="870" w:type="dxa"/>
            <w:shd w:val="clear" w:color="auto" w:fill="auto"/>
            <w:noWrap/>
            <w:vAlign w:val="center"/>
          </w:tcPr>
          <w:p w:rsidR="00EF09BB" w:rsidRPr="00C239E1" w:rsidRDefault="00EF09BB" w:rsidP="00FC4A2F">
            <w:pPr>
              <w:jc w:val="right"/>
              <w:rPr>
                <w:sz w:val="16"/>
                <w:szCs w:val="16"/>
              </w:rPr>
            </w:pPr>
            <w:r w:rsidRPr="00C239E1">
              <w:rPr>
                <w:sz w:val="16"/>
                <w:szCs w:val="16"/>
              </w:rPr>
              <w:t>-3,056</w:t>
            </w:r>
          </w:p>
        </w:tc>
        <w:tc>
          <w:tcPr>
            <w:tcW w:w="801" w:type="dxa"/>
            <w:shd w:val="clear" w:color="auto" w:fill="auto"/>
            <w:noWrap/>
            <w:vAlign w:val="center"/>
          </w:tcPr>
          <w:p w:rsidR="00EF09BB" w:rsidRPr="00C239E1" w:rsidRDefault="00EF09BB" w:rsidP="00FC4A2F">
            <w:pPr>
              <w:jc w:val="right"/>
              <w:rPr>
                <w:sz w:val="16"/>
                <w:szCs w:val="16"/>
              </w:rPr>
            </w:pPr>
            <w:r w:rsidRPr="00C239E1">
              <w:rPr>
                <w:sz w:val="16"/>
                <w:szCs w:val="16"/>
              </w:rPr>
              <w:t>-0.75%</w:t>
            </w:r>
          </w:p>
        </w:tc>
        <w:tc>
          <w:tcPr>
            <w:tcW w:w="870" w:type="dxa"/>
            <w:shd w:val="clear" w:color="auto" w:fill="auto"/>
            <w:noWrap/>
            <w:vAlign w:val="center"/>
          </w:tcPr>
          <w:p w:rsidR="00EF09BB" w:rsidRPr="00C239E1" w:rsidRDefault="00EF09BB" w:rsidP="00FC4A2F">
            <w:pPr>
              <w:jc w:val="right"/>
              <w:rPr>
                <w:sz w:val="16"/>
                <w:szCs w:val="16"/>
              </w:rPr>
            </w:pPr>
            <w:r w:rsidRPr="00C239E1">
              <w:rPr>
                <w:sz w:val="16"/>
                <w:szCs w:val="16"/>
              </w:rPr>
              <w:t>2.20%</w:t>
            </w:r>
          </w:p>
        </w:tc>
      </w:tr>
      <w:tr w:rsidR="00EF09BB" w:rsidRPr="00C239E1" w:rsidTr="00FC4A2F">
        <w:trPr>
          <w:trHeight w:val="255"/>
          <w:jc w:val="right"/>
        </w:trPr>
        <w:tc>
          <w:tcPr>
            <w:tcW w:w="5676" w:type="dxa"/>
            <w:shd w:val="clear" w:color="auto" w:fill="auto"/>
            <w:noWrap/>
            <w:vAlign w:val="center"/>
          </w:tcPr>
          <w:p w:rsidR="00EF09BB" w:rsidRPr="00C239E1" w:rsidRDefault="00EF09BB" w:rsidP="00FC4A2F">
            <w:pPr>
              <w:rPr>
                <w:sz w:val="16"/>
                <w:szCs w:val="16"/>
              </w:rPr>
            </w:pPr>
            <w:r w:rsidRPr="00C239E1">
              <w:rPr>
                <w:sz w:val="16"/>
                <w:szCs w:val="16"/>
              </w:rPr>
              <w:t>Inland Transport</w:t>
            </w:r>
          </w:p>
        </w:tc>
        <w:tc>
          <w:tcPr>
            <w:tcW w:w="936" w:type="dxa"/>
            <w:shd w:val="clear" w:color="auto" w:fill="auto"/>
            <w:noWrap/>
            <w:vAlign w:val="center"/>
          </w:tcPr>
          <w:p w:rsidR="00EF09BB" w:rsidRPr="00C239E1" w:rsidRDefault="00EF09BB" w:rsidP="00FC4A2F">
            <w:pPr>
              <w:jc w:val="right"/>
              <w:rPr>
                <w:sz w:val="16"/>
                <w:szCs w:val="16"/>
              </w:rPr>
            </w:pPr>
            <w:r w:rsidRPr="00C239E1">
              <w:rPr>
                <w:sz w:val="16"/>
                <w:szCs w:val="16"/>
              </w:rPr>
              <w:t>1,583,107</w:t>
            </w:r>
          </w:p>
        </w:tc>
        <w:tc>
          <w:tcPr>
            <w:tcW w:w="870" w:type="dxa"/>
            <w:shd w:val="clear" w:color="auto" w:fill="auto"/>
            <w:noWrap/>
            <w:vAlign w:val="center"/>
          </w:tcPr>
          <w:p w:rsidR="00EF09BB" w:rsidRPr="00C239E1" w:rsidRDefault="00EF09BB" w:rsidP="00FC4A2F">
            <w:pPr>
              <w:jc w:val="right"/>
              <w:rPr>
                <w:sz w:val="16"/>
                <w:szCs w:val="16"/>
              </w:rPr>
            </w:pPr>
            <w:r w:rsidRPr="00C239E1">
              <w:rPr>
                <w:sz w:val="16"/>
                <w:szCs w:val="16"/>
              </w:rPr>
              <w:t>-3,005</w:t>
            </w:r>
          </w:p>
        </w:tc>
        <w:tc>
          <w:tcPr>
            <w:tcW w:w="801" w:type="dxa"/>
            <w:shd w:val="clear" w:color="auto" w:fill="auto"/>
            <w:noWrap/>
            <w:vAlign w:val="center"/>
          </w:tcPr>
          <w:p w:rsidR="00EF09BB" w:rsidRPr="00C239E1" w:rsidRDefault="00EF09BB" w:rsidP="00FC4A2F">
            <w:pPr>
              <w:jc w:val="right"/>
              <w:rPr>
                <w:sz w:val="16"/>
                <w:szCs w:val="16"/>
              </w:rPr>
            </w:pPr>
            <w:r w:rsidRPr="00C239E1">
              <w:rPr>
                <w:sz w:val="16"/>
                <w:szCs w:val="16"/>
              </w:rPr>
              <w:t>-0.19%</w:t>
            </w:r>
          </w:p>
        </w:tc>
        <w:tc>
          <w:tcPr>
            <w:tcW w:w="870" w:type="dxa"/>
            <w:shd w:val="clear" w:color="auto" w:fill="auto"/>
            <w:noWrap/>
            <w:vAlign w:val="center"/>
          </w:tcPr>
          <w:p w:rsidR="00EF09BB" w:rsidRPr="00C239E1" w:rsidRDefault="00EF09BB" w:rsidP="00FC4A2F">
            <w:pPr>
              <w:jc w:val="right"/>
              <w:rPr>
                <w:sz w:val="16"/>
                <w:szCs w:val="16"/>
              </w:rPr>
            </w:pPr>
            <w:r w:rsidRPr="00C239E1">
              <w:rPr>
                <w:sz w:val="16"/>
                <w:szCs w:val="16"/>
              </w:rPr>
              <w:t>2.16%</w:t>
            </w:r>
          </w:p>
        </w:tc>
      </w:tr>
      <w:tr w:rsidR="00EF09BB" w:rsidRPr="00C239E1" w:rsidTr="00FC4A2F">
        <w:trPr>
          <w:trHeight w:val="255"/>
          <w:jc w:val="right"/>
        </w:trPr>
        <w:tc>
          <w:tcPr>
            <w:tcW w:w="5676" w:type="dxa"/>
            <w:shd w:val="clear" w:color="auto" w:fill="auto"/>
            <w:noWrap/>
            <w:vAlign w:val="center"/>
          </w:tcPr>
          <w:p w:rsidR="00EF09BB" w:rsidRPr="00C239E1" w:rsidRDefault="00EF09BB" w:rsidP="00FC4A2F">
            <w:pPr>
              <w:rPr>
                <w:sz w:val="16"/>
                <w:szCs w:val="16"/>
              </w:rPr>
            </w:pPr>
            <w:r w:rsidRPr="00C239E1">
              <w:rPr>
                <w:sz w:val="16"/>
                <w:szCs w:val="16"/>
              </w:rPr>
              <w:t>Chemicals and Chemical Products</w:t>
            </w:r>
          </w:p>
        </w:tc>
        <w:tc>
          <w:tcPr>
            <w:tcW w:w="936" w:type="dxa"/>
            <w:shd w:val="clear" w:color="auto" w:fill="auto"/>
            <w:noWrap/>
            <w:vAlign w:val="center"/>
          </w:tcPr>
          <w:p w:rsidR="00EF09BB" w:rsidRPr="00C239E1" w:rsidRDefault="00EF09BB" w:rsidP="00FC4A2F">
            <w:pPr>
              <w:jc w:val="right"/>
              <w:rPr>
                <w:sz w:val="16"/>
                <w:szCs w:val="16"/>
              </w:rPr>
            </w:pPr>
            <w:r w:rsidRPr="00C239E1">
              <w:rPr>
                <w:sz w:val="16"/>
                <w:szCs w:val="16"/>
              </w:rPr>
              <w:t>1,048,789</w:t>
            </w:r>
          </w:p>
        </w:tc>
        <w:tc>
          <w:tcPr>
            <w:tcW w:w="870" w:type="dxa"/>
            <w:shd w:val="clear" w:color="auto" w:fill="auto"/>
            <w:noWrap/>
            <w:vAlign w:val="center"/>
          </w:tcPr>
          <w:p w:rsidR="00EF09BB" w:rsidRPr="00C239E1" w:rsidRDefault="00EF09BB" w:rsidP="00FC4A2F">
            <w:pPr>
              <w:jc w:val="right"/>
              <w:rPr>
                <w:sz w:val="16"/>
                <w:szCs w:val="16"/>
              </w:rPr>
            </w:pPr>
            <w:r w:rsidRPr="00C239E1">
              <w:rPr>
                <w:sz w:val="16"/>
                <w:szCs w:val="16"/>
              </w:rPr>
              <w:t>-2,937</w:t>
            </w:r>
          </w:p>
        </w:tc>
        <w:tc>
          <w:tcPr>
            <w:tcW w:w="801" w:type="dxa"/>
            <w:shd w:val="clear" w:color="auto" w:fill="auto"/>
            <w:noWrap/>
            <w:vAlign w:val="center"/>
          </w:tcPr>
          <w:p w:rsidR="00EF09BB" w:rsidRPr="00C239E1" w:rsidRDefault="00EF09BB" w:rsidP="00FC4A2F">
            <w:pPr>
              <w:jc w:val="right"/>
              <w:rPr>
                <w:sz w:val="16"/>
                <w:szCs w:val="16"/>
              </w:rPr>
            </w:pPr>
            <w:r w:rsidRPr="00C239E1">
              <w:rPr>
                <w:sz w:val="16"/>
                <w:szCs w:val="16"/>
              </w:rPr>
              <w:t>-0.28%</w:t>
            </w:r>
          </w:p>
        </w:tc>
        <w:tc>
          <w:tcPr>
            <w:tcW w:w="870" w:type="dxa"/>
            <w:shd w:val="clear" w:color="auto" w:fill="auto"/>
            <w:noWrap/>
            <w:vAlign w:val="center"/>
          </w:tcPr>
          <w:p w:rsidR="00EF09BB" w:rsidRPr="00C239E1" w:rsidRDefault="00EF09BB" w:rsidP="00FC4A2F">
            <w:pPr>
              <w:jc w:val="right"/>
              <w:rPr>
                <w:sz w:val="16"/>
                <w:szCs w:val="16"/>
              </w:rPr>
            </w:pPr>
            <w:r w:rsidRPr="00C239E1">
              <w:rPr>
                <w:sz w:val="16"/>
                <w:szCs w:val="16"/>
              </w:rPr>
              <w:t>2.11%</w:t>
            </w:r>
          </w:p>
        </w:tc>
      </w:tr>
      <w:tr w:rsidR="00EF09BB" w:rsidRPr="00C239E1" w:rsidTr="00FC4A2F">
        <w:trPr>
          <w:trHeight w:val="255"/>
          <w:jc w:val="right"/>
        </w:trPr>
        <w:tc>
          <w:tcPr>
            <w:tcW w:w="5676" w:type="dxa"/>
            <w:shd w:val="clear" w:color="auto" w:fill="auto"/>
            <w:noWrap/>
            <w:vAlign w:val="center"/>
          </w:tcPr>
          <w:p w:rsidR="00EF09BB" w:rsidRPr="00C239E1" w:rsidRDefault="00EF09BB" w:rsidP="00FC4A2F">
            <w:pPr>
              <w:rPr>
                <w:sz w:val="16"/>
                <w:szCs w:val="16"/>
              </w:rPr>
            </w:pPr>
            <w:r w:rsidRPr="00C239E1">
              <w:rPr>
                <w:sz w:val="16"/>
                <w:szCs w:val="16"/>
              </w:rPr>
              <w:t>Retail Trade, Except of Motor Vehicles and Motorcycles; Repair of Household Goods</w:t>
            </w:r>
          </w:p>
        </w:tc>
        <w:tc>
          <w:tcPr>
            <w:tcW w:w="936" w:type="dxa"/>
            <w:shd w:val="clear" w:color="auto" w:fill="auto"/>
            <w:noWrap/>
            <w:vAlign w:val="center"/>
          </w:tcPr>
          <w:p w:rsidR="00EF09BB" w:rsidRPr="00C239E1" w:rsidRDefault="00EF09BB" w:rsidP="00FC4A2F">
            <w:pPr>
              <w:jc w:val="right"/>
              <w:rPr>
                <w:sz w:val="16"/>
                <w:szCs w:val="16"/>
              </w:rPr>
            </w:pPr>
            <w:r w:rsidRPr="00C239E1">
              <w:rPr>
                <w:sz w:val="16"/>
                <w:szCs w:val="16"/>
              </w:rPr>
              <w:t>2,952,799</w:t>
            </w:r>
          </w:p>
        </w:tc>
        <w:tc>
          <w:tcPr>
            <w:tcW w:w="870" w:type="dxa"/>
            <w:shd w:val="clear" w:color="auto" w:fill="auto"/>
            <w:noWrap/>
            <w:vAlign w:val="center"/>
          </w:tcPr>
          <w:p w:rsidR="00EF09BB" w:rsidRPr="00C239E1" w:rsidRDefault="00EF09BB" w:rsidP="00FC4A2F">
            <w:pPr>
              <w:jc w:val="right"/>
              <w:rPr>
                <w:sz w:val="16"/>
                <w:szCs w:val="16"/>
              </w:rPr>
            </w:pPr>
            <w:r w:rsidRPr="00C239E1">
              <w:rPr>
                <w:sz w:val="16"/>
                <w:szCs w:val="16"/>
              </w:rPr>
              <w:t>-2,925</w:t>
            </w:r>
          </w:p>
        </w:tc>
        <w:tc>
          <w:tcPr>
            <w:tcW w:w="801" w:type="dxa"/>
            <w:shd w:val="clear" w:color="auto" w:fill="auto"/>
            <w:noWrap/>
            <w:vAlign w:val="center"/>
          </w:tcPr>
          <w:p w:rsidR="00EF09BB" w:rsidRPr="00C239E1" w:rsidRDefault="00EF09BB" w:rsidP="00FC4A2F">
            <w:pPr>
              <w:jc w:val="right"/>
              <w:rPr>
                <w:sz w:val="16"/>
                <w:szCs w:val="16"/>
              </w:rPr>
            </w:pPr>
            <w:r w:rsidRPr="00C239E1">
              <w:rPr>
                <w:sz w:val="16"/>
                <w:szCs w:val="16"/>
              </w:rPr>
              <w:t>-0.10%</w:t>
            </w:r>
          </w:p>
        </w:tc>
        <w:tc>
          <w:tcPr>
            <w:tcW w:w="870" w:type="dxa"/>
            <w:shd w:val="clear" w:color="auto" w:fill="auto"/>
            <w:noWrap/>
            <w:vAlign w:val="center"/>
          </w:tcPr>
          <w:p w:rsidR="00EF09BB" w:rsidRPr="00C239E1" w:rsidRDefault="00EF09BB" w:rsidP="00FC4A2F">
            <w:pPr>
              <w:jc w:val="right"/>
              <w:rPr>
                <w:sz w:val="16"/>
                <w:szCs w:val="16"/>
              </w:rPr>
            </w:pPr>
            <w:r w:rsidRPr="00C239E1">
              <w:rPr>
                <w:sz w:val="16"/>
                <w:szCs w:val="16"/>
              </w:rPr>
              <w:t>2.10%</w:t>
            </w:r>
          </w:p>
        </w:tc>
      </w:tr>
      <w:tr w:rsidR="00EF09BB" w:rsidRPr="00C239E1" w:rsidTr="00FC4A2F">
        <w:trPr>
          <w:trHeight w:val="255"/>
          <w:jc w:val="right"/>
        </w:trPr>
        <w:tc>
          <w:tcPr>
            <w:tcW w:w="5676" w:type="dxa"/>
            <w:shd w:val="clear" w:color="auto" w:fill="auto"/>
            <w:noWrap/>
            <w:vAlign w:val="center"/>
          </w:tcPr>
          <w:p w:rsidR="00EF09BB" w:rsidRPr="00C239E1" w:rsidRDefault="00EF09BB" w:rsidP="00FC4A2F">
            <w:pPr>
              <w:rPr>
                <w:sz w:val="16"/>
                <w:szCs w:val="16"/>
              </w:rPr>
            </w:pPr>
            <w:r w:rsidRPr="00C239E1">
              <w:rPr>
                <w:sz w:val="16"/>
                <w:szCs w:val="16"/>
              </w:rPr>
              <w:t>Electricity, Gas and Water Supply</w:t>
            </w:r>
          </w:p>
        </w:tc>
        <w:tc>
          <w:tcPr>
            <w:tcW w:w="936" w:type="dxa"/>
            <w:shd w:val="clear" w:color="auto" w:fill="auto"/>
            <w:noWrap/>
            <w:vAlign w:val="center"/>
          </w:tcPr>
          <w:p w:rsidR="00EF09BB" w:rsidRPr="00C239E1" w:rsidRDefault="00EF09BB" w:rsidP="00FC4A2F">
            <w:pPr>
              <w:jc w:val="right"/>
              <w:rPr>
                <w:sz w:val="16"/>
                <w:szCs w:val="16"/>
              </w:rPr>
            </w:pPr>
            <w:r w:rsidRPr="00C239E1">
              <w:rPr>
                <w:sz w:val="16"/>
                <w:szCs w:val="16"/>
              </w:rPr>
              <w:t>1,320,998</w:t>
            </w:r>
          </w:p>
        </w:tc>
        <w:tc>
          <w:tcPr>
            <w:tcW w:w="870" w:type="dxa"/>
            <w:shd w:val="clear" w:color="auto" w:fill="auto"/>
            <w:noWrap/>
            <w:vAlign w:val="center"/>
          </w:tcPr>
          <w:p w:rsidR="00EF09BB" w:rsidRPr="00C239E1" w:rsidRDefault="00EF09BB" w:rsidP="00FC4A2F">
            <w:pPr>
              <w:jc w:val="right"/>
              <w:rPr>
                <w:sz w:val="16"/>
                <w:szCs w:val="16"/>
              </w:rPr>
            </w:pPr>
            <w:r w:rsidRPr="00C239E1">
              <w:rPr>
                <w:sz w:val="16"/>
                <w:szCs w:val="16"/>
              </w:rPr>
              <w:t>-2,910</w:t>
            </w:r>
          </w:p>
        </w:tc>
        <w:tc>
          <w:tcPr>
            <w:tcW w:w="801" w:type="dxa"/>
            <w:shd w:val="clear" w:color="auto" w:fill="auto"/>
            <w:noWrap/>
            <w:vAlign w:val="center"/>
          </w:tcPr>
          <w:p w:rsidR="00EF09BB" w:rsidRPr="00C239E1" w:rsidRDefault="00EF09BB" w:rsidP="00FC4A2F">
            <w:pPr>
              <w:jc w:val="right"/>
              <w:rPr>
                <w:sz w:val="16"/>
                <w:szCs w:val="16"/>
              </w:rPr>
            </w:pPr>
            <w:r w:rsidRPr="00C239E1">
              <w:rPr>
                <w:sz w:val="16"/>
                <w:szCs w:val="16"/>
              </w:rPr>
              <w:t>-0.22%</w:t>
            </w:r>
          </w:p>
        </w:tc>
        <w:tc>
          <w:tcPr>
            <w:tcW w:w="870" w:type="dxa"/>
            <w:shd w:val="clear" w:color="auto" w:fill="auto"/>
            <w:noWrap/>
            <w:vAlign w:val="center"/>
          </w:tcPr>
          <w:p w:rsidR="00EF09BB" w:rsidRPr="00C239E1" w:rsidRDefault="00EF09BB" w:rsidP="00FC4A2F">
            <w:pPr>
              <w:jc w:val="right"/>
              <w:rPr>
                <w:sz w:val="16"/>
                <w:szCs w:val="16"/>
              </w:rPr>
            </w:pPr>
            <w:r w:rsidRPr="00C239E1">
              <w:rPr>
                <w:sz w:val="16"/>
                <w:szCs w:val="16"/>
              </w:rPr>
              <w:t>2.09%</w:t>
            </w:r>
          </w:p>
        </w:tc>
      </w:tr>
      <w:tr w:rsidR="00EF09BB" w:rsidRPr="00C239E1" w:rsidTr="00FC4A2F">
        <w:trPr>
          <w:trHeight w:val="255"/>
          <w:jc w:val="right"/>
        </w:trPr>
        <w:tc>
          <w:tcPr>
            <w:tcW w:w="5676" w:type="dxa"/>
            <w:shd w:val="clear" w:color="auto" w:fill="auto"/>
            <w:noWrap/>
            <w:vAlign w:val="center"/>
          </w:tcPr>
          <w:p w:rsidR="00EF09BB" w:rsidRPr="00C239E1" w:rsidRDefault="00EF09BB" w:rsidP="00FC4A2F">
            <w:pPr>
              <w:rPr>
                <w:sz w:val="16"/>
                <w:szCs w:val="16"/>
              </w:rPr>
            </w:pPr>
            <w:r w:rsidRPr="00C239E1">
              <w:rPr>
                <w:sz w:val="16"/>
                <w:szCs w:val="16"/>
              </w:rPr>
              <w:t>Machinery, Nec</w:t>
            </w:r>
          </w:p>
        </w:tc>
        <w:tc>
          <w:tcPr>
            <w:tcW w:w="936" w:type="dxa"/>
            <w:shd w:val="clear" w:color="auto" w:fill="auto"/>
            <w:noWrap/>
            <w:vAlign w:val="center"/>
          </w:tcPr>
          <w:p w:rsidR="00EF09BB" w:rsidRPr="00C239E1" w:rsidRDefault="00EF09BB" w:rsidP="00FC4A2F">
            <w:pPr>
              <w:jc w:val="right"/>
              <w:rPr>
                <w:sz w:val="16"/>
                <w:szCs w:val="16"/>
              </w:rPr>
            </w:pPr>
            <w:r w:rsidRPr="00C239E1">
              <w:rPr>
                <w:sz w:val="16"/>
                <w:szCs w:val="16"/>
              </w:rPr>
              <w:t>865,215</w:t>
            </w:r>
          </w:p>
        </w:tc>
        <w:tc>
          <w:tcPr>
            <w:tcW w:w="870" w:type="dxa"/>
            <w:shd w:val="clear" w:color="auto" w:fill="auto"/>
            <w:noWrap/>
            <w:vAlign w:val="center"/>
          </w:tcPr>
          <w:p w:rsidR="00EF09BB" w:rsidRPr="00C239E1" w:rsidRDefault="00EF09BB" w:rsidP="00FC4A2F">
            <w:pPr>
              <w:jc w:val="right"/>
              <w:rPr>
                <w:sz w:val="16"/>
                <w:szCs w:val="16"/>
              </w:rPr>
            </w:pPr>
            <w:r w:rsidRPr="00C239E1">
              <w:rPr>
                <w:sz w:val="16"/>
                <w:szCs w:val="16"/>
              </w:rPr>
              <w:t>-2,663</w:t>
            </w:r>
          </w:p>
        </w:tc>
        <w:tc>
          <w:tcPr>
            <w:tcW w:w="801" w:type="dxa"/>
            <w:shd w:val="clear" w:color="auto" w:fill="auto"/>
            <w:noWrap/>
            <w:vAlign w:val="center"/>
          </w:tcPr>
          <w:p w:rsidR="00EF09BB" w:rsidRPr="00C239E1" w:rsidRDefault="00EF09BB" w:rsidP="00FC4A2F">
            <w:pPr>
              <w:jc w:val="right"/>
              <w:rPr>
                <w:sz w:val="16"/>
                <w:szCs w:val="16"/>
              </w:rPr>
            </w:pPr>
            <w:r w:rsidRPr="00C239E1">
              <w:rPr>
                <w:sz w:val="16"/>
                <w:szCs w:val="16"/>
              </w:rPr>
              <w:t>-0.31%</w:t>
            </w:r>
          </w:p>
        </w:tc>
        <w:tc>
          <w:tcPr>
            <w:tcW w:w="870" w:type="dxa"/>
            <w:shd w:val="clear" w:color="auto" w:fill="auto"/>
            <w:noWrap/>
            <w:vAlign w:val="center"/>
          </w:tcPr>
          <w:p w:rsidR="00EF09BB" w:rsidRPr="00C239E1" w:rsidRDefault="00EF09BB" w:rsidP="00FC4A2F">
            <w:pPr>
              <w:jc w:val="right"/>
              <w:rPr>
                <w:sz w:val="16"/>
                <w:szCs w:val="16"/>
              </w:rPr>
            </w:pPr>
            <w:r w:rsidRPr="00C239E1">
              <w:rPr>
                <w:sz w:val="16"/>
                <w:szCs w:val="16"/>
              </w:rPr>
              <w:t>1.91%</w:t>
            </w:r>
          </w:p>
        </w:tc>
      </w:tr>
      <w:tr w:rsidR="00EF09BB" w:rsidRPr="00C239E1" w:rsidTr="00FC4A2F">
        <w:trPr>
          <w:trHeight w:val="255"/>
          <w:jc w:val="right"/>
        </w:trPr>
        <w:tc>
          <w:tcPr>
            <w:tcW w:w="5676" w:type="dxa"/>
            <w:shd w:val="clear" w:color="auto" w:fill="auto"/>
            <w:noWrap/>
            <w:vAlign w:val="center"/>
          </w:tcPr>
          <w:p w:rsidR="00EF09BB" w:rsidRPr="00C239E1" w:rsidRDefault="00EF09BB" w:rsidP="00FC4A2F">
            <w:pPr>
              <w:rPr>
                <w:sz w:val="16"/>
                <w:szCs w:val="16"/>
              </w:rPr>
            </w:pPr>
            <w:r w:rsidRPr="00C239E1">
              <w:rPr>
                <w:sz w:val="16"/>
                <w:szCs w:val="16"/>
              </w:rPr>
              <w:t>Real Estate Activities</w:t>
            </w:r>
          </w:p>
        </w:tc>
        <w:tc>
          <w:tcPr>
            <w:tcW w:w="936" w:type="dxa"/>
            <w:shd w:val="clear" w:color="auto" w:fill="auto"/>
            <w:noWrap/>
            <w:vAlign w:val="center"/>
          </w:tcPr>
          <w:p w:rsidR="00EF09BB" w:rsidRPr="00C239E1" w:rsidRDefault="00EF09BB" w:rsidP="00FC4A2F">
            <w:pPr>
              <w:jc w:val="right"/>
              <w:rPr>
                <w:sz w:val="16"/>
                <w:szCs w:val="16"/>
              </w:rPr>
            </w:pPr>
            <w:r w:rsidRPr="00C239E1">
              <w:rPr>
                <w:sz w:val="16"/>
                <w:szCs w:val="16"/>
              </w:rPr>
              <w:t>5,656,456</w:t>
            </w:r>
          </w:p>
        </w:tc>
        <w:tc>
          <w:tcPr>
            <w:tcW w:w="870" w:type="dxa"/>
            <w:shd w:val="clear" w:color="auto" w:fill="auto"/>
            <w:noWrap/>
            <w:vAlign w:val="center"/>
          </w:tcPr>
          <w:p w:rsidR="00EF09BB" w:rsidRPr="00C239E1" w:rsidRDefault="00EF09BB" w:rsidP="00FC4A2F">
            <w:pPr>
              <w:jc w:val="right"/>
              <w:rPr>
                <w:sz w:val="16"/>
                <w:szCs w:val="16"/>
              </w:rPr>
            </w:pPr>
            <w:r w:rsidRPr="00C239E1">
              <w:rPr>
                <w:sz w:val="16"/>
                <w:szCs w:val="16"/>
              </w:rPr>
              <w:t>-2,422</w:t>
            </w:r>
          </w:p>
        </w:tc>
        <w:tc>
          <w:tcPr>
            <w:tcW w:w="801" w:type="dxa"/>
            <w:shd w:val="clear" w:color="auto" w:fill="auto"/>
            <w:noWrap/>
            <w:vAlign w:val="center"/>
          </w:tcPr>
          <w:p w:rsidR="00EF09BB" w:rsidRPr="00C239E1" w:rsidRDefault="00EF09BB" w:rsidP="00FC4A2F">
            <w:pPr>
              <w:jc w:val="right"/>
              <w:rPr>
                <w:sz w:val="16"/>
                <w:szCs w:val="16"/>
              </w:rPr>
            </w:pPr>
            <w:r w:rsidRPr="00C239E1">
              <w:rPr>
                <w:sz w:val="16"/>
                <w:szCs w:val="16"/>
              </w:rPr>
              <w:t>-0.04%</w:t>
            </w:r>
          </w:p>
        </w:tc>
        <w:tc>
          <w:tcPr>
            <w:tcW w:w="870" w:type="dxa"/>
            <w:shd w:val="clear" w:color="auto" w:fill="auto"/>
            <w:noWrap/>
            <w:vAlign w:val="center"/>
          </w:tcPr>
          <w:p w:rsidR="00EF09BB" w:rsidRPr="00C239E1" w:rsidRDefault="00EF09BB" w:rsidP="00FC4A2F">
            <w:pPr>
              <w:jc w:val="right"/>
              <w:rPr>
                <w:sz w:val="16"/>
                <w:szCs w:val="16"/>
              </w:rPr>
            </w:pPr>
            <w:r w:rsidRPr="00C239E1">
              <w:rPr>
                <w:sz w:val="16"/>
                <w:szCs w:val="16"/>
              </w:rPr>
              <w:t>1.74%</w:t>
            </w:r>
          </w:p>
        </w:tc>
      </w:tr>
      <w:tr w:rsidR="00EF09BB" w:rsidRPr="00C239E1" w:rsidTr="00FC4A2F">
        <w:trPr>
          <w:trHeight w:val="255"/>
          <w:jc w:val="right"/>
        </w:trPr>
        <w:tc>
          <w:tcPr>
            <w:tcW w:w="5676" w:type="dxa"/>
            <w:shd w:val="clear" w:color="auto" w:fill="auto"/>
            <w:noWrap/>
            <w:vAlign w:val="center"/>
          </w:tcPr>
          <w:p w:rsidR="00EF09BB" w:rsidRPr="00C239E1" w:rsidRDefault="00EF09BB" w:rsidP="00FC4A2F">
            <w:pPr>
              <w:rPr>
                <w:sz w:val="16"/>
                <w:szCs w:val="16"/>
              </w:rPr>
            </w:pPr>
            <w:r w:rsidRPr="00C239E1">
              <w:rPr>
                <w:sz w:val="16"/>
                <w:szCs w:val="16"/>
              </w:rPr>
              <w:t>Other Community, Social and Personal Services</w:t>
            </w:r>
          </w:p>
        </w:tc>
        <w:tc>
          <w:tcPr>
            <w:tcW w:w="936" w:type="dxa"/>
            <w:shd w:val="clear" w:color="auto" w:fill="auto"/>
            <w:noWrap/>
            <w:vAlign w:val="center"/>
          </w:tcPr>
          <w:p w:rsidR="00EF09BB" w:rsidRPr="00C239E1" w:rsidRDefault="00EF09BB" w:rsidP="00FC4A2F">
            <w:pPr>
              <w:jc w:val="right"/>
              <w:rPr>
                <w:sz w:val="16"/>
                <w:szCs w:val="16"/>
              </w:rPr>
            </w:pPr>
            <w:r w:rsidRPr="00C239E1">
              <w:rPr>
                <w:sz w:val="16"/>
                <w:szCs w:val="16"/>
              </w:rPr>
              <w:t>2,128,171</w:t>
            </w:r>
          </w:p>
        </w:tc>
        <w:tc>
          <w:tcPr>
            <w:tcW w:w="870" w:type="dxa"/>
            <w:shd w:val="clear" w:color="auto" w:fill="auto"/>
            <w:noWrap/>
            <w:vAlign w:val="center"/>
          </w:tcPr>
          <w:p w:rsidR="00EF09BB" w:rsidRPr="00C239E1" w:rsidRDefault="00EF09BB" w:rsidP="00FC4A2F">
            <w:pPr>
              <w:jc w:val="right"/>
              <w:rPr>
                <w:sz w:val="16"/>
                <w:szCs w:val="16"/>
              </w:rPr>
            </w:pPr>
            <w:r w:rsidRPr="00C239E1">
              <w:rPr>
                <w:sz w:val="16"/>
                <w:szCs w:val="16"/>
              </w:rPr>
              <w:t>-2,382</w:t>
            </w:r>
          </w:p>
        </w:tc>
        <w:tc>
          <w:tcPr>
            <w:tcW w:w="801" w:type="dxa"/>
            <w:shd w:val="clear" w:color="auto" w:fill="auto"/>
            <w:noWrap/>
            <w:vAlign w:val="center"/>
          </w:tcPr>
          <w:p w:rsidR="00EF09BB" w:rsidRPr="00C239E1" w:rsidRDefault="00EF09BB" w:rsidP="00FC4A2F">
            <w:pPr>
              <w:jc w:val="right"/>
              <w:rPr>
                <w:sz w:val="16"/>
                <w:szCs w:val="16"/>
              </w:rPr>
            </w:pPr>
            <w:r w:rsidRPr="00C239E1">
              <w:rPr>
                <w:sz w:val="16"/>
                <w:szCs w:val="16"/>
              </w:rPr>
              <w:t>-0.11%</w:t>
            </w:r>
          </w:p>
        </w:tc>
        <w:tc>
          <w:tcPr>
            <w:tcW w:w="870" w:type="dxa"/>
            <w:shd w:val="clear" w:color="auto" w:fill="auto"/>
            <w:noWrap/>
            <w:vAlign w:val="center"/>
          </w:tcPr>
          <w:p w:rsidR="00EF09BB" w:rsidRPr="00C239E1" w:rsidRDefault="00EF09BB" w:rsidP="00FC4A2F">
            <w:pPr>
              <w:jc w:val="right"/>
              <w:rPr>
                <w:sz w:val="16"/>
                <w:szCs w:val="16"/>
              </w:rPr>
            </w:pPr>
            <w:r w:rsidRPr="00C239E1">
              <w:rPr>
                <w:sz w:val="16"/>
                <w:szCs w:val="16"/>
              </w:rPr>
              <w:t>1.71%</w:t>
            </w:r>
          </w:p>
        </w:tc>
      </w:tr>
      <w:tr w:rsidR="00EF09BB" w:rsidRPr="00C239E1" w:rsidTr="00FC4A2F">
        <w:trPr>
          <w:trHeight w:val="255"/>
          <w:jc w:val="right"/>
        </w:trPr>
        <w:tc>
          <w:tcPr>
            <w:tcW w:w="5676" w:type="dxa"/>
            <w:shd w:val="clear" w:color="auto" w:fill="auto"/>
            <w:noWrap/>
            <w:vAlign w:val="center"/>
          </w:tcPr>
          <w:p w:rsidR="00EF09BB" w:rsidRPr="00C239E1" w:rsidRDefault="00EF09BB" w:rsidP="00FC4A2F">
            <w:pPr>
              <w:rPr>
                <w:sz w:val="16"/>
                <w:szCs w:val="16"/>
              </w:rPr>
            </w:pPr>
            <w:r w:rsidRPr="00C239E1">
              <w:rPr>
                <w:sz w:val="16"/>
                <w:szCs w:val="16"/>
              </w:rPr>
              <w:t>Post and Telecommunications</w:t>
            </w:r>
          </w:p>
        </w:tc>
        <w:tc>
          <w:tcPr>
            <w:tcW w:w="936" w:type="dxa"/>
            <w:shd w:val="clear" w:color="auto" w:fill="auto"/>
            <w:noWrap/>
            <w:vAlign w:val="center"/>
          </w:tcPr>
          <w:p w:rsidR="00EF09BB" w:rsidRPr="00C239E1" w:rsidRDefault="00EF09BB" w:rsidP="00FC4A2F">
            <w:pPr>
              <w:jc w:val="right"/>
              <w:rPr>
                <w:sz w:val="16"/>
                <w:szCs w:val="16"/>
              </w:rPr>
            </w:pPr>
            <w:r w:rsidRPr="00C239E1">
              <w:rPr>
                <w:sz w:val="16"/>
                <w:szCs w:val="16"/>
              </w:rPr>
              <w:t>1,378,709</w:t>
            </w:r>
          </w:p>
        </w:tc>
        <w:tc>
          <w:tcPr>
            <w:tcW w:w="870" w:type="dxa"/>
            <w:shd w:val="clear" w:color="auto" w:fill="auto"/>
            <w:noWrap/>
            <w:vAlign w:val="center"/>
          </w:tcPr>
          <w:p w:rsidR="00EF09BB" w:rsidRPr="00C239E1" w:rsidRDefault="00EF09BB" w:rsidP="00FC4A2F">
            <w:pPr>
              <w:jc w:val="right"/>
              <w:rPr>
                <w:sz w:val="16"/>
                <w:szCs w:val="16"/>
              </w:rPr>
            </w:pPr>
            <w:r w:rsidRPr="00C239E1">
              <w:rPr>
                <w:sz w:val="16"/>
                <w:szCs w:val="16"/>
              </w:rPr>
              <w:t>-1,650</w:t>
            </w:r>
          </w:p>
        </w:tc>
        <w:tc>
          <w:tcPr>
            <w:tcW w:w="801" w:type="dxa"/>
            <w:shd w:val="clear" w:color="auto" w:fill="auto"/>
            <w:noWrap/>
            <w:vAlign w:val="center"/>
          </w:tcPr>
          <w:p w:rsidR="00EF09BB" w:rsidRPr="00C239E1" w:rsidRDefault="00EF09BB" w:rsidP="00FC4A2F">
            <w:pPr>
              <w:jc w:val="right"/>
              <w:rPr>
                <w:sz w:val="16"/>
                <w:szCs w:val="16"/>
              </w:rPr>
            </w:pPr>
            <w:r w:rsidRPr="00C239E1">
              <w:rPr>
                <w:sz w:val="16"/>
                <w:szCs w:val="16"/>
              </w:rPr>
              <w:t>-0.12%</w:t>
            </w:r>
          </w:p>
        </w:tc>
        <w:tc>
          <w:tcPr>
            <w:tcW w:w="870" w:type="dxa"/>
            <w:shd w:val="clear" w:color="auto" w:fill="auto"/>
            <w:noWrap/>
            <w:vAlign w:val="center"/>
          </w:tcPr>
          <w:p w:rsidR="00EF09BB" w:rsidRPr="00C239E1" w:rsidRDefault="00EF09BB" w:rsidP="00FC4A2F">
            <w:pPr>
              <w:jc w:val="right"/>
              <w:rPr>
                <w:sz w:val="16"/>
                <w:szCs w:val="16"/>
              </w:rPr>
            </w:pPr>
            <w:r w:rsidRPr="00C239E1">
              <w:rPr>
                <w:sz w:val="16"/>
                <w:szCs w:val="16"/>
              </w:rPr>
              <w:t>1.19%</w:t>
            </w:r>
          </w:p>
        </w:tc>
      </w:tr>
      <w:tr w:rsidR="00EF09BB" w:rsidRPr="00C239E1" w:rsidTr="00FC4A2F">
        <w:trPr>
          <w:trHeight w:val="255"/>
          <w:jc w:val="right"/>
        </w:trPr>
        <w:tc>
          <w:tcPr>
            <w:tcW w:w="5676" w:type="dxa"/>
            <w:shd w:val="clear" w:color="auto" w:fill="auto"/>
            <w:noWrap/>
            <w:vAlign w:val="center"/>
          </w:tcPr>
          <w:p w:rsidR="00EF09BB" w:rsidRPr="00C239E1" w:rsidRDefault="00EF09BB" w:rsidP="00FC4A2F">
            <w:pPr>
              <w:rPr>
                <w:sz w:val="16"/>
                <w:szCs w:val="16"/>
              </w:rPr>
            </w:pPr>
            <w:r w:rsidRPr="00C239E1">
              <w:rPr>
                <w:sz w:val="16"/>
                <w:szCs w:val="16"/>
              </w:rPr>
              <w:t>Pulp, Paper, Paper , Printing and Publishing</w:t>
            </w:r>
          </w:p>
        </w:tc>
        <w:tc>
          <w:tcPr>
            <w:tcW w:w="936" w:type="dxa"/>
            <w:shd w:val="clear" w:color="auto" w:fill="auto"/>
            <w:noWrap/>
            <w:vAlign w:val="center"/>
          </w:tcPr>
          <w:p w:rsidR="00EF09BB" w:rsidRPr="00C239E1" w:rsidRDefault="00EF09BB" w:rsidP="00FC4A2F">
            <w:pPr>
              <w:jc w:val="right"/>
              <w:rPr>
                <w:sz w:val="16"/>
                <w:szCs w:val="16"/>
              </w:rPr>
            </w:pPr>
            <w:r w:rsidRPr="00C239E1">
              <w:rPr>
                <w:sz w:val="16"/>
                <w:szCs w:val="16"/>
              </w:rPr>
              <w:t>695,923</w:t>
            </w:r>
          </w:p>
        </w:tc>
        <w:tc>
          <w:tcPr>
            <w:tcW w:w="870" w:type="dxa"/>
            <w:shd w:val="clear" w:color="auto" w:fill="auto"/>
            <w:noWrap/>
            <w:vAlign w:val="center"/>
          </w:tcPr>
          <w:p w:rsidR="00EF09BB" w:rsidRPr="00C239E1" w:rsidRDefault="00EF09BB" w:rsidP="00FC4A2F">
            <w:pPr>
              <w:jc w:val="right"/>
              <w:rPr>
                <w:sz w:val="16"/>
                <w:szCs w:val="16"/>
              </w:rPr>
            </w:pPr>
            <w:r w:rsidRPr="00C239E1">
              <w:rPr>
                <w:sz w:val="16"/>
                <w:szCs w:val="16"/>
              </w:rPr>
              <w:t>-1,452</w:t>
            </w:r>
          </w:p>
        </w:tc>
        <w:tc>
          <w:tcPr>
            <w:tcW w:w="801" w:type="dxa"/>
            <w:shd w:val="clear" w:color="auto" w:fill="auto"/>
            <w:noWrap/>
            <w:vAlign w:val="center"/>
          </w:tcPr>
          <w:p w:rsidR="00EF09BB" w:rsidRPr="00C239E1" w:rsidRDefault="00EF09BB" w:rsidP="00FC4A2F">
            <w:pPr>
              <w:jc w:val="right"/>
              <w:rPr>
                <w:sz w:val="16"/>
                <w:szCs w:val="16"/>
              </w:rPr>
            </w:pPr>
            <w:r w:rsidRPr="00C239E1">
              <w:rPr>
                <w:sz w:val="16"/>
                <w:szCs w:val="16"/>
              </w:rPr>
              <w:t>-0.21%</w:t>
            </w:r>
          </w:p>
        </w:tc>
        <w:tc>
          <w:tcPr>
            <w:tcW w:w="870" w:type="dxa"/>
            <w:shd w:val="clear" w:color="auto" w:fill="auto"/>
            <w:noWrap/>
            <w:vAlign w:val="center"/>
          </w:tcPr>
          <w:p w:rsidR="00EF09BB" w:rsidRPr="00C239E1" w:rsidRDefault="00EF09BB" w:rsidP="00FC4A2F">
            <w:pPr>
              <w:jc w:val="right"/>
              <w:rPr>
                <w:sz w:val="16"/>
                <w:szCs w:val="16"/>
              </w:rPr>
            </w:pPr>
            <w:r w:rsidRPr="00C239E1">
              <w:rPr>
                <w:sz w:val="16"/>
                <w:szCs w:val="16"/>
              </w:rPr>
              <w:t>1.04%</w:t>
            </w:r>
          </w:p>
        </w:tc>
      </w:tr>
      <w:tr w:rsidR="00EF09BB" w:rsidRPr="00C239E1" w:rsidTr="00FC4A2F">
        <w:trPr>
          <w:trHeight w:val="255"/>
          <w:jc w:val="right"/>
        </w:trPr>
        <w:tc>
          <w:tcPr>
            <w:tcW w:w="5676" w:type="dxa"/>
            <w:shd w:val="clear" w:color="auto" w:fill="auto"/>
            <w:noWrap/>
            <w:vAlign w:val="center"/>
          </w:tcPr>
          <w:p w:rsidR="00EF09BB" w:rsidRPr="00C239E1" w:rsidRDefault="00EF09BB" w:rsidP="00FC4A2F">
            <w:pPr>
              <w:rPr>
                <w:sz w:val="16"/>
                <w:szCs w:val="16"/>
              </w:rPr>
            </w:pPr>
            <w:r w:rsidRPr="00C239E1">
              <w:rPr>
                <w:sz w:val="16"/>
                <w:szCs w:val="16"/>
              </w:rPr>
              <w:t>Hotels and Restaurants</w:t>
            </w:r>
          </w:p>
        </w:tc>
        <w:tc>
          <w:tcPr>
            <w:tcW w:w="936" w:type="dxa"/>
            <w:shd w:val="clear" w:color="auto" w:fill="auto"/>
            <w:noWrap/>
            <w:vAlign w:val="center"/>
          </w:tcPr>
          <w:p w:rsidR="00EF09BB" w:rsidRPr="00C239E1" w:rsidRDefault="00EF09BB" w:rsidP="00FC4A2F">
            <w:pPr>
              <w:jc w:val="right"/>
              <w:rPr>
                <w:sz w:val="16"/>
                <w:szCs w:val="16"/>
              </w:rPr>
            </w:pPr>
            <w:r w:rsidRPr="00C239E1">
              <w:rPr>
                <w:sz w:val="16"/>
                <w:szCs w:val="16"/>
              </w:rPr>
              <w:t>1,535,419</w:t>
            </w:r>
          </w:p>
        </w:tc>
        <w:tc>
          <w:tcPr>
            <w:tcW w:w="870" w:type="dxa"/>
            <w:shd w:val="clear" w:color="auto" w:fill="auto"/>
            <w:noWrap/>
            <w:vAlign w:val="center"/>
          </w:tcPr>
          <w:p w:rsidR="00EF09BB" w:rsidRPr="00C239E1" w:rsidRDefault="00EF09BB" w:rsidP="00FC4A2F">
            <w:pPr>
              <w:jc w:val="right"/>
              <w:rPr>
                <w:sz w:val="16"/>
                <w:szCs w:val="16"/>
              </w:rPr>
            </w:pPr>
            <w:r w:rsidRPr="00C239E1">
              <w:rPr>
                <w:sz w:val="16"/>
                <w:szCs w:val="16"/>
              </w:rPr>
              <w:t>-1,236</w:t>
            </w:r>
          </w:p>
        </w:tc>
        <w:tc>
          <w:tcPr>
            <w:tcW w:w="801" w:type="dxa"/>
            <w:shd w:val="clear" w:color="auto" w:fill="auto"/>
            <w:noWrap/>
            <w:vAlign w:val="center"/>
          </w:tcPr>
          <w:p w:rsidR="00EF09BB" w:rsidRPr="00C239E1" w:rsidRDefault="00EF09BB" w:rsidP="00FC4A2F">
            <w:pPr>
              <w:jc w:val="right"/>
              <w:rPr>
                <w:sz w:val="16"/>
                <w:szCs w:val="16"/>
              </w:rPr>
            </w:pPr>
            <w:r w:rsidRPr="00C239E1">
              <w:rPr>
                <w:sz w:val="16"/>
                <w:szCs w:val="16"/>
              </w:rPr>
              <w:t>-0.08%</w:t>
            </w:r>
          </w:p>
        </w:tc>
        <w:tc>
          <w:tcPr>
            <w:tcW w:w="870" w:type="dxa"/>
            <w:shd w:val="clear" w:color="auto" w:fill="auto"/>
            <w:noWrap/>
            <w:vAlign w:val="center"/>
          </w:tcPr>
          <w:p w:rsidR="00EF09BB" w:rsidRPr="00C239E1" w:rsidRDefault="00EF09BB" w:rsidP="00FC4A2F">
            <w:pPr>
              <w:jc w:val="right"/>
              <w:rPr>
                <w:sz w:val="16"/>
                <w:szCs w:val="16"/>
              </w:rPr>
            </w:pPr>
            <w:r w:rsidRPr="00C239E1">
              <w:rPr>
                <w:sz w:val="16"/>
                <w:szCs w:val="16"/>
              </w:rPr>
              <w:t>0.89%</w:t>
            </w:r>
          </w:p>
        </w:tc>
      </w:tr>
      <w:tr w:rsidR="00EF09BB" w:rsidRPr="00C239E1" w:rsidTr="00FC4A2F">
        <w:trPr>
          <w:trHeight w:val="255"/>
          <w:jc w:val="right"/>
        </w:trPr>
        <w:tc>
          <w:tcPr>
            <w:tcW w:w="5676" w:type="dxa"/>
            <w:shd w:val="clear" w:color="auto" w:fill="auto"/>
            <w:noWrap/>
            <w:vAlign w:val="center"/>
          </w:tcPr>
          <w:p w:rsidR="00EF09BB" w:rsidRPr="00C239E1" w:rsidRDefault="00EF09BB" w:rsidP="00FC4A2F">
            <w:pPr>
              <w:rPr>
                <w:sz w:val="16"/>
                <w:szCs w:val="16"/>
              </w:rPr>
            </w:pPr>
            <w:r w:rsidRPr="00C239E1">
              <w:rPr>
                <w:sz w:val="16"/>
                <w:szCs w:val="16"/>
              </w:rPr>
              <w:t>Other Supporting and Auxiliary Transport Activities; Activities of Travel Agencies</w:t>
            </w:r>
          </w:p>
        </w:tc>
        <w:tc>
          <w:tcPr>
            <w:tcW w:w="936" w:type="dxa"/>
            <w:shd w:val="clear" w:color="auto" w:fill="auto"/>
            <w:noWrap/>
            <w:vAlign w:val="center"/>
          </w:tcPr>
          <w:p w:rsidR="00EF09BB" w:rsidRPr="00C239E1" w:rsidRDefault="00EF09BB" w:rsidP="00FC4A2F">
            <w:pPr>
              <w:jc w:val="right"/>
              <w:rPr>
                <w:sz w:val="16"/>
                <w:szCs w:val="16"/>
              </w:rPr>
            </w:pPr>
            <w:r w:rsidRPr="00C239E1">
              <w:rPr>
                <w:sz w:val="16"/>
                <w:szCs w:val="16"/>
              </w:rPr>
              <w:t>689,614</w:t>
            </w:r>
          </w:p>
        </w:tc>
        <w:tc>
          <w:tcPr>
            <w:tcW w:w="870" w:type="dxa"/>
            <w:shd w:val="clear" w:color="auto" w:fill="auto"/>
            <w:noWrap/>
            <w:vAlign w:val="center"/>
          </w:tcPr>
          <w:p w:rsidR="00EF09BB" w:rsidRPr="00C239E1" w:rsidRDefault="00EF09BB" w:rsidP="00FC4A2F">
            <w:pPr>
              <w:jc w:val="right"/>
              <w:rPr>
                <w:sz w:val="16"/>
                <w:szCs w:val="16"/>
              </w:rPr>
            </w:pPr>
            <w:r w:rsidRPr="00C239E1">
              <w:rPr>
                <w:sz w:val="16"/>
                <w:szCs w:val="16"/>
              </w:rPr>
              <w:t>-1,152</w:t>
            </w:r>
          </w:p>
        </w:tc>
        <w:tc>
          <w:tcPr>
            <w:tcW w:w="801" w:type="dxa"/>
            <w:shd w:val="clear" w:color="auto" w:fill="auto"/>
            <w:noWrap/>
            <w:vAlign w:val="center"/>
          </w:tcPr>
          <w:p w:rsidR="00EF09BB" w:rsidRPr="00C239E1" w:rsidRDefault="00EF09BB" w:rsidP="00FC4A2F">
            <w:pPr>
              <w:jc w:val="right"/>
              <w:rPr>
                <w:sz w:val="16"/>
                <w:szCs w:val="16"/>
              </w:rPr>
            </w:pPr>
            <w:r w:rsidRPr="00C239E1">
              <w:rPr>
                <w:sz w:val="16"/>
                <w:szCs w:val="16"/>
              </w:rPr>
              <w:t>-0.17%</w:t>
            </w:r>
          </w:p>
        </w:tc>
        <w:tc>
          <w:tcPr>
            <w:tcW w:w="870" w:type="dxa"/>
            <w:shd w:val="clear" w:color="auto" w:fill="auto"/>
            <w:noWrap/>
            <w:vAlign w:val="center"/>
          </w:tcPr>
          <w:p w:rsidR="00EF09BB" w:rsidRPr="00C239E1" w:rsidRDefault="00EF09BB" w:rsidP="00FC4A2F">
            <w:pPr>
              <w:jc w:val="right"/>
              <w:rPr>
                <w:sz w:val="16"/>
                <w:szCs w:val="16"/>
              </w:rPr>
            </w:pPr>
            <w:r w:rsidRPr="00C239E1">
              <w:rPr>
                <w:sz w:val="16"/>
                <w:szCs w:val="16"/>
              </w:rPr>
              <w:t>0.83%</w:t>
            </w:r>
          </w:p>
        </w:tc>
      </w:tr>
      <w:tr w:rsidR="00EF09BB" w:rsidRPr="00C239E1" w:rsidTr="00FC4A2F">
        <w:trPr>
          <w:trHeight w:val="255"/>
          <w:jc w:val="right"/>
        </w:trPr>
        <w:tc>
          <w:tcPr>
            <w:tcW w:w="5676" w:type="dxa"/>
            <w:shd w:val="clear" w:color="auto" w:fill="auto"/>
            <w:noWrap/>
            <w:vAlign w:val="center"/>
          </w:tcPr>
          <w:p w:rsidR="00EF09BB" w:rsidRPr="00C239E1" w:rsidRDefault="00EF09BB" w:rsidP="00FC4A2F">
            <w:pPr>
              <w:rPr>
                <w:sz w:val="16"/>
                <w:szCs w:val="16"/>
              </w:rPr>
            </w:pPr>
            <w:r w:rsidRPr="00C239E1">
              <w:rPr>
                <w:sz w:val="16"/>
                <w:szCs w:val="16"/>
              </w:rPr>
              <w:t>Coke, Refined Petroleum and Nuclear Fuel</w:t>
            </w:r>
          </w:p>
        </w:tc>
        <w:tc>
          <w:tcPr>
            <w:tcW w:w="936" w:type="dxa"/>
            <w:shd w:val="clear" w:color="auto" w:fill="auto"/>
            <w:noWrap/>
            <w:vAlign w:val="center"/>
          </w:tcPr>
          <w:p w:rsidR="00EF09BB" w:rsidRPr="00C239E1" w:rsidRDefault="00EF09BB" w:rsidP="00FC4A2F">
            <w:pPr>
              <w:jc w:val="right"/>
              <w:rPr>
                <w:sz w:val="16"/>
                <w:szCs w:val="16"/>
              </w:rPr>
            </w:pPr>
            <w:r w:rsidRPr="00C239E1">
              <w:rPr>
                <w:sz w:val="16"/>
                <w:szCs w:val="16"/>
              </w:rPr>
              <w:t>542,546</w:t>
            </w:r>
          </w:p>
        </w:tc>
        <w:tc>
          <w:tcPr>
            <w:tcW w:w="870" w:type="dxa"/>
            <w:shd w:val="clear" w:color="auto" w:fill="auto"/>
            <w:noWrap/>
            <w:vAlign w:val="center"/>
          </w:tcPr>
          <w:p w:rsidR="00EF09BB" w:rsidRPr="00C239E1" w:rsidRDefault="00EF09BB" w:rsidP="00FC4A2F">
            <w:pPr>
              <w:jc w:val="right"/>
              <w:rPr>
                <w:sz w:val="16"/>
                <w:szCs w:val="16"/>
              </w:rPr>
            </w:pPr>
            <w:r w:rsidRPr="00C239E1">
              <w:rPr>
                <w:sz w:val="16"/>
                <w:szCs w:val="16"/>
              </w:rPr>
              <w:t>-1,046</w:t>
            </w:r>
          </w:p>
        </w:tc>
        <w:tc>
          <w:tcPr>
            <w:tcW w:w="801" w:type="dxa"/>
            <w:shd w:val="clear" w:color="auto" w:fill="auto"/>
            <w:noWrap/>
            <w:vAlign w:val="center"/>
          </w:tcPr>
          <w:p w:rsidR="00EF09BB" w:rsidRPr="00C239E1" w:rsidRDefault="00EF09BB" w:rsidP="00FC4A2F">
            <w:pPr>
              <w:jc w:val="right"/>
              <w:rPr>
                <w:sz w:val="16"/>
                <w:szCs w:val="16"/>
              </w:rPr>
            </w:pPr>
            <w:r w:rsidRPr="00C239E1">
              <w:rPr>
                <w:sz w:val="16"/>
                <w:szCs w:val="16"/>
              </w:rPr>
              <w:t>-0.19%</w:t>
            </w:r>
          </w:p>
        </w:tc>
        <w:tc>
          <w:tcPr>
            <w:tcW w:w="870" w:type="dxa"/>
            <w:shd w:val="clear" w:color="auto" w:fill="auto"/>
            <w:noWrap/>
            <w:vAlign w:val="center"/>
          </w:tcPr>
          <w:p w:rsidR="00EF09BB" w:rsidRPr="00C239E1" w:rsidRDefault="00EF09BB" w:rsidP="00FC4A2F">
            <w:pPr>
              <w:jc w:val="right"/>
              <w:rPr>
                <w:sz w:val="16"/>
                <w:szCs w:val="16"/>
              </w:rPr>
            </w:pPr>
            <w:r w:rsidRPr="00C239E1">
              <w:rPr>
                <w:sz w:val="16"/>
                <w:szCs w:val="16"/>
              </w:rPr>
              <w:t>0.75%</w:t>
            </w:r>
          </w:p>
        </w:tc>
      </w:tr>
      <w:tr w:rsidR="00EF09BB" w:rsidRPr="00C239E1" w:rsidTr="00FC4A2F">
        <w:trPr>
          <w:trHeight w:val="255"/>
          <w:jc w:val="right"/>
        </w:trPr>
        <w:tc>
          <w:tcPr>
            <w:tcW w:w="5676" w:type="dxa"/>
            <w:shd w:val="clear" w:color="auto" w:fill="auto"/>
            <w:noWrap/>
            <w:vAlign w:val="center"/>
          </w:tcPr>
          <w:p w:rsidR="00EF09BB" w:rsidRPr="00C239E1" w:rsidRDefault="00EF09BB" w:rsidP="00FC4A2F">
            <w:pPr>
              <w:rPr>
                <w:sz w:val="16"/>
                <w:szCs w:val="16"/>
              </w:rPr>
            </w:pPr>
            <w:r w:rsidRPr="00C239E1">
              <w:rPr>
                <w:sz w:val="16"/>
                <w:szCs w:val="16"/>
              </w:rPr>
              <w:t>Other Non-Metallic Mineral</w:t>
            </w:r>
          </w:p>
        </w:tc>
        <w:tc>
          <w:tcPr>
            <w:tcW w:w="936" w:type="dxa"/>
            <w:shd w:val="clear" w:color="auto" w:fill="auto"/>
            <w:noWrap/>
            <w:vAlign w:val="center"/>
          </w:tcPr>
          <w:p w:rsidR="00EF09BB" w:rsidRPr="00C239E1" w:rsidRDefault="00EF09BB" w:rsidP="00FC4A2F">
            <w:pPr>
              <w:jc w:val="right"/>
              <w:rPr>
                <w:sz w:val="16"/>
                <w:szCs w:val="16"/>
              </w:rPr>
            </w:pPr>
            <w:r w:rsidRPr="00C239E1">
              <w:rPr>
                <w:sz w:val="16"/>
                <w:szCs w:val="16"/>
              </w:rPr>
              <w:t>420,032</w:t>
            </w:r>
          </w:p>
        </w:tc>
        <w:tc>
          <w:tcPr>
            <w:tcW w:w="870" w:type="dxa"/>
            <w:shd w:val="clear" w:color="auto" w:fill="auto"/>
            <w:noWrap/>
            <w:vAlign w:val="center"/>
          </w:tcPr>
          <w:p w:rsidR="00EF09BB" w:rsidRPr="00C239E1" w:rsidRDefault="00EF09BB" w:rsidP="00FC4A2F">
            <w:pPr>
              <w:jc w:val="right"/>
              <w:rPr>
                <w:sz w:val="16"/>
                <w:szCs w:val="16"/>
              </w:rPr>
            </w:pPr>
            <w:r w:rsidRPr="00C239E1">
              <w:rPr>
                <w:sz w:val="16"/>
                <w:szCs w:val="16"/>
              </w:rPr>
              <w:t>-998</w:t>
            </w:r>
          </w:p>
        </w:tc>
        <w:tc>
          <w:tcPr>
            <w:tcW w:w="801" w:type="dxa"/>
            <w:shd w:val="clear" w:color="auto" w:fill="auto"/>
            <w:noWrap/>
            <w:vAlign w:val="center"/>
          </w:tcPr>
          <w:p w:rsidR="00EF09BB" w:rsidRPr="00C239E1" w:rsidRDefault="00EF09BB" w:rsidP="00FC4A2F">
            <w:pPr>
              <w:jc w:val="right"/>
              <w:rPr>
                <w:sz w:val="16"/>
                <w:szCs w:val="16"/>
              </w:rPr>
            </w:pPr>
            <w:r w:rsidRPr="00C239E1">
              <w:rPr>
                <w:sz w:val="16"/>
                <w:szCs w:val="16"/>
              </w:rPr>
              <w:t>-0.24%</w:t>
            </w:r>
          </w:p>
        </w:tc>
        <w:tc>
          <w:tcPr>
            <w:tcW w:w="870" w:type="dxa"/>
            <w:shd w:val="clear" w:color="auto" w:fill="auto"/>
            <w:noWrap/>
            <w:vAlign w:val="center"/>
          </w:tcPr>
          <w:p w:rsidR="00EF09BB" w:rsidRPr="00C239E1" w:rsidRDefault="00EF09BB" w:rsidP="00FC4A2F">
            <w:pPr>
              <w:jc w:val="right"/>
              <w:rPr>
                <w:sz w:val="16"/>
                <w:szCs w:val="16"/>
              </w:rPr>
            </w:pPr>
            <w:r w:rsidRPr="00C239E1">
              <w:rPr>
                <w:sz w:val="16"/>
                <w:szCs w:val="16"/>
              </w:rPr>
              <w:t>0.72%</w:t>
            </w:r>
          </w:p>
        </w:tc>
      </w:tr>
      <w:tr w:rsidR="00EF09BB" w:rsidRPr="00C239E1" w:rsidTr="00FC4A2F">
        <w:trPr>
          <w:trHeight w:val="255"/>
          <w:jc w:val="right"/>
        </w:trPr>
        <w:tc>
          <w:tcPr>
            <w:tcW w:w="5676" w:type="dxa"/>
            <w:shd w:val="clear" w:color="auto" w:fill="auto"/>
            <w:noWrap/>
            <w:vAlign w:val="center"/>
          </w:tcPr>
          <w:p w:rsidR="00EF09BB" w:rsidRPr="00C239E1" w:rsidRDefault="00EF09BB" w:rsidP="00FC4A2F">
            <w:pPr>
              <w:rPr>
                <w:sz w:val="16"/>
                <w:szCs w:val="16"/>
              </w:rPr>
            </w:pPr>
            <w:r w:rsidRPr="00C239E1">
              <w:rPr>
                <w:sz w:val="16"/>
                <w:szCs w:val="16"/>
              </w:rPr>
              <w:t>Sale, Maintenance and Repair of Motor Vehicles and Motorcycles; Retail Sale of Fuel</w:t>
            </w:r>
          </w:p>
        </w:tc>
        <w:tc>
          <w:tcPr>
            <w:tcW w:w="936" w:type="dxa"/>
            <w:shd w:val="clear" w:color="auto" w:fill="auto"/>
            <w:noWrap/>
            <w:vAlign w:val="center"/>
          </w:tcPr>
          <w:p w:rsidR="00EF09BB" w:rsidRPr="00C239E1" w:rsidRDefault="00EF09BB" w:rsidP="00FC4A2F">
            <w:pPr>
              <w:jc w:val="right"/>
              <w:rPr>
                <w:sz w:val="16"/>
                <w:szCs w:val="16"/>
              </w:rPr>
            </w:pPr>
            <w:r w:rsidRPr="00C239E1">
              <w:rPr>
                <w:sz w:val="16"/>
                <w:szCs w:val="16"/>
              </w:rPr>
              <w:t>628,835</w:t>
            </w:r>
          </w:p>
        </w:tc>
        <w:tc>
          <w:tcPr>
            <w:tcW w:w="870" w:type="dxa"/>
            <w:shd w:val="clear" w:color="auto" w:fill="auto"/>
            <w:noWrap/>
            <w:vAlign w:val="center"/>
          </w:tcPr>
          <w:p w:rsidR="00EF09BB" w:rsidRPr="00C239E1" w:rsidRDefault="00EF09BB" w:rsidP="00FC4A2F">
            <w:pPr>
              <w:jc w:val="right"/>
              <w:rPr>
                <w:sz w:val="16"/>
                <w:szCs w:val="16"/>
              </w:rPr>
            </w:pPr>
            <w:r w:rsidRPr="00C239E1">
              <w:rPr>
                <w:sz w:val="16"/>
                <w:szCs w:val="16"/>
              </w:rPr>
              <w:t>-931</w:t>
            </w:r>
          </w:p>
        </w:tc>
        <w:tc>
          <w:tcPr>
            <w:tcW w:w="801" w:type="dxa"/>
            <w:shd w:val="clear" w:color="auto" w:fill="auto"/>
            <w:noWrap/>
            <w:vAlign w:val="center"/>
          </w:tcPr>
          <w:p w:rsidR="00EF09BB" w:rsidRPr="00C239E1" w:rsidRDefault="00EF09BB" w:rsidP="00FC4A2F">
            <w:pPr>
              <w:jc w:val="right"/>
              <w:rPr>
                <w:sz w:val="16"/>
                <w:szCs w:val="16"/>
              </w:rPr>
            </w:pPr>
            <w:r w:rsidRPr="00C239E1">
              <w:rPr>
                <w:sz w:val="16"/>
                <w:szCs w:val="16"/>
              </w:rPr>
              <w:t>-0.15%</w:t>
            </w:r>
          </w:p>
        </w:tc>
        <w:tc>
          <w:tcPr>
            <w:tcW w:w="870" w:type="dxa"/>
            <w:shd w:val="clear" w:color="auto" w:fill="auto"/>
            <w:noWrap/>
            <w:vAlign w:val="center"/>
          </w:tcPr>
          <w:p w:rsidR="00EF09BB" w:rsidRPr="00C239E1" w:rsidRDefault="00EF09BB" w:rsidP="00FC4A2F">
            <w:pPr>
              <w:jc w:val="right"/>
              <w:rPr>
                <w:sz w:val="16"/>
                <w:szCs w:val="16"/>
              </w:rPr>
            </w:pPr>
            <w:r w:rsidRPr="00C239E1">
              <w:rPr>
                <w:sz w:val="16"/>
                <w:szCs w:val="16"/>
              </w:rPr>
              <w:t>0.67%</w:t>
            </w:r>
          </w:p>
        </w:tc>
      </w:tr>
      <w:tr w:rsidR="00EF09BB" w:rsidRPr="00C239E1" w:rsidTr="00FC4A2F">
        <w:trPr>
          <w:trHeight w:val="255"/>
          <w:jc w:val="right"/>
        </w:trPr>
        <w:tc>
          <w:tcPr>
            <w:tcW w:w="5676" w:type="dxa"/>
            <w:shd w:val="clear" w:color="auto" w:fill="auto"/>
            <w:noWrap/>
            <w:vAlign w:val="center"/>
          </w:tcPr>
          <w:p w:rsidR="00EF09BB" w:rsidRPr="00C239E1" w:rsidRDefault="00EF09BB" w:rsidP="00FC4A2F">
            <w:pPr>
              <w:rPr>
                <w:sz w:val="16"/>
                <w:szCs w:val="16"/>
              </w:rPr>
            </w:pPr>
            <w:r w:rsidRPr="00C239E1">
              <w:rPr>
                <w:sz w:val="16"/>
                <w:szCs w:val="16"/>
              </w:rPr>
              <w:t>Construction</w:t>
            </w:r>
          </w:p>
        </w:tc>
        <w:tc>
          <w:tcPr>
            <w:tcW w:w="936" w:type="dxa"/>
            <w:shd w:val="clear" w:color="auto" w:fill="auto"/>
            <w:noWrap/>
            <w:vAlign w:val="center"/>
          </w:tcPr>
          <w:p w:rsidR="00EF09BB" w:rsidRPr="00C239E1" w:rsidRDefault="00EF09BB" w:rsidP="00FC4A2F">
            <w:pPr>
              <w:jc w:val="right"/>
              <w:rPr>
                <w:sz w:val="16"/>
                <w:szCs w:val="16"/>
              </w:rPr>
            </w:pPr>
            <w:r w:rsidRPr="00C239E1">
              <w:rPr>
                <w:sz w:val="16"/>
                <w:szCs w:val="16"/>
              </w:rPr>
              <w:t>3,327,934</w:t>
            </w:r>
          </w:p>
        </w:tc>
        <w:tc>
          <w:tcPr>
            <w:tcW w:w="870" w:type="dxa"/>
            <w:shd w:val="clear" w:color="auto" w:fill="auto"/>
            <w:noWrap/>
            <w:vAlign w:val="center"/>
          </w:tcPr>
          <w:p w:rsidR="00EF09BB" w:rsidRPr="00C239E1" w:rsidRDefault="00EF09BB" w:rsidP="00FC4A2F">
            <w:pPr>
              <w:jc w:val="right"/>
              <w:rPr>
                <w:sz w:val="16"/>
                <w:szCs w:val="16"/>
              </w:rPr>
            </w:pPr>
            <w:r w:rsidRPr="00C239E1">
              <w:rPr>
                <w:sz w:val="16"/>
                <w:szCs w:val="16"/>
              </w:rPr>
              <w:t>-838</w:t>
            </w:r>
          </w:p>
        </w:tc>
        <w:tc>
          <w:tcPr>
            <w:tcW w:w="801" w:type="dxa"/>
            <w:shd w:val="clear" w:color="auto" w:fill="auto"/>
            <w:noWrap/>
            <w:vAlign w:val="center"/>
          </w:tcPr>
          <w:p w:rsidR="00EF09BB" w:rsidRPr="00C239E1" w:rsidRDefault="00EF09BB" w:rsidP="00FC4A2F">
            <w:pPr>
              <w:jc w:val="right"/>
              <w:rPr>
                <w:sz w:val="16"/>
                <w:szCs w:val="16"/>
              </w:rPr>
            </w:pPr>
            <w:r w:rsidRPr="00C239E1">
              <w:rPr>
                <w:sz w:val="16"/>
                <w:szCs w:val="16"/>
              </w:rPr>
              <w:t>-0.03%</w:t>
            </w:r>
          </w:p>
        </w:tc>
        <w:tc>
          <w:tcPr>
            <w:tcW w:w="870" w:type="dxa"/>
            <w:shd w:val="clear" w:color="auto" w:fill="auto"/>
            <w:noWrap/>
            <w:vAlign w:val="center"/>
          </w:tcPr>
          <w:p w:rsidR="00EF09BB" w:rsidRPr="00C239E1" w:rsidRDefault="00EF09BB" w:rsidP="00FC4A2F">
            <w:pPr>
              <w:jc w:val="right"/>
              <w:rPr>
                <w:sz w:val="16"/>
                <w:szCs w:val="16"/>
              </w:rPr>
            </w:pPr>
            <w:r w:rsidRPr="00C239E1">
              <w:rPr>
                <w:sz w:val="16"/>
                <w:szCs w:val="16"/>
              </w:rPr>
              <w:t>0.60%</w:t>
            </w:r>
          </w:p>
        </w:tc>
      </w:tr>
      <w:tr w:rsidR="00EF09BB" w:rsidRPr="00C239E1" w:rsidTr="00FC4A2F">
        <w:trPr>
          <w:trHeight w:val="255"/>
          <w:jc w:val="right"/>
        </w:trPr>
        <w:tc>
          <w:tcPr>
            <w:tcW w:w="5676" w:type="dxa"/>
            <w:shd w:val="clear" w:color="auto" w:fill="auto"/>
            <w:noWrap/>
            <w:vAlign w:val="center"/>
          </w:tcPr>
          <w:p w:rsidR="00EF09BB" w:rsidRPr="00C239E1" w:rsidRDefault="00EF09BB" w:rsidP="00FC4A2F">
            <w:pPr>
              <w:rPr>
                <w:sz w:val="16"/>
                <w:szCs w:val="16"/>
              </w:rPr>
            </w:pPr>
            <w:r w:rsidRPr="00C239E1">
              <w:rPr>
                <w:sz w:val="16"/>
                <w:szCs w:val="16"/>
              </w:rPr>
              <w:t>Agriculture, Hunting, Forestry and Fishing</w:t>
            </w:r>
          </w:p>
        </w:tc>
        <w:tc>
          <w:tcPr>
            <w:tcW w:w="936" w:type="dxa"/>
            <w:shd w:val="clear" w:color="auto" w:fill="auto"/>
            <w:noWrap/>
            <w:vAlign w:val="center"/>
          </w:tcPr>
          <w:p w:rsidR="00EF09BB" w:rsidRPr="00C239E1" w:rsidRDefault="00EF09BB" w:rsidP="00FC4A2F">
            <w:pPr>
              <w:jc w:val="right"/>
              <w:rPr>
                <w:sz w:val="16"/>
                <w:szCs w:val="16"/>
              </w:rPr>
            </w:pPr>
            <w:r w:rsidRPr="00C239E1">
              <w:rPr>
                <w:sz w:val="16"/>
                <w:szCs w:val="16"/>
              </w:rPr>
              <w:t>2,543,128</w:t>
            </w:r>
          </w:p>
        </w:tc>
        <w:tc>
          <w:tcPr>
            <w:tcW w:w="870" w:type="dxa"/>
            <w:shd w:val="clear" w:color="auto" w:fill="auto"/>
            <w:noWrap/>
            <w:vAlign w:val="center"/>
          </w:tcPr>
          <w:p w:rsidR="00EF09BB" w:rsidRPr="00C239E1" w:rsidRDefault="00EF09BB" w:rsidP="00FC4A2F">
            <w:pPr>
              <w:jc w:val="right"/>
              <w:rPr>
                <w:sz w:val="16"/>
                <w:szCs w:val="16"/>
              </w:rPr>
            </w:pPr>
            <w:r w:rsidRPr="00C239E1">
              <w:rPr>
                <w:sz w:val="16"/>
                <w:szCs w:val="16"/>
              </w:rPr>
              <w:t>-832</w:t>
            </w:r>
          </w:p>
        </w:tc>
        <w:tc>
          <w:tcPr>
            <w:tcW w:w="801" w:type="dxa"/>
            <w:shd w:val="clear" w:color="auto" w:fill="auto"/>
            <w:noWrap/>
            <w:vAlign w:val="center"/>
          </w:tcPr>
          <w:p w:rsidR="00EF09BB" w:rsidRPr="00C239E1" w:rsidRDefault="00EF09BB" w:rsidP="00FC4A2F">
            <w:pPr>
              <w:jc w:val="right"/>
              <w:rPr>
                <w:sz w:val="16"/>
                <w:szCs w:val="16"/>
              </w:rPr>
            </w:pPr>
            <w:r w:rsidRPr="00C239E1">
              <w:rPr>
                <w:sz w:val="16"/>
                <w:szCs w:val="16"/>
              </w:rPr>
              <w:t>-0.03%</w:t>
            </w:r>
          </w:p>
        </w:tc>
        <w:tc>
          <w:tcPr>
            <w:tcW w:w="870" w:type="dxa"/>
            <w:shd w:val="clear" w:color="auto" w:fill="auto"/>
            <w:noWrap/>
            <w:vAlign w:val="center"/>
          </w:tcPr>
          <w:p w:rsidR="00EF09BB" w:rsidRPr="00C239E1" w:rsidRDefault="00EF09BB" w:rsidP="00FC4A2F">
            <w:pPr>
              <w:jc w:val="right"/>
              <w:rPr>
                <w:sz w:val="16"/>
                <w:szCs w:val="16"/>
              </w:rPr>
            </w:pPr>
            <w:r w:rsidRPr="00C239E1">
              <w:rPr>
                <w:sz w:val="16"/>
                <w:szCs w:val="16"/>
              </w:rPr>
              <w:t>0.60%</w:t>
            </w:r>
          </w:p>
        </w:tc>
      </w:tr>
      <w:tr w:rsidR="00EF09BB" w:rsidRPr="00C239E1" w:rsidTr="00FC4A2F">
        <w:trPr>
          <w:trHeight w:val="255"/>
          <w:jc w:val="right"/>
        </w:trPr>
        <w:tc>
          <w:tcPr>
            <w:tcW w:w="5676" w:type="dxa"/>
            <w:shd w:val="clear" w:color="auto" w:fill="auto"/>
            <w:noWrap/>
            <w:vAlign w:val="center"/>
          </w:tcPr>
          <w:p w:rsidR="00EF09BB" w:rsidRPr="00C239E1" w:rsidRDefault="00EF09BB" w:rsidP="00FC4A2F">
            <w:pPr>
              <w:rPr>
                <w:sz w:val="16"/>
                <w:szCs w:val="16"/>
              </w:rPr>
            </w:pPr>
            <w:r w:rsidRPr="00C239E1">
              <w:rPr>
                <w:sz w:val="16"/>
                <w:szCs w:val="16"/>
              </w:rPr>
              <w:t>Water Transport</w:t>
            </w:r>
          </w:p>
        </w:tc>
        <w:tc>
          <w:tcPr>
            <w:tcW w:w="936" w:type="dxa"/>
            <w:shd w:val="clear" w:color="auto" w:fill="auto"/>
            <w:noWrap/>
            <w:vAlign w:val="center"/>
          </w:tcPr>
          <w:p w:rsidR="00EF09BB" w:rsidRPr="00C239E1" w:rsidRDefault="00EF09BB" w:rsidP="00FC4A2F">
            <w:pPr>
              <w:jc w:val="right"/>
              <w:rPr>
                <w:sz w:val="16"/>
                <w:szCs w:val="16"/>
              </w:rPr>
            </w:pPr>
            <w:r w:rsidRPr="00C239E1">
              <w:rPr>
                <w:sz w:val="16"/>
                <w:szCs w:val="16"/>
              </w:rPr>
              <w:t>239,806</w:t>
            </w:r>
          </w:p>
        </w:tc>
        <w:tc>
          <w:tcPr>
            <w:tcW w:w="870" w:type="dxa"/>
            <w:shd w:val="clear" w:color="auto" w:fill="auto"/>
            <w:noWrap/>
            <w:vAlign w:val="center"/>
          </w:tcPr>
          <w:p w:rsidR="00EF09BB" w:rsidRPr="00C239E1" w:rsidRDefault="00EF09BB" w:rsidP="00FC4A2F">
            <w:pPr>
              <w:jc w:val="right"/>
              <w:rPr>
                <w:sz w:val="16"/>
                <w:szCs w:val="16"/>
              </w:rPr>
            </w:pPr>
            <w:r w:rsidRPr="00C239E1">
              <w:rPr>
                <w:sz w:val="16"/>
                <w:szCs w:val="16"/>
              </w:rPr>
              <w:t>-547</w:t>
            </w:r>
          </w:p>
        </w:tc>
        <w:tc>
          <w:tcPr>
            <w:tcW w:w="801" w:type="dxa"/>
            <w:shd w:val="clear" w:color="auto" w:fill="auto"/>
            <w:noWrap/>
            <w:vAlign w:val="center"/>
          </w:tcPr>
          <w:p w:rsidR="00EF09BB" w:rsidRPr="00C239E1" w:rsidRDefault="00EF09BB" w:rsidP="00FC4A2F">
            <w:pPr>
              <w:jc w:val="right"/>
              <w:rPr>
                <w:sz w:val="16"/>
                <w:szCs w:val="16"/>
              </w:rPr>
            </w:pPr>
            <w:r w:rsidRPr="00C239E1">
              <w:rPr>
                <w:sz w:val="16"/>
                <w:szCs w:val="16"/>
              </w:rPr>
              <w:t>-0.23%</w:t>
            </w:r>
          </w:p>
        </w:tc>
        <w:tc>
          <w:tcPr>
            <w:tcW w:w="870" w:type="dxa"/>
            <w:shd w:val="clear" w:color="auto" w:fill="auto"/>
            <w:noWrap/>
            <w:vAlign w:val="center"/>
          </w:tcPr>
          <w:p w:rsidR="00EF09BB" w:rsidRPr="00C239E1" w:rsidRDefault="00EF09BB" w:rsidP="00FC4A2F">
            <w:pPr>
              <w:jc w:val="right"/>
              <w:rPr>
                <w:sz w:val="16"/>
                <w:szCs w:val="16"/>
              </w:rPr>
            </w:pPr>
            <w:r w:rsidRPr="00C239E1">
              <w:rPr>
                <w:sz w:val="16"/>
                <w:szCs w:val="16"/>
              </w:rPr>
              <w:t>0.39%</w:t>
            </w:r>
          </w:p>
        </w:tc>
      </w:tr>
      <w:tr w:rsidR="00EF09BB" w:rsidRPr="00C239E1" w:rsidTr="00FC4A2F">
        <w:trPr>
          <w:trHeight w:val="255"/>
          <w:jc w:val="right"/>
        </w:trPr>
        <w:tc>
          <w:tcPr>
            <w:tcW w:w="5676" w:type="dxa"/>
            <w:shd w:val="clear" w:color="auto" w:fill="auto"/>
            <w:noWrap/>
            <w:vAlign w:val="center"/>
          </w:tcPr>
          <w:p w:rsidR="00EF09BB" w:rsidRPr="00C239E1" w:rsidRDefault="00EF09BB" w:rsidP="00FC4A2F">
            <w:pPr>
              <w:rPr>
                <w:sz w:val="16"/>
                <w:szCs w:val="16"/>
              </w:rPr>
            </w:pPr>
            <w:r w:rsidRPr="00C239E1">
              <w:rPr>
                <w:sz w:val="16"/>
                <w:szCs w:val="16"/>
              </w:rPr>
              <w:t>Textiles and Textile Products</w:t>
            </w:r>
          </w:p>
        </w:tc>
        <w:tc>
          <w:tcPr>
            <w:tcW w:w="936" w:type="dxa"/>
            <w:shd w:val="clear" w:color="auto" w:fill="auto"/>
            <w:noWrap/>
            <w:vAlign w:val="center"/>
          </w:tcPr>
          <w:p w:rsidR="00EF09BB" w:rsidRPr="00C239E1" w:rsidRDefault="00EF09BB" w:rsidP="00FC4A2F">
            <w:pPr>
              <w:jc w:val="right"/>
              <w:rPr>
                <w:sz w:val="16"/>
                <w:szCs w:val="16"/>
              </w:rPr>
            </w:pPr>
            <w:r w:rsidRPr="00C239E1">
              <w:rPr>
                <w:sz w:val="16"/>
                <w:szCs w:val="16"/>
              </w:rPr>
              <w:t>467,474</w:t>
            </w:r>
          </w:p>
        </w:tc>
        <w:tc>
          <w:tcPr>
            <w:tcW w:w="870" w:type="dxa"/>
            <w:shd w:val="clear" w:color="auto" w:fill="auto"/>
            <w:noWrap/>
            <w:vAlign w:val="center"/>
          </w:tcPr>
          <w:p w:rsidR="00EF09BB" w:rsidRPr="00C239E1" w:rsidRDefault="00EF09BB" w:rsidP="00FC4A2F">
            <w:pPr>
              <w:jc w:val="right"/>
              <w:rPr>
                <w:sz w:val="16"/>
                <w:szCs w:val="16"/>
              </w:rPr>
            </w:pPr>
            <w:r w:rsidRPr="00C239E1">
              <w:rPr>
                <w:sz w:val="16"/>
                <w:szCs w:val="16"/>
              </w:rPr>
              <w:t>-545</w:t>
            </w:r>
          </w:p>
        </w:tc>
        <w:tc>
          <w:tcPr>
            <w:tcW w:w="801" w:type="dxa"/>
            <w:shd w:val="clear" w:color="auto" w:fill="auto"/>
            <w:noWrap/>
            <w:vAlign w:val="center"/>
          </w:tcPr>
          <w:p w:rsidR="00EF09BB" w:rsidRPr="00C239E1" w:rsidRDefault="00EF09BB" w:rsidP="00FC4A2F">
            <w:pPr>
              <w:jc w:val="right"/>
              <w:rPr>
                <w:sz w:val="16"/>
                <w:szCs w:val="16"/>
              </w:rPr>
            </w:pPr>
            <w:r w:rsidRPr="00C239E1">
              <w:rPr>
                <w:sz w:val="16"/>
                <w:szCs w:val="16"/>
              </w:rPr>
              <w:t>-0.12%</w:t>
            </w:r>
          </w:p>
        </w:tc>
        <w:tc>
          <w:tcPr>
            <w:tcW w:w="870" w:type="dxa"/>
            <w:shd w:val="clear" w:color="auto" w:fill="auto"/>
            <w:noWrap/>
            <w:vAlign w:val="center"/>
          </w:tcPr>
          <w:p w:rsidR="00EF09BB" w:rsidRPr="00C239E1" w:rsidRDefault="00EF09BB" w:rsidP="00FC4A2F">
            <w:pPr>
              <w:jc w:val="right"/>
              <w:rPr>
                <w:sz w:val="16"/>
                <w:szCs w:val="16"/>
              </w:rPr>
            </w:pPr>
            <w:r w:rsidRPr="00C239E1">
              <w:rPr>
                <w:sz w:val="16"/>
                <w:szCs w:val="16"/>
              </w:rPr>
              <w:t>0.39%</w:t>
            </w:r>
          </w:p>
        </w:tc>
      </w:tr>
      <w:tr w:rsidR="00EF09BB" w:rsidRPr="00C239E1" w:rsidTr="00FC4A2F">
        <w:trPr>
          <w:trHeight w:val="255"/>
          <w:jc w:val="right"/>
        </w:trPr>
        <w:tc>
          <w:tcPr>
            <w:tcW w:w="5676" w:type="dxa"/>
            <w:shd w:val="clear" w:color="auto" w:fill="auto"/>
            <w:noWrap/>
            <w:vAlign w:val="center"/>
          </w:tcPr>
          <w:p w:rsidR="00EF09BB" w:rsidRPr="00C239E1" w:rsidRDefault="00EF09BB" w:rsidP="00FC4A2F">
            <w:pPr>
              <w:rPr>
                <w:sz w:val="16"/>
                <w:szCs w:val="16"/>
              </w:rPr>
            </w:pPr>
            <w:r w:rsidRPr="00C239E1">
              <w:rPr>
                <w:sz w:val="16"/>
                <w:szCs w:val="16"/>
              </w:rPr>
              <w:t>Food, Beverages and Tobacco</w:t>
            </w:r>
          </w:p>
        </w:tc>
        <w:tc>
          <w:tcPr>
            <w:tcW w:w="936" w:type="dxa"/>
            <w:shd w:val="clear" w:color="auto" w:fill="auto"/>
            <w:noWrap/>
            <w:vAlign w:val="center"/>
          </w:tcPr>
          <w:p w:rsidR="00EF09BB" w:rsidRPr="00C239E1" w:rsidRDefault="00EF09BB" w:rsidP="00FC4A2F">
            <w:pPr>
              <w:jc w:val="right"/>
              <w:rPr>
                <w:sz w:val="16"/>
                <w:szCs w:val="16"/>
              </w:rPr>
            </w:pPr>
            <w:r w:rsidRPr="00C239E1">
              <w:rPr>
                <w:sz w:val="16"/>
                <w:szCs w:val="16"/>
              </w:rPr>
              <w:t>1,441,129</w:t>
            </w:r>
          </w:p>
        </w:tc>
        <w:tc>
          <w:tcPr>
            <w:tcW w:w="870" w:type="dxa"/>
            <w:shd w:val="clear" w:color="auto" w:fill="auto"/>
            <w:noWrap/>
            <w:vAlign w:val="center"/>
          </w:tcPr>
          <w:p w:rsidR="00EF09BB" w:rsidRPr="00C239E1" w:rsidRDefault="00EF09BB" w:rsidP="00FC4A2F">
            <w:pPr>
              <w:jc w:val="right"/>
              <w:rPr>
                <w:sz w:val="16"/>
                <w:szCs w:val="16"/>
              </w:rPr>
            </w:pPr>
            <w:r w:rsidRPr="00C239E1">
              <w:rPr>
                <w:sz w:val="16"/>
                <w:szCs w:val="16"/>
              </w:rPr>
              <w:t>-511</w:t>
            </w:r>
          </w:p>
        </w:tc>
        <w:tc>
          <w:tcPr>
            <w:tcW w:w="801" w:type="dxa"/>
            <w:shd w:val="clear" w:color="auto" w:fill="auto"/>
            <w:noWrap/>
            <w:vAlign w:val="center"/>
          </w:tcPr>
          <w:p w:rsidR="00EF09BB" w:rsidRPr="00C239E1" w:rsidRDefault="00EF09BB" w:rsidP="00FC4A2F">
            <w:pPr>
              <w:jc w:val="right"/>
              <w:rPr>
                <w:sz w:val="16"/>
                <w:szCs w:val="16"/>
              </w:rPr>
            </w:pPr>
            <w:r w:rsidRPr="00C239E1">
              <w:rPr>
                <w:sz w:val="16"/>
                <w:szCs w:val="16"/>
              </w:rPr>
              <w:t>-0.04%</w:t>
            </w:r>
          </w:p>
        </w:tc>
        <w:tc>
          <w:tcPr>
            <w:tcW w:w="870" w:type="dxa"/>
            <w:shd w:val="clear" w:color="auto" w:fill="auto"/>
            <w:noWrap/>
            <w:vAlign w:val="center"/>
          </w:tcPr>
          <w:p w:rsidR="00EF09BB" w:rsidRPr="00C239E1" w:rsidRDefault="00EF09BB" w:rsidP="00FC4A2F">
            <w:pPr>
              <w:jc w:val="right"/>
              <w:rPr>
                <w:sz w:val="16"/>
                <w:szCs w:val="16"/>
              </w:rPr>
            </w:pPr>
            <w:r w:rsidRPr="00C239E1">
              <w:rPr>
                <w:sz w:val="16"/>
                <w:szCs w:val="16"/>
              </w:rPr>
              <w:t>0.37%</w:t>
            </w:r>
          </w:p>
        </w:tc>
      </w:tr>
      <w:tr w:rsidR="00EF09BB" w:rsidRPr="00C239E1" w:rsidTr="00FC4A2F">
        <w:trPr>
          <w:trHeight w:val="255"/>
          <w:jc w:val="right"/>
        </w:trPr>
        <w:tc>
          <w:tcPr>
            <w:tcW w:w="5676" w:type="dxa"/>
            <w:shd w:val="clear" w:color="auto" w:fill="auto"/>
            <w:noWrap/>
            <w:vAlign w:val="center"/>
          </w:tcPr>
          <w:p w:rsidR="00EF09BB" w:rsidRPr="00C239E1" w:rsidRDefault="00EF09BB" w:rsidP="00FC4A2F">
            <w:pPr>
              <w:rPr>
                <w:sz w:val="16"/>
                <w:szCs w:val="16"/>
              </w:rPr>
            </w:pPr>
            <w:r w:rsidRPr="00C239E1">
              <w:rPr>
                <w:sz w:val="16"/>
                <w:szCs w:val="16"/>
              </w:rPr>
              <w:t>Public Admin and Defence; Compulsory Social Security</w:t>
            </w:r>
          </w:p>
        </w:tc>
        <w:tc>
          <w:tcPr>
            <w:tcW w:w="936" w:type="dxa"/>
            <w:shd w:val="clear" w:color="auto" w:fill="auto"/>
            <w:noWrap/>
            <w:vAlign w:val="center"/>
          </w:tcPr>
          <w:p w:rsidR="00EF09BB" w:rsidRPr="00C239E1" w:rsidRDefault="00EF09BB" w:rsidP="00FC4A2F">
            <w:pPr>
              <w:jc w:val="right"/>
              <w:rPr>
                <w:sz w:val="16"/>
                <w:szCs w:val="16"/>
              </w:rPr>
            </w:pPr>
            <w:r w:rsidRPr="00C239E1">
              <w:rPr>
                <w:sz w:val="16"/>
                <w:szCs w:val="16"/>
              </w:rPr>
              <w:t>4,637,264</w:t>
            </w:r>
          </w:p>
        </w:tc>
        <w:tc>
          <w:tcPr>
            <w:tcW w:w="870" w:type="dxa"/>
            <w:shd w:val="clear" w:color="auto" w:fill="auto"/>
            <w:noWrap/>
            <w:vAlign w:val="center"/>
          </w:tcPr>
          <w:p w:rsidR="00EF09BB" w:rsidRPr="00C239E1" w:rsidRDefault="00EF09BB" w:rsidP="00FC4A2F">
            <w:pPr>
              <w:jc w:val="right"/>
              <w:rPr>
                <w:sz w:val="16"/>
                <w:szCs w:val="16"/>
              </w:rPr>
            </w:pPr>
            <w:r w:rsidRPr="00C239E1">
              <w:rPr>
                <w:sz w:val="16"/>
                <w:szCs w:val="16"/>
              </w:rPr>
              <w:t>-497</w:t>
            </w:r>
          </w:p>
        </w:tc>
        <w:tc>
          <w:tcPr>
            <w:tcW w:w="801" w:type="dxa"/>
            <w:shd w:val="clear" w:color="auto" w:fill="auto"/>
            <w:noWrap/>
            <w:vAlign w:val="center"/>
          </w:tcPr>
          <w:p w:rsidR="00EF09BB" w:rsidRPr="00C239E1" w:rsidRDefault="00EF09BB" w:rsidP="00FC4A2F">
            <w:pPr>
              <w:jc w:val="right"/>
              <w:rPr>
                <w:sz w:val="16"/>
                <w:szCs w:val="16"/>
              </w:rPr>
            </w:pPr>
            <w:r w:rsidRPr="00C239E1">
              <w:rPr>
                <w:sz w:val="16"/>
                <w:szCs w:val="16"/>
              </w:rPr>
              <w:t>-0.01%</w:t>
            </w:r>
          </w:p>
        </w:tc>
        <w:tc>
          <w:tcPr>
            <w:tcW w:w="870" w:type="dxa"/>
            <w:shd w:val="clear" w:color="auto" w:fill="auto"/>
            <w:noWrap/>
            <w:vAlign w:val="center"/>
          </w:tcPr>
          <w:p w:rsidR="00EF09BB" w:rsidRPr="00C239E1" w:rsidRDefault="00EF09BB" w:rsidP="00FC4A2F">
            <w:pPr>
              <w:jc w:val="right"/>
              <w:rPr>
                <w:sz w:val="16"/>
                <w:szCs w:val="16"/>
              </w:rPr>
            </w:pPr>
            <w:r w:rsidRPr="00C239E1">
              <w:rPr>
                <w:sz w:val="16"/>
                <w:szCs w:val="16"/>
              </w:rPr>
              <w:t>0.36%</w:t>
            </w:r>
          </w:p>
        </w:tc>
      </w:tr>
      <w:tr w:rsidR="00EF09BB" w:rsidRPr="00C239E1" w:rsidTr="00FC4A2F">
        <w:trPr>
          <w:trHeight w:val="255"/>
          <w:jc w:val="right"/>
        </w:trPr>
        <w:tc>
          <w:tcPr>
            <w:tcW w:w="5676" w:type="dxa"/>
            <w:shd w:val="clear" w:color="auto" w:fill="auto"/>
            <w:noWrap/>
            <w:vAlign w:val="center"/>
          </w:tcPr>
          <w:p w:rsidR="00EF09BB" w:rsidRPr="00C239E1" w:rsidRDefault="00EF09BB" w:rsidP="00FC4A2F">
            <w:pPr>
              <w:rPr>
                <w:sz w:val="16"/>
                <w:szCs w:val="16"/>
              </w:rPr>
            </w:pPr>
            <w:r w:rsidRPr="00C239E1">
              <w:rPr>
                <w:sz w:val="16"/>
                <w:szCs w:val="16"/>
              </w:rPr>
              <w:t>Manufacturing, Nec; Recycling</w:t>
            </w:r>
          </w:p>
        </w:tc>
        <w:tc>
          <w:tcPr>
            <w:tcW w:w="936" w:type="dxa"/>
            <w:shd w:val="clear" w:color="auto" w:fill="auto"/>
            <w:noWrap/>
            <w:vAlign w:val="center"/>
          </w:tcPr>
          <w:p w:rsidR="00EF09BB" w:rsidRPr="00C239E1" w:rsidRDefault="00EF09BB" w:rsidP="00FC4A2F">
            <w:pPr>
              <w:jc w:val="right"/>
              <w:rPr>
                <w:sz w:val="16"/>
                <w:szCs w:val="16"/>
              </w:rPr>
            </w:pPr>
            <w:r w:rsidRPr="00C239E1">
              <w:rPr>
                <w:sz w:val="16"/>
                <w:szCs w:val="16"/>
              </w:rPr>
              <w:t>309,346</w:t>
            </w:r>
          </w:p>
        </w:tc>
        <w:tc>
          <w:tcPr>
            <w:tcW w:w="870" w:type="dxa"/>
            <w:shd w:val="clear" w:color="auto" w:fill="auto"/>
            <w:noWrap/>
            <w:vAlign w:val="center"/>
          </w:tcPr>
          <w:p w:rsidR="00EF09BB" w:rsidRPr="00C239E1" w:rsidRDefault="00EF09BB" w:rsidP="00FC4A2F">
            <w:pPr>
              <w:jc w:val="right"/>
              <w:rPr>
                <w:sz w:val="16"/>
                <w:szCs w:val="16"/>
              </w:rPr>
            </w:pPr>
            <w:r w:rsidRPr="00C239E1">
              <w:rPr>
                <w:sz w:val="16"/>
                <w:szCs w:val="16"/>
              </w:rPr>
              <w:t>-480</w:t>
            </w:r>
          </w:p>
        </w:tc>
        <w:tc>
          <w:tcPr>
            <w:tcW w:w="801" w:type="dxa"/>
            <w:shd w:val="clear" w:color="auto" w:fill="auto"/>
            <w:noWrap/>
            <w:vAlign w:val="center"/>
          </w:tcPr>
          <w:p w:rsidR="00EF09BB" w:rsidRPr="00C239E1" w:rsidRDefault="00EF09BB" w:rsidP="00FC4A2F">
            <w:pPr>
              <w:jc w:val="right"/>
              <w:rPr>
                <w:sz w:val="16"/>
                <w:szCs w:val="16"/>
              </w:rPr>
            </w:pPr>
            <w:r w:rsidRPr="00C239E1">
              <w:rPr>
                <w:sz w:val="16"/>
                <w:szCs w:val="16"/>
              </w:rPr>
              <w:t>-0.16%</w:t>
            </w:r>
          </w:p>
        </w:tc>
        <w:tc>
          <w:tcPr>
            <w:tcW w:w="870" w:type="dxa"/>
            <w:shd w:val="clear" w:color="auto" w:fill="auto"/>
            <w:noWrap/>
            <w:vAlign w:val="center"/>
          </w:tcPr>
          <w:p w:rsidR="00EF09BB" w:rsidRPr="00C239E1" w:rsidRDefault="00EF09BB" w:rsidP="00FC4A2F">
            <w:pPr>
              <w:jc w:val="right"/>
              <w:rPr>
                <w:sz w:val="16"/>
                <w:szCs w:val="16"/>
              </w:rPr>
            </w:pPr>
            <w:r w:rsidRPr="00C239E1">
              <w:rPr>
                <w:sz w:val="16"/>
                <w:szCs w:val="16"/>
              </w:rPr>
              <w:t>0.35%</w:t>
            </w:r>
          </w:p>
        </w:tc>
      </w:tr>
      <w:tr w:rsidR="00EF09BB" w:rsidRPr="00C239E1" w:rsidTr="00FC4A2F">
        <w:trPr>
          <w:trHeight w:val="255"/>
          <w:jc w:val="right"/>
        </w:trPr>
        <w:tc>
          <w:tcPr>
            <w:tcW w:w="5676" w:type="dxa"/>
            <w:shd w:val="clear" w:color="auto" w:fill="auto"/>
            <w:noWrap/>
            <w:vAlign w:val="center"/>
          </w:tcPr>
          <w:p w:rsidR="00EF09BB" w:rsidRPr="00C239E1" w:rsidRDefault="00EF09BB" w:rsidP="00FC4A2F">
            <w:pPr>
              <w:rPr>
                <w:sz w:val="16"/>
                <w:szCs w:val="16"/>
              </w:rPr>
            </w:pPr>
            <w:r w:rsidRPr="00C239E1">
              <w:rPr>
                <w:sz w:val="16"/>
                <w:szCs w:val="16"/>
              </w:rPr>
              <w:t>Wood and Products of Wood and Cork</w:t>
            </w:r>
          </w:p>
        </w:tc>
        <w:tc>
          <w:tcPr>
            <w:tcW w:w="936" w:type="dxa"/>
            <w:shd w:val="clear" w:color="auto" w:fill="auto"/>
            <w:noWrap/>
            <w:vAlign w:val="center"/>
          </w:tcPr>
          <w:p w:rsidR="00EF09BB" w:rsidRPr="00C239E1" w:rsidRDefault="00EF09BB" w:rsidP="00FC4A2F">
            <w:pPr>
              <w:jc w:val="right"/>
              <w:rPr>
                <w:sz w:val="16"/>
                <w:szCs w:val="16"/>
              </w:rPr>
            </w:pPr>
            <w:r w:rsidRPr="00C239E1">
              <w:rPr>
                <w:sz w:val="16"/>
                <w:szCs w:val="16"/>
              </w:rPr>
              <w:t>205,928</w:t>
            </w:r>
          </w:p>
        </w:tc>
        <w:tc>
          <w:tcPr>
            <w:tcW w:w="870" w:type="dxa"/>
            <w:shd w:val="clear" w:color="auto" w:fill="auto"/>
            <w:noWrap/>
            <w:vAlign w:val="center"/>
          </w:tcPr>
          <w:p w:rsidR="00EF09BB" w:rsidRPr="00C239E1" w:rsidRDefault="00EF09BB" w:rsidP="00FC4A2F">
            <w:pPr>
              <w:jc w:val="right"/>
              <w:rPr>
                <w:sz w:val="16"/>
                <w:szCs w:val="16"/>
              </w:rPr>
            </w:pPr>
            <w:r w:rsidRPr="00C239E1">
              <w:rPr>
                <w:sz w:val="16"/>
                <w:szCs w:val="16"/>
              </w:rPr>
              <w:t>-388</w:t>
            </w:r>
          </w:p>
        </w:tc>
        <w:tc>
          <w:tcPr>
            <w:tcW w:w="801" w:type="dxa"/>
            <w:shd w:val="clear" w:color="auto" w:fill="auto"/>
            <w:noWrap/>
            <w:vAlign w:val="center"/>
          </w:tcPr>
          <w:p w:rsidR="00EF09BB" w:rsidRPr="00C239E1" w:rsidRDefault="00EF09BB" w:rsidP="00FC4A2F">
            <w:pPr>
              <w:jc w:val="right"/>
              <w:rPr>
                <w:sz w:val="16"/>
                <w:szCs w:val="16"/>
              </w:rPr>
            </w:pPr>
            <w:r w:rsidRPr="00C239E1">
              <w:rPr>
                <w:sz w:val="16"/>
                <w:szCs w:val="16"/>
              </w:rPr>
              <w:t>-0.19%</w:t>
            </w:r>
          </w:p>
        </w:tc>
        <w:tc>
          <w:tcPr>
            <w:tcW w:w="870" w:type="dxa"/>
            <w:shd w:val="clear" w:color="auto" w:fill="auto"/>
            <w:noWrap/>
            <w:vAlign w:val="center"/>
          </w:tcPr>
          <w:p w:rsidR="00EF09BB" w:rsidRPr="00C239E1" w:rsidRDefault="00EF09BB" w:rsidP="00FC4A2F">
            <w:pPr>
              <w:jc w:val="right"/>
              <w:rPr>
                <w:sz w:val="16"/>
                <w:szCs w:val="16"/>
              </w:rPr>
            </w:pPr>
            <w:r w:rsidRPr="00C239E1">
              <w:rPr>
                <w:sz w:val="16"/>
                <w:szCs w:val="16"/>
              </w:rPr>
              <w:t>0.28%</w:t>
            </w:r>
          </w:p>
        </w:tc>
      </w:tr>
      <w:tr w:rsidR="00EF09BB" w:rsidRPr="00C239E1" w:rsidTr="00FC4A2F">
        <w:trPr>
          <w:trHeight w:val="255"/>
          <w:jc w:val="right"/>
        </w:trPr>
        <w:tc>
          <w:tcPr>
            <w:tcW w:w="5676" w:type="dxa"/>
            <w:shd w:val="clear" w:color="auto" w:fill="auto"/>
            <w:noWrap/>
            <w:vAlign w:val="center"/>
          </w:tcPr>
          <w:p w:rsidR="00EF09BB" w:rsidRPr="00C239E1" w:rsidRDefault="00EF09BB" w:rsidP="00FC4A2F">
            <w:pPr>
              <w:rPr>
                <w:sz w:val="16"/>
                <w:szCs w:val="16"/>
              </w:rPr>
            </w:pPr>
            <w:r w:rsidRPr="00C239E1">
              <w:rPr>
                <w:sz w:val="16"/>
                <w:szCs w:val="16"/>
              </w:rPr>
              <w:t>Air Transport</w:t>
            </w:r>
          </w:p>
        </w:tc>
        <w:tc>
          <w:tcPr>
            <w:tcW w:w="936" w:type="dxa"/>
            <w:shd w:val="clear" w:color="auto" w:fill="auto"/>
            <w:noWrap/>
            <w:vAlign w:val="center"/>
          </w:tcPr>
          <w:p w:rsidR="00EF09BB" w:rsidRPr="00C239E1" w:rsidRDefault="00EF09BB" w:rsidP="00FC4A2F">
            <w:pPr>
              <w:jc w:val="right"/>
              <w:rPr>
                <w:sz w:val="16"/>
                <w:szCs w:val="16"/>
              </w:rPr>
            </w:pPr>
            <w:r w:rsidRPr="00C239E1">
              <w:rPr>
                <w:sz w:val="16"/>
                <w:szCs w:val="16"/>
              </w:rPr>
              <w:t>196,637</w:t>
            </w:r>
          </w:p>
        </w:tc>
        <w:tc>
          <w:tcPr>
            <w:tcW w:w="870" w:type="dxa"/>
            <w:shd w:val="clear" w:color="auto" w:fill="auto"/>
            <w:noWrap/>
            <w:vAlign w:val="center"/>
          </w:tcPr>
          <w:p w:rsidR="00EF09BB" w:rsidRPr="00C239E1" w:rsidRDefault="00EF09BB" w:rsidP="00FC4A2F">
            <w:pPr>
              <w:jc w:val="right"/>
              <w:rPr>
                <w:sz w:val="16"/>
                <w:szCs w:val="16"/>
              </w:rPr>
            </w:pPr>
            <w:r w:rsidRPr="00C239E1">
              <w:rPr>
                <w:sz w:val="16"/>
                <w:szCs w:val="16"/>
              </w:rPr>
              <w:t>-210</w:t>
            </w:r>
          </w:p>
        </w:tc>
        <w:tc>
          <w:tcPr>
            <w:tcW w:w="801" w:type="dxa"/>
            <w:shd w:val="clear" w:color="auto" w:fill="auto"/>
            <w:noWrap/>
            <w:vAlign w:val="center"/>
          </w:tcPr>
          <w:p w:rsidR="00EF09BB" w:rsidRPr="00C239E1" w:rsidRDefault="00EF09BB" w:rsidP="00FC4A2F">
            <w:pPr>
              <w:jc w:val="right"/>
              <w:rPr>
                <w:sz w:val="16"/>
                <w:szCs w:val="16"/>
              </w:rPr>
            </w:pPr>
            <w:r w:rsidRPr="00C239E1">
              <w:rPr>
                <w:sz w:val="16"/>
                <w:szCs w:val="16"/>
              </w:rPr>
              <w:t>-0.11%</w:t>
            </w:r>
          </w:p>
        </w:tc>
        <w:tc>
          <w:tcPr>
            <w:tcW w:w="870" w:type="dxa"/>
            <w:shd w:val="clear" w:color="auto" w:fill="auto"/>
            <w:noWrap/>
            <w:vAlign w:val="center"/>
          </w:tcPr>
          <w:p w:rsidR="00EF09BB" w:rsidRPr="00C239E1" w:rsidRDefault="00EF09BB" w:rsidP="00FC4A2F">
            <w:pPr>
              <w:jc w:val="right"/>
              <w:rPr>
                <w:sz w:val="16"/>
                <w:szCs w:val="16"/>
              </w:rPr>
            </w:pPr>
            <w:r w:rsidRPr="00C239E1">
              <w:rPr>
                <w:sz w:val="16"/>
                <w:szCs w:val="16"/>
              </w:rPr>
              <w:t>0.15%</w:t>
            </w:r>
          </w:p>
        </w:tc>
      </w:tr>
      <w:tr w:rsidR="00EF09BB" w:rsidRPr="00C239E1" w:rsidTr="00FC4A2F">
        <w:trPr>
          <w:trHeight w:val="255"/>
          <w:jc w:val="right"/>
        </w:trPr>
        <w:tc>
          <w:tcPr>
            <w:tcW w:w="5676" w:type="dxa"/>
            <w:shd w:val="clear" w:color="auto" w:fill="auto"/>
            <w:noWrap/>
            <w:vAlign w:val="center"/>
          </w:tcPr>
          <w:p w:rsidR="00EF09BB" w:rsidRPr="00C239E1" w:rsidRDefault="00EF09BB" w:rsidP="00FC4A2F">
            <w:pPr>
              <w:rPr>
                <w:sz w:val="16"/>
                <w:szCs w:val="16"/>
              </w:rPr>
            </w:pPr>
            <w:r w:rsidRPr="00C239E1">
              <w:rPr>
                <w:sz w:val="16"/>
                <w:szCs w:val="16"/>
              </w:rPr>
              <w:t>Education</w:t>
            </w:r>
          </w:p>
        </w:tc>
        <w:tc>
          <w:tcPr>
            <w:tcW w:w="936" w:type="dxa"/>
            <w:shd w:val="clear" w:color="auto" w:fill="auto"/>
            <w:noWrap/>
            <w:vAlign w:val="center"/>
          </w:tcPr>
          <w:p w:rsidR="00EF09BB" w:rsidRPr="00C239E1" w:rsidRDefault="00EF09BB" w:rsidP="00FC4A2F">
            <w:pPr>
              <w:jc w:val="right"/>
              <w:rPr>
                <w:sz w:val="16"/>
                <w:szCs w:val="16"/>
              </w:rPr>
            </w:pPr>
            <w:r w:rsidRPr="00C239E1">
              <w:rPr>
                <w:sz w:val="16"/>
                <w:szCs w:val="16"/>
              </w:rPr>
              <w:t>2,098,457</w:t>
            </w:r>
          </w:p>
        </w:tc>
        <w:tc>
          <w:tcPr>
            <w:tcW w:w="870" w:type="dxa"/>
            <w:shd w:val="clear" w:color="auto" w:fill="auto"/>
            <w:noWrap/>
            <w:vAlign w:val="center"/>
          </w:tcPr>
          <w:p w:rsidR="00EF09BB" w:rsidRPr="00C239E1" w:rsidRDefault="00EF09BB" w:rsidP="00FC4A2F">
            <w:pPr>
              <w:jc w:val="right"/>
              <w:rPr>
                <w:sz w:val="16"/>
                <w:szCs w:val="16"/>
              </w:rPr>
            </w:pPr>
            <w:r w:rsidRPr="00C239E1">
              <w:rPr>
                <w:sz w:val="16"/>
                <w:szCs w:val="16"/>
              </w:rPr>
              <w:t>-201</w:t>
            </w:r>
          </w:p>
        </w:tc>
        <w:tc>
          <w:tcPr>
            <w:tcW w:w="801" w:type="dxa"/>
            <w:shd w:val="clear" w:color="auto" w:fill="auto"/>
            <w:noWrap/>
            <w:vAlign w:val="center"/>
          </w:tcPr>
          <w:p w:rsidR="00EF09BB" w:rsidRPr="00C239E1" w:rsidRDefault="00EF09BB" w:rsidP="00FC4A2F">
            <w:pPr>
              <w:jc w:val="right"/>
              <w:rPr>
                <w:sz w:val="16"/>
                <w:szCs w:val="16"/>
              </w:rPr>
            </w:pPr>
            <w:r w:rsidRPr="00C239E1">
              <w:rPr>
                <w:sz w:val="16"/>
                <w:szCs w:val="16"/>
              </w:rPr>
              <w:t>-0.01%</w:t>
            </w:r>
          </w:p>
        </w:tc>
        <w:tc>
          <w:tcPr>
            <w:tcW w:w="870" w:type="dxa"/>
            <w:shd w:val="clear" w:color="auto" w:fill="auto"/>
            <w:noWrap/>
            <w:vAlign w:val="center"/>
          </w:tcPr>
          <w:p w:rsidR="00EF09BB" w:rsidRPr="00C239E1" w:rsidRDefault="00EF09BB" w:rsidP="00FC4A2F">
            <w:pPr>
              <w:jc w:val="right"/>
              <w:rPr>
                <w:sz w:val="16"/>
                <w:szCs w:val="16"/>
              </w:rPr>
            </w:pPr>
            <w:r w:rsidRPr="00C239E1">
              <w:rPr>
                <w:sz w:val="16"/>
                <w:szCs w:val="16"/>
              </w:rPr>
              <w:t>0.14%</w:t>
            </w:r>
          </w:p>
        </w:tc>
      </w:tr>
      <w:tr w:rsidR="00EF09BB" w:rsidRPr="00C239E1" w:rsidTr="00FC4A2F">
        <w:trPr>
          <w:trHeight w:val="255"/>
          <w:jc w:val="right"/>
        </w:trPr>
        <w:tc>
          <w:tcPr>
            <w:tcW w:w="5676" w:type="dxa"/>
            <w:shd w:val="clear" w:color="auto" w:fill="auto"/>
            <w:noWrap/>
            <w:vAlign w:val="center"/>
          </w:tcPr>
          <w:p w:rsidR="00EF09BB" w:rsidRPr="00C239E1" w:rsidRDefault="00EF09BB" w:rsidP="00FC4A2F">
            <w:pPr>
              <w:rPr>
                <w:sz w:val="16"/>
                <w:szCs w:val="16"/>
              </w:rPr>
            </w:pPr>
            <w:r w:rsidRPr="00C239E1">
              <w:rPr>
                <w:sz w:val="16"/>
                <w:szCs w:val="16"/>
              </w:rPr>
              <w:t>Health and Social Work</w:t>
            </w:r>
          </w:p>
        </w:tc>
        <w:tc>
          <w:tcPr>
            <w:tcW w:w="936" w:type="dxa"/>
            <w:shd w:val="clear" w:color="auto" w:fill="auto"/>
            <w:noWrap/>
            <w:vAlign w:val="center"/>
          </w:tcPr>
          <w:p w:rsidR="00EF09BB" w:rsidRPr="00C239E1" w:rsidRDefault="00EF09BB" w:rsidP="00FC4A2F">
            <w:pPr>
              <w:jc w:val="right"/>
              <w:rPr>
                <w:sz w:val="16"/>
                <w:szCs w:val="16"/>
              </w:rPr>
            </w:pPr>
            <w:r w:rsidRPr="00C239E1">
              <w:rPr>
                <w:sz w:val="16"/>
                <w:szCs w:val="16"/>
              </w:rPr>
              <w:t>3,188,723</w:t>
            </w:r>
          </w:p>
        </w:tc>
        <w:tc>
          <w:tcPr>
            <w:tcW w:w="870" w:type="dxa"/>
            <w:shd w:val="clear" w:color="auto" w:fill="auto"/>
            <w:noWrap/>
            <w:vAlign w:val="center"/>
          </w:tcPr>
          <w:p w:rsidR="00EF09BB" w:rsidRPr="00C239E1" w:rsidRDefault="00EF09BB" w:rsidP="00FC4A2F">
            <w:pPr>
              <w:jc w:val="right"/>
              <w:rPr>
                <w:sz w:val="16"/>
                <w:szCs w:val="16"/>
              </w:rPr>
            </w:pPr>
            <w:r w:rsidRPr="00C239E1">
              <w:rPr>
                <w:sz w:val="16"/>
                <w:szCs w:val="16"/>
              </w:rPr>
              <w:t>-170</w:t>
            </w:r>
          </w:p>
        </w:tc>
        <w:tc>
          <w:tcPr>
            <w:tcW w:w="801" w:type="dxa"/>
            <w:shd w:val="clear" w:color="auto" w:fill="auto"/>
            <w:noWrap/>
            <w:vAlign w:val="center"/>
          </w:tcPr>
          <w:p w:rsidR="00EF09BB" w:rsidRPr="00C239E1" w:rsidRDefault="00EF09BB" w:rsidP="00FC4A2F">
            <w:pPr>
              <w:jc w:val="right"/>
              <w:rPr>
                <w:sz w:val="16"/>
                <w:szCs w:val="16"/>
              </w:rPr>
            </w:pPr>
            <w:r w:rsidRPr="00C239E1">
              <w:rPr>
                <w:sz w:val="16"/>
                <w:szCs w:val="16"/>
              </w:rPr>
              <w:t>-0.01%</w:t>
            </w:r>
          </w:p>
        </w:tc>
        <w:tc>
          <w:tcPr>
            <w:tcW w:w="870" w:type="dxa"/>
            <w:shd w:val="clear" w:color="auto" w:fill="auto"/>
            <w:noWrap/>
            <w:vAlign w:val="center"/>
          </w:tcPr>
          <w:p w:rsidR="00EF09BB" w:rsidRPr="00C239E1" w:rsidRDefault="00EF09BB" w:rsidP="00FC4A2F">
            <w:pPr>
              <w:jc w:val="right"/>
              <w:rPr>
                <w:sz w:val="16"/>
                <w:szCs w:val="16"/>
              </w:rPr>
            </w:pPr>
            <w:r w:rsidRPr="00C239E1">
              <w:rPr>
                <w:sz w:val="16"/>
                <w:szCs w:val="16"/>
              </w:rPr>
              <w:t>0.12%</w:t>
            </w:r>
          </w:p>
        </w:tc>
      </w:tr>
      <w:tr w:rsidR="00EF09BB" w:rsidRPr="00C239E1" w:rsidTr="00FC4A2F">
        <w:trPr>
          <w:trHeight w:val="255"/>
          <w:jc w:val="right"/>
        </w:trPr>
        <w:tc>
          <w:tcPr>
            <w:tcW w:w="5676" w:type="dxa"/>
            <w:shd w:val="clear" w:color="auto" w:fill="auto"/>
            <w:noWrap/>
            <w:vAlign w:val="center"/>
          </w:tcPr>
          <w:p w:rsidR="00EF09BB" w:rsidRPr="00C239E1" w:rsidRDefault="00EF09BB" w:rsidP="00FC4A2F">
            <w:pPr>
              <w:rPr>
                <w:sz w:val="16"/>
                <w:szCs w:val="16"/>
              </w:rPr>
            </w:pPr>
            <w:r w:rsidRPr="00C239E1">
              <w:rPr>
                <w:sz w:val="16"/>
                <w:szCs w:val="16"/>
              </w:rPr>
              <w:t>Leather, Leather and Footwear</w:t>
            </w:r>
          </w:p>
        </w:tc>
        <w:tc>
          <w:tcPr>
            <w:tcW w:w="936" w:type="dxa"/>
            <w:shd w:val="clear" w:color="auto" w:fill="auto"/>
            <w:noWrap/>
            <w:vAlign w:val="center"/>
          </w:tcPr>
          <w:p w:rsidR="00EF09BB" w:rsidRPr="00C239E1" w:rsidRDefault="00EF09BB" w:rsidP="00FC4A2F">
            <w:pPr>
              <w:jc w:val="right"/>
              <w:rPr>
                <w:sz w:val="16"/>
                <w:szCs w:val="16"/>
              </w:rPr>
            </w:pPr>
            <w:r w:rsidRPr="00C239E1">
              <w:rPr>
                <w:sz w:val="16"/>
                <w:szCs w:val="16"/>
              </w:rPr>
              <w:t>82,308</w:t>
            </w:r>
          </w:p>
        </w:tc>
        <w:tc>
          <w:tcPr>
            <w:tcW w:w="870" w:type="dxa"/>
            <w:shd w:val="clear" w:color="auto" w:fill="auto"/>
            <w:noWrap/>
            <w:vAlign w:val="center"/>
          </w:tcPr>
          <w:p w:rsidR="00EF09BB" w:rsidRPr="00C239E1" w:rsidRDefault="00EF09BB" w:rsidP="00FC4A2F">
            <w:pPr>
              <w:jc w:val="right"/>
              <w:rPr>
                <w:sz w:val="16"/>
                <w:szCs w:val="16"/>
              </w:rPr>
            </w:pPr>
            <w:r w:rsidRPr="00C239E1">
              <w:rPr>
                <w:sz w:val="16"/>
                <w:szCs w:val="16"/>
              </w:rPr>
              <w:t>-119</w:t>
            </w:r>
          </w:p>
        </w:tc>
        <w:tc>
          <w:tcPr>
            <w:tcW w:w="801" w:type="dxa"/>
            <w:shd w:val="clear" w:color="auto" w:fill="auto"/>
            <w:noWrap/>
            <w:vAlign w:val="center"/>
          </w:tcPr>
          <w:p w:rsidR="00EF09BB" w:rsidRPr="00C239E1" w:rsidRDefault="00EF09BB" w:rsidP="00FC4A2F">
            <w:pPr>
              <w:jc w:val="right"/>
              <w:rPr>
                <w:sz w:val="16"/>
                <w:szCs w:val="16"/>
              </w:rPr>
            </w:pPr>
            <w:r w:rsidRPr="00C239E1">
              <w:rPr>
                <w:sz w:val="16"/>
                <w:szCs w:val="16"/>
              </w:rPr>
              <w:t>-0.14%</w:t>
            </w:r>
          </w:p>
        </w:tc>
        <w:tc>
          <w:tcPr>
            <w:tcW w:w="870" w:type="dxa"/>
            <w:shd w:val="clear" w:color="auto" w:fill="auto"/>
            <w:noWrap/>
            <w:vAlign w:val="center"/>
          </w:tcPr>
          <w:p w:rsidR="00EF09BB" w:rsidRPr="00C239E1" w:rsidRDefault="00EF09BB" w:rsidP="00FC4A2F">
            <w:pPr>
              <w:jc w:val="right"/>
              <w:rPr>
                <w:sz w:val="16"/>
                <w:szCs w:val="16"/>
              </w:rPr>
            </w:pPr>
            <w:r w:rsidRPr="00C239E1">
              <w:rPr>
                <w:sz w:val="16"/>
                <w:szCs w:val="16"/>
              </w:rPr>
              <w:t>0.09%</w:t>
            </w:r>
          </w:p>
        </w:tc>
      </w:tr>
      <w:tr w:rsidR="00EF09BB" w:rsidRPr="00C239E1" w:rsidTr="00FC4A2F">
        <w:trPr>
          <w:trHeight w:val="255"/>
          <w:jc w:val="right"/>
        </w:trPr>
        <w:tc>
          <w:tcPr>
            <w:tcW w:w="5676" w:type="dxa"/>
            <w:shd w:val="clear" w:color="auto" w:fill="auto"/>
            <w:noWrap/>
            <w:vAlign w:val="center"/>
          </w:tcPr>
          <w:p w:rsidR="00EF09BB" w:rsidRPr="00C239E1" w:rsidRDefault="00EF09BB" w:rsidP="00FC4A2F">
            <w:pPr>
              <w:rPr>
                <w:sz w:val="16"/>
                <w:szCs w:val="16"/>
              </w:rPr>
            </w:pPr>
            <w:r w:rsidRPr="00C239E1">
              <w:rPr>
                <w:sz w:val="16"/>
                <w:szCs w:val="16"/>
              </w:rPr>
              <w:t>Private Households with Employed Persons</w:t>
            </w:r>
          </w:p>
        </w:tc>
        <w:tc>
          <w:tcPr>
            <w:tcW w:w="936" w:type="dxa"/>
            <w:shd w:val="clear" w:color="auto" w:fill="auto"/>
            <w:noWrap/>
            <w:vAlign w:val="center"/>
          </w:tcPr>
          <w:p w:rsidR="00EF09BB" w:rsidRPr="00C239E1" w:rsidRDefault="00EF09BB" w:rsidP="00FC4A2F">
            <w:pPr>
              <w:jc w:val="right"/>
              <w:rPr>
                <w:sz w:val="16"/>
                <w:szCs w:val="16"/>
              </w:rPr>
            </w:pPr>
            <w:r w:rsidRPr="00C239E1">
              <w:rPr>
                <w:sz w:val="16"/>
                <w:szCs w:val="16"/>
              </w:rPr>
              <w:t>104,541</w:t>
            </w:r>
          </w:p>
        </w:tc>
        <w:tc>
          <w:tcPr>
            <w:tcW w:w="870" w:type="dxa"/>
            <w:shd w:val="clear" w:color="auto" w:fill="auto"/>
            <w:noWrap/>
            <w:vAlign w:val="center"/>
          </w:tcPr>
          <w:p w:rsidR="00EF09BB" w:rsidRPr="00C239E1" w:rsidRDefault="00EF09BB" w:rsidP="00FC4A2F">
            <w:pPr>
              <w:jc w:val="right"/>
              <w:rPr>
                <w:sz w:val="16"/>
                <w:szCs w:val="16"/>
              </w:rPr>
            </w:pPr>
            <w:r w:rsidRPr="00C239E1">
              <w:rPr>
                <w:sz w:val="16"/>
                <w:szCs w:val="16"/>
              </w:rPr>
              <w:t>-17</w:t>
            </w:r>
          </w:p>
        </w:tc>
        <w:tc>
          <w:tcPr>
            <w:tcW w:w="801" w:type="dxa"/>
            <w:shd w:val="clear" w:color="auto" w:fill="auto"/>
            <w:noWrap/>
            <w:vAlign w:val="center"/>
          </w:tcPr>
          <w:p w:rsidR="00EF09BB" w:rsidRPr="00C239E1" w:rsidRDefault="00EF09BB" w:rsidP="00FC4A2F">
            <w:pPr>
              <w:jc w:val="right"/>
              <w:rPr>
                <w:sz w:val="16"/>
                <w:szCs w:val="16"/>
              </w:rPr>
            </w:pPr>
            <w:r w:rsidRPr="00C239E1">
              <w:rPr>
                <w:sz w:val="16"/>
                <w:szCs w:val="16"/>
              </w:rPr>
              <w:t>-0.02%</w:t>
            </w:r>
          </w:p>
        </w:tc>
        <w:tc>
          <w:tcPr>
            <w:tcW w:w="870" w:type="dxa"/>
            <w:shd w:val="clear" w:color="auto" w:fill="auto"/>
            <w:noWrap/>
            <w:vAlign w:val="center"/>
          </w:tcPr>
          <w:p w:rsidR="00EF09BB" w:rsidRPr="00C239E1" w:rsidRDefault="00EF09BB" w:rsidP="00FC4A2F">
            <w:pPr>
              <w:jc w:val="right"/>
              <w:rPr>
                <w:sz w:val="16"/>
                <w:szCs w:val="16"/>
              </w:rPr>
            </w:pPr>
            <w:r w:rsidRPr="00C239E1">
              <w:rPr>
                <w:sz w:val="16"/>
                <w:szCs w:val="16"/>
              </w:rPr>
              <w:t>0.01%</w:t>
            </w:r>
          </w:p>
        </w:tc>
      </w:tr>
      <w:tr w:rsidR="00EF09BB" w:rsidRPr="00C239E1" w:rsidTr="00FC4A2F">
        <w:trPr>
          <w:trHeight w:val="255"/>
          <w:jc w:val="right"/>
        </w:trPr>
        <w:tc>
          <w:tcPr>
            <w:tcW w:w="5676" w:type="dxa"/>
            <w:shd w:val="clear" w:color="auto" w:fill="auto"/>
            <w:noWrap/>
            <w:vAlign w:val="center"/>
          </w:tcPr>
          <w:p w:rsidR="00EF09BB" w:rsidRPr="00C239E1" w:rsidRDefault="00EF09BB" w:rsidP="00FC4A2F">
            <w:pPr>
              <w:rPr>
                <w:sz w:val="16"/>
                <w:szCs w:val="16"/>
              </w:rPr>
            </w:pPr>
          </w:p>
        </w:tc>
        <w:tc>
          <w:tcPr>
            <w:tcW w:w="936" w:type="dxa"/>
            <w:shd w:val="clear" w:color="auto" w:fill="auto"/>
            <w:noWrap/>
            <w:vAlign w:val="center"/>
          </w:tcPr>
          <w:p w:rsidR="00EF09BB" w:rsidRPr="00C239E1" w:rsidRDefault="00EF09BB" w:rsidP="00FC4A2F">
            <w:pPr>
              <w:jc w:val="right"/>
              <w:rPr>
                <w:sz w:val="16"/>
                <w:szCs w:val="16"/>
              </w:rPr>
            </w:pPr>
            <w:r w:rsidRPr="00C239E1">
              <w:rPr>
                <w:sz w:val="16"/>
                <w:szCs w:val="16"/>
              </w:rPr>
              <w:t>60,349,018</w:t>
            </w:r>
          </w:p>
        </w:tc>
        <w:tc>
          <w:tcPr>
            <w:tcW w:w="870" w:type="dxa"/>
            <w:shd w:val="clear" w:color="auto" w:fill="auto"/>
            <w:noWrap/>
            <w:vAlign w:val="center"/>
          </w:tcPr>
          <w:p w:rsidR="00EF09BB" w:rsidRPr="00C239E1" w:rsidRDefault="00EF09BB" w:rsidP="00FC4A2F">
            <w:pPr>
              <w:jc w:val="right"/>
              <w:rPr>
                <w:sz w:val="16"/>
                <w:szCs w:val="16"/>
              </w:rPr>
            </w:pPr>
            <w:r w:rsidRPr="00C239E1">
              <w:rPr>
                <w:sz w:val="16"/>
                <w:szCs w:val="16"/>
              </w:rPr>
              <w:t>-139,086</w:t>
            </w:r>
          </w:p>
        </w:tc>
        <w:tc>
          <w:tcPr>
            <w:tcW w:w="801" w:type="dxa"/>
            <w:shd w:val="clear" w:color="auto" w:fill="auto"/>
            <w:noWrap/>
            <w:vAlign w:val="center"/>
          </w:tcPr>
          <w:p w:rsidR="00EF09BB" w:rsidRPr="00C239E1" w:rsidRDefault="00EF09BB" w:rsidP="00FC4A2F">
            <w:pPr>
              <w:jc w:val="right"/>
              <w:rPr>
                <w:sz w:val="16"/>
                <w:szCs w:val="16"/>
              </w:rPr>
            </w:pPr>
            <w:r w:rsidRPr="00C239E1">
              <w:rPr>
                <w:sz w:val="16"/>
                <w:szCs w:val="16"/>
              </w:rPr>
              <w:t>-0.23%</w:t>
            </w:r>
          </w:p>
        </w:tc>
        <w:tc>
          <w:tcPr>
            <w:tcW w:w="870" w:type="dxa"/>
            <w:shd w:val="clear" w:color="auto" w:fill="auto"/>
            <w:noWrap/>
            <w:vAlign w:val="center"/>
          </w:tcPr>
          <w:p w:rsidR="00EF09BB" w:rsidRPr="00C239E1" w:rsidRDefault="00EF09BB" w:rsidP="00FC4A2F">
            <w:pPr>
              <w:jc w:val="right"/>
              <w:rPr>
                <w:sz w:val="16"/>
                <w:szCs w:val="16"/>
              </w:rPr>
            </w:pPr>
            <w:r w:rsidRPr="00C239E1">
              <w:rPr>
                <w:sz w:val="16"/>
                <w:szCs w:val="16"/>
              </w:rPr>
              <w:t>100.00%</w:t>
            </w:r>
          </w:p>
        </w:tc>
      </w:tr>
    </w:tbl>
    <w:p w:rsidR="00EF09BB" w:rsidRPr="00844BD4" w:rsidRDefault="00EF09BB" w:rsidP="00EF09BB">
      <w:pPr>
        <w:spacing w:before="120"/>
        <w:rPr>
          <w:sz w:val="20"/>
          <w:szCs w:val="20"/>
        </w:rPr>
      </w:pPr>
      <w:r w:rsidRPr="00844BD4">
        <w:rPr>
          <w:sz w:val="20"/>
          <w:szCs w:val="20"/>
        </w:rPr>
        <w:t>Source: own elaboration.</w:t>
      </w:r>
    </w:p>
    <w:p w:rsidR="00EF09BB" w:rsidRDefault="00EF09BB" w:rsidP="00EF09BB">
      <w:pPr>
        <w:spacing w:before="120" w:line="480" w:lineRule="auto"/>
        <w:ind w:left="720" w:hanging="720"/>
        <w:jc w:val="both"/>
      </w:pPr>
    </w:p>
    <w:sectPr w:rsidR="00EF09BB" w:rsidSect="009A48A6">
      <w:headerReference w:type="default" r:id="rId88"/>
      <w:footerReference w:type="even" r:id="rId89"/>
      <w:footerReference w:type="default" r:id="rId9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6B3A" w:rsidRDefault="00776B3A">
      <w:r>
        <w:separator/>
      </w:r>
    </w:p>
  </w:endnote>
  <w:endnote w:type="continuationSeparator" w:id="0">
    <w:p w:rsidR="00776B3A" w:rsidRDefault="00776B3A">
      <w:r>
        <w:continuationSeparator/>
      </w:r>
    </w:p>
  </w:endnote>
  <w:endnote w:type="continuationNotice" w:id="1">
    <w:p w:rsidR="00776B3A" w:rsidRDefault="00776B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B3A" w:rsidRDefault="00776B3A" w:rsidP="00C754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76B3A" w:rsidRDefault="00776B3A" w:rsidP="00C754D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B3A" w:rsidRDefault="00776B3A" w:rsidP="00C754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437E7">
      <w:rPr>
        <w:rStyle w:val="PageNumber"/>
        <w:noProof/>
      </w:rPr>
      <w:t>1</w:t>
    </w:r>
    <w:r>
      <w:rPr>
        <w:rStyle w:val="PageNumber"/>
      </w:rPr>
      <w:fldChar w:fldCharType="end"/>
    </w:r>
  </w:p>
  <w:p w:rsidR="00776B3A" w:rsidRDefault="00776B3A" w:rsidP="00C754D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6B3A" w:rsidRDefault="00776B3A">
      <w:r>
        <w:separator/>
      </w:r>
    </w:p>
  </w:footnote>
  <w:footnote w:type="continuationSeparator" w:id="0">
    <w:p w:rsidR="00776B3A" w:rsidRDefault="00776B3A">
      <w:r>
        <w:continuationSeparator/>
      </w:r>
    </w:p>
  </w:footnote>
  <w:footnote w:type="continuationNotice" w:id="1">
    <w:p w:rsidR="00776B3A" w:rsidRDefault="00776B3A"/>
  </w:footnote>
  <w:footnote w:id="2">
    <w:p w:rsidR="00776B3A" w:rsidRPr="00B87B5A" w:rsidRDefault="00776B3A" w:rsidP="00CE33BD">
      <w:pPr>
        <w:pStyle w:val="FootnoteText"/>
        <w:spacing w:before="0" w:after="0" w:line="360" w:lineRule="auto"/>
      </w:pPr>
      <w:r>
        <w:rPr>
          <w:rStyle w:val="FootnoteReference"/>
        </w:rPr>
        <w:footnoteRef/>
      </w:r>
      <w:r>
        <w:t xml:space="preserve"> The exact values of </w:t>
      </w:r>
      <w:r w:rsidRPr="00C10398">
        <w:rPr>
          <w:i/>
        </w:rPr>
        <w:t>b</w:t>
      </w:r>
      <w:r w:rsidRPr="00C10398">
        <w:rPr>
          <w:i/>
          <w:vertAlign w:val="subscript"/>
        </w:rPr>
        <w:t>1</w:t>
      </w:r>
      <w:r w:rsidRPr="00B87B5A">
        <w:t xml:space="preserve">, </w:t>
      </w:r>
      <w:r w:rsidRPr="00C10398">
        <w:rPr>
          <w:i/>
        </w:rPr>
        <w:t>b</w:t>
      </w:r>
      <w:r w:rsidRPr="00C10398">
        <w:rPr>
          <w:i/>
          <w:vertAlign w:val="subscript"/>
        </w:rPr>
        <w:t>2</w:t>
      </w:r>
      <w:r>
        <w:t xml:space="preserve"> and </w:t>
      </w:r>
      <w:r w:rsidRPr="00C10398">
        <w:rPr>
          <w:i/>
        </w:rPr>
        <w:t>b</w:t>
      </w:r>
      <w:r w:rsidRPr="00C10398">
        <w:rPr>
          <w:i/>
          <w:vertAlign w:val="subscript"/>
        </w:rPr>
        <w:t>3</w:t>
      </w:r>
      <w:r w:rsidRPr="00C10398">
        <w:rPr>
          <w:i/>
        </w:rPr>
        <w:t xml:space="preserve"> </w:t>
      </w:r>
      <w:r>
        <w:t>are not relevant for our analysis.</w:t>
      </w:r>
    </w:p>
  </w:footnote>
  <w:footnote w:id="3">
    <w:p w:rsidR="00776B3A" w:rsidRPr="009E2B8E" w:rsidRDefault="00776B3A" w:rsidP="00CE33BD">
      <w:pPr>
        <w:pStyle w:val="FootnoteText"/>
        <w:spacing w:before="0" w:after="0" w:line="360" w:lineRule="auto"/>
        <w:rPr>
          <w:lang w:val="en-US"/>
        </w:rPr>
      </w:pPr>
      <w:r>
        <w:rPr>
          <w:rStyle w:val="FootnoteReference"/>
        </w:rPr>
        <w:footnoteRef/>
      </w:r>
      <w:r>
        <w:t xml:space="preserve"> T</w:t>
      </w:r>
      <w:r>
        <w:rPr>
          <w:lang w:val="en-US"/>
        </w:rPr>
        <w:t xml:space="preserve">hese equations can be generalized </w:t>
      </w:r>
      <w:r w:rsidR="005C7F82">
        <w:rPr>
          <w:lang w:val="en-US"/>
        </w:rPr>
        <w:t>to a context with</w:t>
      </w:r>
      <w:r>
        <w:rPr>
          <w:lang w:val="en-US"/>
        </w:rPr>
        <w:t xml:space="preserve"> </w:t>
      </w:r>
      <w:r w:rsidRPr="00DE5C7F">
        <w:rPr>
          <w:i/>
          <w:lang w:val="en-US"/>
        </w:rPr>
        <w:t>m</w:t>
      </w:r>
      <w:r>
        <w:rPr>
          <w:lang w:val="en-US"/>
        </w:rPr>
        <w:t xml:space="preserve"> sectors and </w:t>
      </w:r>
      <w:r w:rsidRPr="00DE5C7F">
        <w:rPr>
          <w:i/>
          <w:lang w:val="en-US"/>
        </w:rPr>
        <w:t>n</w:t>
      </w:r>
      <w:r>
        <w:rPr>
          <w:lang w:val="en-US"/>
        </w:rPr>
        <w:t xml:space="preserve"> countries. Moreover, the number of supply-constrained sectors can also be expanded.</w:t>
      </w:r>
    </w:p>
  </w:footnote>
  <w:footnote w:id="4">
    <w:p w:rsidR="00776B3A" w:rsidRPr="0032543A" w:rsidRDefault="00776B3A" w:rsidP="00CE33BD">
      <w:pPr>
        <w:pStyle w:val="FootnoteText"/>
        <w:spacing w:before="0" w:after="0" w:line="360" w:lineRule="auto"/>
      </w:pPr>
      <w:r w:rsidRPr="0032543A">
        <w:rPr>
          <w:rStyle w:val="FootnoteReference"/>
        </w:rPr>
        <w:footnoteRef/>
      </w:r>
      <w:r w:rsidRPr="0032543A">
        <w:t xml:space="preserve"> </w:t>
      </w:r>
      <w:r w:rsidRPr="00CE414C">
        <w:t>Note that these cascading effects</w:t>
      </w:r>
      <w:r>
        <w:t xml:space="preserve"> refer to impacts due the reduction in the intermediate inputs of the sectors affected due to the disruption of the supply chain and, therefore, </w:t>
      </w:r>
      <w:r w:rsidRPr="00CE414C">
        <w:t xml:space="preserve">can also be </w:t>
      </w:r>
      <w:r w:rsidRPr="0032543A">
        <w:t>considered</w:t>
      </w:r>
      <w:r w:rsidRPr="00CE414C">
        <w:t xml:space="preserve"> as </w:t>
      </w:r>
      <w:r w:rsidRPr="0032543A">
        <w:t>backward</w:t>
      </w:r>
      <w:r w:rsidRPr="00CE414C">
        <w:t xml:space="preserve"> </w:t>
      </w:r>
      <w:r>
        <w:t>impacts.</w:t>
      </w:r>
    </w:p>
  </w:footnote>
  <w:footnote w:id="5">
    <w:p w:rsidR="00776B3A" w:rsidRPr="00CE414C" w:rsidRDefault="00776B3A" w:rsidP="00CE33BD">
      <w:pPr>
        <w:pStyle w:val="FootnoteText"/>
        <w:spacing w:before="0" w:after="0" w:line="360" w:lineRule="auto"/>
        <w:rPr>
          <w:lang w:val="es-ES"/>
        </w:rPr>
      </w:pPr>
      <w:r>
        <w:rPr>
          <w:rStyle w:val="FootnoteReference"/>
        </w:rPr>
        <w:footnoteRef/>
      </w:r>
      <w:r>
        <w:t xml:space="preserve"> </w:t>
      </w:r>
      <w:r w:rsidRPr="00C276FF">
        <w:t>Note that this assumption ignores the effects of the supply chain disruption on other sectors different than the TEI. However, as we show in the discussion this impact can be considered negligible</w:t>
      </w:r>
      <w:r>
        <w:t>.</w:t>
      </w:r>
    </w:p>
  </w:footnote>
  <w:footnote w:id="6">
    <w:p w:rsidR="00776B3A" w:rsidRPr="00CE414C" w:rsidRDefault="00776B3A" w:rsidP="00CE33BD">
      <w:pPr>
        <w:pStyle w:val="FootnoteText"/>
        <w:spacing w:before="0" w:after="0" w:line="360" w:lineRule="auto"/>
        <w:rPr>
          <w:lang w:val="en-US"/>
        </w:rPr>
      </w:pPr>
      <w:r w:rsidRPr="00CE414C">
        <w:rPr>
          <w:rStyle w:val="FootnoteReference"/>
          <w:lang w:val="en-US"/>
        </w:rPr>
        <w:footnoteRef/>
      </w:r>
      <w:r w:rsidRPr="00CE414C">
        <w:rPr>
          <w:lang w:val="en-US"/>
        </w:rPr>
        <w:t xml:space="preserve"> Note that the </w:t>
      </w:r>
      <w:r>
        <w:rPr>
          <w:lang w:val="en-US"/>
        </w:rPr>
        <w:t xml:space="preserve">SCD-BD and SCD-BI also include the backward impacts on the sector that originally suffered the shock. This allow us to compute the impact in the Japanese TEI companies supplying components to the non-Japanese TEI that are indirectly affected by the disruption on the supply of key components produced by other Japanese TEI companies. </w:t>
      </w:r>
    </w:p>
  </w:footnote>
  <w:footnote w:id="7">
    <w:p w:rsidR="00776B3A" w:rsidRPr="00514CD6" w:rsidRDefault="00776B3A" w:rsidP="00CE33BD">
      <w:pPr>
        <w:pStyle w:val="FootnoteText"/>
        <w:spacing w:before="0" w:after="0" w:line="360" w:lineRule="auto"/>
      </w:pPr>
      <w:r>
        <w:rPr>
          <w:rStyle w:val="FootnoteReference"/>
        </w:rPr>
        <w:footnoteRef/>
      </w:r>
      <w:r>
        <w:t xml:space="preserve"> </w:t>
      </w:r>
      <w:r>
        <w:fldChar w:fldCharType="begin"/>
      </w:r>
      <w:r>
        <w:instrText xml:space="preserve"> ADDIN ZOTERO_ITEM CSL_CITATION {"citationID":"vi918j5u2","properties":{"formattedCitation":"(Robinet, 2011)","plainCitation":"(Robinet, 2011)"},"citationItems":[{"id":2815,"uris":["http://zotero.org/groups/271383/items/IB4T5ZHG"],"uri":["http://zotero.org/groups/271383/items/IB4T5ZHG"],"itemData":{"id":2815,"type":"webpage","title":"Japan Disaster Output Impacts Update","URL":"http://www.oesa.org/Doc-Vault/Knowledge-Center/Archived-Docs/Japan-Earthquake-Information/IHS-Japan-Disaster-Output-Impact-Update-June-10.pdf","author":[{"family":"Robinet","given":"M."}],"issued":{"date-parts":[["2011"]]}}}],"schema":"https://github.com/citation-style-language/schema/raw/master/csl-citation.json"} </w:instrText>
      </w:r>
      <w:r>
        <w:fldChar w:fldCharType="separate"/>
      </w:r>
      <w:r w:rsidRPr="005B3396">
        <w:t>(Robinet, 2011)</w:t>
      </w:r>
      <w:r>
        <w:fldChar w:fldCharType="end"/>
      </w:r>
      <w:r>
        <w:t xml:space="preserve"> reports detailed data until 3</w:t>
      </w:r>
      <w:r w:rsidRPr="00514CD6">
        <w:rPr>
          <w:vertAlign w:val="superscript"/>
        </w:rPr>
        <w:t>rd</w:t>
      </w:r>
      <w:r>
        <w:t xml:space="preserve"> June 2011. This data has been up-scaled to match the total cumulative losses estimated by the author until September 2011.</w:t>
      </w:r>
    </w:p>
  </w:footnote>
  <w:footnote w:id="8">
    <w:p w:rsidR="00776B3A" w:rsidRPr="003E1DE7" w:rsidRDefault="00776B3A" w:rsidP="00CE33BD">
      <w:pPr>
        <w:pStyle w:val="FootnoteText"/>
        <w:spacing w:before="0" w:after="0" w:line="360" w:lineRule="auto"/>
      </w:pPr>
      <w:r>
        <w:rPr>
          <w:rStyle w:val="FootnoteReference"/>
        </w:rPr>
        <w:footnoteRef/>
      </w:r>
      <w:r>
        <w:t xml:space="preserve"> </w:t>
      </w:r>
      <w:r w:rsidRPr="003E1DE7">
        <w:t>The</w:t>
      </w:r>
      <w:r>
        <w:t xml:space="preserve"> figures showed in column (6) of Table 2 </w:t>
      </w:r>
      <w:r w:rsidRPr="003E1DE7">
        <w:t>constitute the exogenous shock</w:t>
      </w:r>
      <w:r>
        <w:t>s</w:t>
      </w:r>
      <w:r w:rsidRPr="003E1DE7">
        <w:t xml:space="preserve"> applied to equation [10</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B3A" w:rsidRDefault="00776B3A" w:rsidP="00CE41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EC22A4"/>
    <w:multiLevelType w:val="hybridMultilevel"/>
    <w:tmpl w:val="6F5EC5E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C754DD"/>
    <w:rsid w:val="00000C66"/>
    <w:rsid w:val="0000133E"/>
    <w:rsid w:val="00001F4F"/>
    <w:rsid w:val="00003306"/>
    <w:rsid w:val="000034AE"/>
    <w:rsid w:val="00003B37"/>
    <w:rsid w:val="00005A42"/>
    <w:rsid w:val="00007744"/>
    <w:rsid w:val="00007A28"/>
    <w:rsid w:val="0001020A"/>
    <w:rsid w:val="000109F0"/>
    <w:rsid w:val="00017FDF"/>
    <w:rsid w:val="00024852"/>
    <w:rsid w:val="00026DA9"/>
    <w:rsid w:val="000271A8"/>
    <w:rsid w:val="000313C7"/>
    <w:rsid w:val="0003564B"/>
    <w:rsid w:val="00040A5E"/>
    <w:rsid w:val="00040BAA"/>
    <w:rsid w:val="00041E11"/>
    <w:rsid w:val="00041F94"/>
    <w:rsid w:val="00042D49"/>
    <w:rsid w:val="00052326"/>
    <w:rsid w:val="00052566"/>
    <w:rsid w:val="0005378C"/>
    <w:rsid w:val="00053BD7"/>
    <w:rsid w:val="00053F57"/>
    <w:rsid w:val="00060452"/>
    <w:rsid w:val="00061A15"/>
    <w:rsid w:val="00063CD5"/>
    <w:rsid w:val="00064E1F"/>
    <w:rsid w:val="00066B2E"/>
    <w:rsid w:val="00070C7B"/>
    <w:rsid w:val="00072193"/>
    <w:rsid w:val="000724CB"/>
    <w:rsid w:val="000752B0"/>
    <w:rsid w:val="0007726E"/>
    <w:rsid w:val="00077B9C"/>
    <w:rsid w:val="0008016E"/>
    <w:rsid w:val="0008160F"/>
    <w:rsid w:val="00083CA4"/>
    <w:rsid w:val="00086A64"/>
    <w:rsid w:val="00086F22"/>
    <w:rsid w:val="00090EE7"/>
    <w:rsid w:val="000934BE"/>
    <w:rsid w:val="00097A0B"/>
    <w:rsid w:val="000A0279"/>
    <w:rsid w:val="000A3BB4"/>
    <w:rsid w:val="000A5670"/>
    <w:rsid w:val="000A5F16"/>
    <w:rsid w:val="000B2D9E"/>
    <w:rsid w:val="000B32B9"/>
    <w:rsid w:val="000B3B9C"/>
    <w:rsid w:val="000B46F2"/>
    <w:rsid w:val="000B5DAE"/>
    <w:rsid w:val="000B5FF7"/>
    <w:rsid w:val="000B653D"/>
    <w:rsid w:val="000C0483"/>
    <w:rsid w:val="000C2A7A"/>
    <w:rsid w:val="000C32F1"/>
    <w:rsid w:val="000C3EC7"/>
    <w:rsid w:val="000C523B"/>
    <w:rsid w:val="000D03CC"/>
    <w:rsid w:val="000D50E2"/>
    <w:rsid w:val="000D7475"/>
    <w:rsid w:val="000D7C9B"/>
    <w:rsid w:val="000E57DF"/>
    <w:rsid w:val="000E6986"/>
    <w:rsid w:val="000E6A96"/>
    <w:rsid w:val="000F1C2A"/>
    <w:rsid w:val="000F531D"/>
    <w:rsid w:val="000F552D"/>
    <w:rsid w:val="000F5648"/>
    <w:rsid w:val="000F66BF"/>
    <w:rsid w:val="001004CE"/>
    <w:rsid w:val="00102F0A"/>
    <w:rsid w:val="00104848"/>
    <w:rsid w:val="00115C9D"/>
    <w:rsid w:val="00116AA2"/>
    <w:rsid w:val="00122ADF"/>
    <w:rsid w:val="00123525"/>
    <w:rsid w:val="00125EE5"/>
    <w:rsid w:val="00131D9F"/>
    <w:rsid w:val="00132DE5"/>
    <w:rsid w:val="00134E5C"/>
    <w:rsid w:val="00141405"/>
    <w:rsid w:val="00143645"/>
    <w:rsid w:val="001437D6"/>
    <w:rsid w:val="0014398E"/>
    <w:rsid w:val="00143FB7"/>
    <w:rsid w:val="001458BC"/>
    <w:rsid w:val="00150E35"/>
    <w:rsid w:val="0015177D"/>
    <w:rsid w:val="00152D2E"/>
    <w:rsid w:val="0015347E"/>
    <w:rsid w:val="00155AA9"/>
    <w:rsid w:val="00155BD7"/>
    <w:rsid w:val="0015694B"/>
    <w:rsid w:val="00157D2C"/>
    <w:rsid w:val="00157F2E"/>
    <w:rsid w:val="00162E44"/>
    <w:rsid w:val="001642CA"/>
    <w:rsid w:val="00165DB9"/>
    <w:rsid w:val="00165F4C"/>
    <w:rsid w:val="00172546"/>
    <w:rsid w:val="00181C27"/>
    <w:rsid w:val="001939FE"/>
    <w:rsid w:val="001941AD"/>
    <w:rsid w:val="0019435B"/>
    <w:rsid w:val="00194882"/>
    <w:rsid w:val="001A7929"/>
    <w:rsid w:val="001B1916"/>
    <w:rsid w:val="001B2EF4"/>
    <w:rsid w:val="001B3915"/>
    <w:rsid w:val="001B5E42"/>
    <w:rsid w:val="001B6B09"/>
    <w:rsid w:val="001C3701"/>
    <w:rsid w:val="001C5957"/>
    <w:rsid w:val="001C6A5B"/>
    <w:rsid w:val="001C6DC0"/>
    <w:rsid w:val="001D45CE"/>
    <w:rsid w:val="001D51A9"/>
    <w:rsid w:val="001E088E"/>
    <w:rsid w:val="001E2A70"/>
    <w:rsid w:val="001E2ED1"/>
    <w:rsid w:val="001E5946"/>
    <w:rsid w:val="001F387C"/>
    <w:rsid w:val="001F4FF5"/>
    <w:rsid w:val="001F7EDC"/>
    <w:rsid w:val="00202A65"/>
    <w:rsid w:val="00204110"/>
    <w:rsid w:val="002048A5"/>
    <w:rsid w:val="00206156"/>
    <w:rsid w:val="00206C91"/>
    <w:rsid w:val="00216708"/>
    <w:rsid w:val="00216864"/>
    <w:rsid w:val="00220252"/>
    <w:rsid w:val="0022199C"/>
    <w:rsid w:val="00224C98"/>
    <w:rsid w:val="00232EE7"/>
    <w:rsid w:val="00236D5B"/>
    <w:rsid w:val="0024010E"/>
    <w:rsid w:val="002410CE"/>
    <w:rsid w:val="00252EA5"/>
    <w:rsid w:val="00254621"/>
    <w:rsid w:val="00256F97"/>
    <w:rsid w:val="00257564"/>
    <w:rsid w:val="00260312"/>
    <w:rsid w:val="00260568"/>
    <w:rsid w:val="00265372"/>
    <w:rsid w:val="00273606"/>
    <w:rsid w:val="002749C5"/>
    <w:rsid w:val="00275403"/>
    <w:rsid w:val="002808A0"/>
    <w:rsid w:val="00284099"/>
    <w:rsid w:val="00284D0B"/>
    <w:rsid w:val="00287AE1"/>
    <w:rsid w:val="002904A0"/>
    <w:rsid w:val="00291880"/>
    <w:rsid w:val="0029315E"/>
    <w:rsid w:val="00294BA6"/>
    <w:rsid w:val="00294BEB"/>
    <w:rsid w:val="002A3C30"/>
    <w:rsid w:val="002A57A7"/>
    <w:rsid w:val="002B1805"/>
    <w:rsid w:val="002B1C6D"/>
    <w:rsid w:val="002B31EB"/>
    <w:rsid w:val="002B546E"/>
    <w:rsid w:val="002C59FD"/>
    <w:rsid w:val="002D2216"/>
    <w:rsid w:val="002D698B"/>
    <w:rsid w:val="002E4BC4"/>
    <w:rsid w:val="002E4E79"/>
    <w:rsid w:val="002E5482"/>
    <w:rsid w:val="002F040D"/>
    <w:rsid w:val="002F0B21"/>
    <w:rsid w:val="002F1DCD"/>
    <w:rsid w:val="002F79FF"/>
    <w:rsid w:val="00302AFD"/>
    <w:rsid w:val="00307BD9"/>
    <w:rsid w:val="00313271"/>
    <w:rsid w:val="003153FC"/>
    <w:rsid w:val="0032330A"/>
    <w:rsid w:val="0032543A"/>
    <w:rsid w:val="00325CD7"/>
    <w:rsid w:val="00325FDE"/>
    <w:rsid w:val="00327657"/>
    <w:rsid w:val="00330107"/>
    <w:rsid w:val="00332278"/>
    <w:rsid w:val="00334D4C"/>
    <w:rsid w:val="003400C1"/>
    <w:rsid w:val="0034021D"/>
    <w:rsid w:val="00340BD3"/>
    <w:rsid w:val="003434BA"/>
    <w:rsid w:val="00351CEA"/>
    <w:rsid w:val="00357750"/>
    <w:rsid w:val="00360794"/>
    <w:rsid w:val="003611DB"/>
    <w:rsid w:val="00366AB3"/>
    <w:rsid w:val="00370A3A"/>
    <w:rsid w:val="00372074"/>
    <w:rsid w:val="0037701C"/>
    <w:rsid w:val="00380AB3"/>
    <w:rsid w:val="00384A68"/>
    <w:rsid w:val="00386B13"/>
    <w:rsid w:val="00393127"/>
    <w:rsid w:val="00395F70"/>
    <w:rsid w:val="00397980"/>
    <w:rsid w:val="00397D3A"/>
    <w:rsid w:val="003A2897"/>
    <w:rsid w:val="003A5FE5"/>
    <w:rsid w:val="003A644B"/>
    <w:rsid w:val="003A73E5"/>
    <w:rsid w:val="003B049A"/>
    <w:rsid w:val="003B26BE"/>
    <w:rsid w:val="003B5216"/>
    <w:rsid w:val="003B69FF"/>
    <w:rsid w:val="003C2F4D"/>
    <w:rsid w:val="003C728F"/>
    <w:rsid w:val="003D0189"/>
    <w:rsid w:val="003D0D3C"/>
    <w:rsid w:val="003D3EB2"/>
    <w:rsid w:val="003D4DEC"/>
    <w:rsid w:val="003D6385"/>
    <w:rsid w:val="003D6645"/>
    <w:rsid w:val="003D7154"/>
    <w:rsid w:val="003E03AD"/>
    <w:rsid w:val="003E1DE7"/>
    <w:rsid w:val="003F1753"/>
    <w:rsid w:val="003F35FE"/>
    <w:rsid w:val="004034F2"/>
    <w:rsid w:val="0040521D"/>
    <w:rsid w:val="00405C37"/>
    <w:rsid w:val="00405DED"/>
    <w:rsid w:val="00405FCB"/>
    <w:rsid w:val="004067A9"/>
    <w:rsid w:val="00415544"/>
    <w:rsid w:val="00415985"/>
    <w:rsid w:val="004232E8"/>
    <w:rsid w:val="004254DA"/>
    <w:rsid w:val="00426435"/>
    <w:rsid w:val="00431D2D"/>
    <w:rsid w:val="00432F4B"/>
    <w:rsid w:val="00435B12"/>
    <w:rsid w:val="004406F6"/>
    <w:rsid w:val="004410DC"/>
    <w:rsid w:val="00441904"/>
    <w:rsid w:val="00442C62"/>
    <w:rsid w:val="00442F7C"/>
    <w:rsid w:val="00442F7D"/>
    <w:rsid w:val="00444F82"/>
    <w:rsid w:val="0044715D"/>
    <w:rsid w:val="0045396E"/>
    <w:rsid w:val="004555E3"/>
    <w:rsid w:val="00456097"/>
    <w:rsid w:val="004567D9"/>
    <w:rsid w:val="0045716E"/>
    <w:rsid w:val="00466F61"/>
    <w:rsid w:val="00467420"/>
    <w:rsid w:val="00477F09"/>
    <w:rsid w:val="00477F0A"/>
    <w:rsid w:val="0048150C"/>
    <w:rsid w:val="00485077"/>
    <w:rsid w:val="00485D46"/>
    <w:rsid w:val="00487A4A"/>
    <w:rsid w:val="00490158"/>
    <w:rsid w:val="0049053B"/>
    <w:rsid w:val="00494B2D"/>
    <w:rsid w:val="004A099F"/>
    <w:rsid w:val="004A2CCB"/>
    <w:rsid w:val="004A3F78"/>
    <w:rsid w:val="004A56C2"/>
    <w:rsid w:val="004A5AB4"/>
    <w:rsid w:val="004B0518"/>
    <w:rsid w:val="004B0907"/>
    <w:rsid w:val="004B3388"/>
    <w:rsid w:val="004B4763"/>
    <w:rsid w:val="004B751D"/>
    <w:rsid w:val="004C15CA"/>
    <w:rsid w:val="004C2C26"/>
    <w:rsid w:val="004C3B2C"/>
    <w:rsid w:val="004C47F4"/>
    <w:rsid w:val="004C5A8E"/>
    <w:rsid w:val="004C643D"/>
    <w:rsid w:val="004D65A1"/>
    <w:rsid w:val="004D72AB"/>
    <w:rsid w:val="004E073A"/>
    <w:rsid w:val="004E2DFD"/>
    <w:rsid w:val="004E78DC"/>
    <w:rsid w:val="004F44D1"/>
    <w:rsid w:val="004F5685"/>
    <w:rsid w:val="004F5EEF"/>
    <w:rsid w:val="004F67B3"/>
    <w:rsid w:val="00501B9B"/>
    <w:rsid w:val="005056DC"/>
    <w:rsid w:val="005067E5"/>
    <w:rsid w:val="0050740D"/>
    <w:rsid w:val="0050789C"/>
    <w:rsid w:val="00510032"/>
    <w:rsid w:val="005118CE"/>
    <w:rsid w:val="00512B9A"/>
    <w:rsid w:val="005130A1"/>
    <w:rsid w:val="00514CD6"/>
    <w:rsid w:val="005176E0"/>
    <w:rsid w:val="00517E72"/>
    <w:rsid w:val="0052270B"/>
    <w:rsid w:val="00522B84"/>
    <w:rsid w:val="0052756C"/>
    <w:rsid w:val="00527B22"/>
    <w:rsid w:val="0053067C"/>
    <w:rsid w:val="0053154C"/>
    <w:rsid w:val="00540086"/>
    <w:rsid w:val="005433B8"/>
    <w:rsid w:val="00545007"/>
    <w:rsid w:val="00546907"/>
    <w:rsid w:val="00547997"/>
    <w:rsid w:val="00550968"/>
    <w:rsid w:val="0055553F"/>
    <w:rsid w:val="00562285"/>
    <w:rsid w:val="005622D1"/>
    <w:rsid w:val="00563187"/>
    <w:rsid w:val="005676D1"/>
    <w:rsid w:val="00572322"/>
    <w:rsid w:val="00576396"/>
    <w:rsid w:val="005768DE"/>
    <w:rsid w:val="00576A21"/>
    <w:rsid w:val="00581BEE"/>
    <w:rsid w:val="00582A6A"/>
    <w:rsid w:val="00584DD2"/>
    <w:rsid w:val="00584FDB"/>
    <w:rsid w:val="005870B8"/>
    <w:rsid w:val="00595A05"/>
    <w:rsid w:val="00595D02"/>
    <w:rsid w:val="005A2C54"/>
    <w:rsid w:val="005A586A"/>
    <w:rsid w:val="005A6A17"/>
    <w:rsid w:val="005A6BD4"/>
    <w:rsid w:val="005A6EF9"/>
    <w:rsid w:val="005B069A"/>
    <w:rsid w:val="005B0D91"/>
    <w:rsid w:val="005B2734"/>
    <w:rsid w:val="005B29B9"/>
    <w:rsid w:val="005B3396"/>
    <w:rsid w:val="005B3BB9"/>
    <w:rsid w:val="005B3C92"/>
    <w:rsid w:val="005B443A"/>
    <w:rsid w:val="005B5EF5"/>
    <w:rsid w:val="005B5F46"/>
    <w:rsid w:val="005C21B0"/>
    <w:rsid w:val="005C4CDA"/>
    <w:rsid w:val="005C7557"/>
    <w:rsid w:val="005C7792"/>
    <w:rsid w:val="005C7F82"/>
    <w:rsid w:val="005D0274"/>
    <w:rsid w:val="005D031F"/>
    <w:rsid w:val="005D0337"/>
    <w:rsid w:val="005D0E52"/>
    <w:rsid w:val="005D4664"/>
    <w:rsid w:val="005E2331"/>
    <w:rsid w:val="005E4990"/>
    <w:rsid w:val="005E4B76"/>
    <w:rsid w:val="005E50D0"/>
    <w:rsid w:val="005E7145"/>
    <w:rsid w:val="005E7655"/>
    <w:rsid w:val="005F0891"/>
    <w:rsid w:val="005F2482"/>
    <w:rsid w:val="005F68AD"/>
    <w:rsid w:val="005F723D"/>
    <w:rsid w:val="005F7483"/>
    <w:rsid w:val="006026C9"/>
    <w:rsid w:val="00605A49"/>
    <w:rsid w:val="00605D03"/>
    <w:rsid w:val="00610082"/>
    <w:rsid w:val="00611AFD"/>
    <w:rsid w:val="00612D4C"/>
    <w:rsid w:val="00613A28"/>
    <w:rsid w:val="006141A4"/>
    <w:rsid w:val="00616547"/>
    <w:rsid w:val="00620127"/>
    <w:rsid w:val="00620977"/>
    <w:rsid w:val="0062481F"/>
    <w:rsid w:val="00625B21"/>
    <w:rsid w:val="00627F55"/>
    <w:rsid w:val="00631933"/>
    <w:rsid w:val="00632580"/>
    <w:rsid w:val="006355EB"/>
    <w:rsid w:val="00635E50"/>
    <w:rsid w:val="00636478"/>
    <w:rsid w:val="00636865"/>
    <w:rsid w:val="0064192A"/>
    <w:rsid w:val="00641E4F"/>
    <w:rsid w:val="006516C2"/>
    <w:rsid w:val="00652AC7"/>
    <w:rsid w:val="00653ACF"/>
    <w:rsid w:val="00653DC9"/>
    <w:rsid w:val="006605B8"/>
    <w:rsid w:val="0066139A"/>
    <w:rsid w:val="0066367A"/>
    <w:rsid w:val="00663E4B"/>
    <w:rsid w:val="006714C8"/>
    <w:rsid w:val="0067197F"/>
    <w:rsid w:val="00672C3A"/>
    <w:rsid w:val="00680825"/>
    <w:rsid w:val="006853C9"/>
    <w:rsid w:val="00687C52"/>
    <w:rsid w:val="006908F3"/>
    <w:rsid w:val="00692912"/>
    <w:rsid w:val="00693122"/>
    <w:rsid w:val="00694867"/>
    <w:rsid w:val="00696145"/>
    <w:rsid w:val="006964FE"/>
    <w:rsid w:val="006A77D3"/>
    <w:rsid w:val="006B078D"/>
    <w:rsid w:val="006B130A"/>
    <w:rsid w:val="006B187E"/>
    <w:rsid w:val="006B2C7D"/>
    <w:rsid w:val="006B4357"/>
    <w:rsid w:val="006B7655"/>
    <w:rsid w:val="006C260C"/>
    <w:rsid w:val="006C4269"/>
    <w:rsid w:val="006C5335"/>
    <w:rsid w:val="006C707C"/>
    <w:rsid w:val="006D12D6"/>
    <w:rsid w:val="006D13C5"/>
    <w:rsid w:val="006D5DBC"/>
    <w:rsid w:val="006E01C8"/>
    <w:rsid w:val="006E3DF1"/>
    <w:rsid w:val="006E46F1"/>
    <w:rsid w:val="006E52E7"/>
    <w:rsid w:val="006E5322"/>
    <w:rsid w:val="006E798C"/>
    <w:rsid w:val="006F08AE"/>
    <w:rsid w:val="006F12F3"/>
    <w:rsid w:val="006F16E1"/>
    <w:rsid w:val="006F1D31"/>
    <w:rsid w:val="006F3DE3"/>
    <w:rsid w:val="00701D5E"/>
    <w:rsid w:val="007073AE"/>
    <w:rsid w:val="0071180F"/>
    <w:rsid w:val="00715AF3"/>
    <w:rsid w:val="00716411"/>
    <w:rsid w:val="00721623"/>
    <w:rsid w:val="00721AE6"/>
    <w:rsid w:val="00724526"/>
    <w:rsid w:val="00725E2F"/>
    <w:rsid w:val="00727DE6"/>
    <w:rsid w:val="0073039E"/>
    <w:rsid w:val="00731D7F"/>
    <w:rsid w:val="007366CA"/>
    <w:rsid w:val="00736747"/>
    <w:rsid w:val="00737124"/>
    <w:rsid w:val="00737EBF"/>
    <w:rsid w:val="007415FF"/>
    <w:rsid w:val="0074336E"/>
    <w:rsid w:val="007441AD"/>
    <w:rsid w:val="00744AC7"/>
    <w:rsid w:val="00746D2F"/>
    <w:rsid w:val="007477CA"/>
    <w:rsid w:val="00753ACA"/>
    <w:rsid w:val="00760248"/>
    <w:rsid w:val="0076065E"/>
    <w:rsid w:val="00763282"/>
    <w:rsid w:val="007722AE"/>
    <w:rsid w:val="0077382D"/>
    <w:rsid w:val="00773BD3"/>
    <w:rsid w:val="00773C27"/>
    <w:rsid w:val="00776B3A"/>
    <w:rsid w:val="00782AC7"/>
    <w:rsid w:val="0079587B"/>
    <w:rsid w:val="007964BD"/>
    <w:rsid w:val="007A04AE"/>
    <w:rsid w:val="007A3572"/>
    <w:rsid w:val="007A6559"/>
    <w:rsid w:val="007A6FAB"/>
    <w:rsid w:val="007A7E24"/>
    <w:rsid w:val="007B706C"/>
    <w:rsid w:val="007C3761"/>
    <w:rsid w:val="007C6991"/>
    <w:rsid w:val="007C6B82"/>
    <w:rsid w:val="007D06DC"/>
    <w:rsid w:val="007D2488"/>
    <w:rsid w:val="007D676D"/>
    <w:rsid w:val="007D7013"/>
    <w:rsid w:val="007D7301"/>
    <w:rsid w:val="007D773F"/>
    <w:rsid w:val="007D7C9C"/>
    <w:rsid w:val="007E1634"/>
    <w:rsid w:val="007E3E09"/>
    <w:rsid w:val="007E4738"/>
    <w:rsid w:val="007E621E"/>
    <w:rsid w:val="007E7458"/>
    <w:rsid w:val="007E7C33"/>
    <w:rsid w:val="007F26F5"/>
    <w:rsid w:val="007F29CD"/>
    <w:rsid w:val="007F6179"/>
    <w:rsid w:val="00805FCF"/>
    <w:rsid w:val="0080616D"/>
    <w:rsid w:val="0080780A"/>
    <w:rsid w:val="0081436C"/>
    <w:rsid w:val="00815E3D"/>
    <w:rsid w:val="00822902"/>
    <w:rsid w:val="00824DC9"/>
    <w:rsid w:val="00827854"/>
    <w:rsid w:val="00827B61"/>
    <w:rsid w:val="0083165F"/>
    <w:rsid w:val="00832CA3"/>
    <w:rsid w:val="0083303F"/>
    <w:rsid w:val="00833353"/>
    <w:rsid w:val="00833EC9"/>
    <w:rsid w:val="008349FE"/>
    <w:rsid w:val="00834F79"/>
    <w:rsid w:val="00836E59"/>
    <w:rsid w:val="00841357"/>
    <w:rsid w:val="008417C1"/>
    <w:rsid w:val="00841847"/>
    <w:rsid w:val="008419BC"/>
    <w:rsid w:val="00844BD4"/>
    <w:rsid w:val="00846DC9"/>
    <w:rsid w:val="0084732F"/>
    <w:rsid w:val="00847C7D"/>
    <w:rsid w:val="0085393B"/>
    <w:rsid w:val="00861B70"/>
    <w:rsid w:val="00864E1C"/>
    <w:rsid w:val="00871C04"/>
    <w:rsid w:val="00874598"/>
    <w:rsid w:val="00875561"/>
    <w:rsid w:val="00875633"/>
    <w:rsid w:val="00875B92"/>
    <w:rsid w:val="00876877"/>
    <w:rsid w:val="00880D77"/>
    <w:rsid w:val="0088398C"/>
    <w:rsid w:val="00890F8B"/>
    <w:rsid w:val="00891483"/>
    <w:rsid w:val="008962C4"/>
    <w:rsid w:val="008966CE"/>
    <w:rsid w:val="00896F74"/>
    <w:rsid w:val="008A03A2"/>
    <w:rsid w:val="008A1D5B"/>
    <w:rsid w:val="008A30CE"/>
    <w:rsid w:val="008A5055"/>
    <w:rsid w:val="008A5EC0"/>
    <w:rsid w:val="008A6CF2"/>
    <w:rsid w:val="008A71B9"/>
    <w:rsid w:val="008B2A75"/>
    <w:rsid w:val="008B3D60"/>
    <w:rsid w:val="008B6846"/>
    <w:rsid w:val="008C0699"/>
    <w:rsid w:val="008C717B"/>
    <w:rsid w:val="008E0DF9"/>
    <w:rsid w:val="008E17B9"/>
    <w:rsid w:val="008E5486"/>
    <w:rsid w:val="008E5FE3"/>
    <w:rsid w:val="008E710A"/>
    <w:rsid w:val="008E7542"/>
    <w:rsid w:val="008F3645"/>
    <w:rsid w:val="008F5D2F"/>
    <w:rsid w:val="00900E0A"/>
    <w:rsid w:val="00904D84"/>
    <w:rsid w:val="00905141"/>
    <w:rsid w:val="00905A92"/>
    <w:rsid w:val="00907E9C"/>
    <w:rsid w:val="00912738"/>
    <w:rsid w:val="0091349F"/>
    <w:rsid w:val="00916238"/>
    <w:rsid w:val="00917CDE"/>
    <w:rsid w:val="00924D96"/>
    <w:rsid w:val="00926091"/>
    <w:rsid w:val="009261FB"/>
    <w:rsid w:val="00926438"/>
    <w:rsid w:val="00926A0D"/>
    <w:rsid w:val="00926A7E"/>
    <w:rsid w:val="00931404"/>
    <w:rsid w:val="00931F1F"/>
    <w:rsid w:val="009339CD"/>
    <w:rsid w:val="00934148"/>
    <w:rsid w:val="009364B7"/>
    <w:rsid w:val="00937BF3"/>
    <w:rsid w:val="00940275"/>
    <w:rsid w:val="009437E7"/>
    <w:rsid w:val="00943BA0"/>
    <w:rsid w:val="00943C82"/>
    <w:rsid w:val="009460C2"/>
    <w:rsid w:val="0094698F"/>
    <w:rsid w:val="00951D7A"/>
    <w:rsid w:val="009520A8"/>
    <w:rsid w:val="00954931"/>
    <w:rsid w:val="00956608"/>
    <w:rsid w:val="0095741F"/>
    <w:rsid w:val="00960B76"/>
    <w:rsid w:val="009612EC"/>
    <w:rsid w:val="0096135A"/>
    <w:rsid w:val="00961377"/>
    <w:rsid w:val="009614D2"/>
    <w:rsid w:val="00961DE8"/>
    <w:rsid w:val="00966474"/>
    <w:rsid w:val="009726C1"/>
    <w:rsid w:val="009766C6"/>
    <w:rsid w:val="00981336"/>
    <w:rsid w:val="00983108"/>
    <w:rsid w:val="00983EC3"/>
    <w:rsid w:val="00984230"/>
    <w:rsid w:val="00987457"/>
    <w:rsid w:val="009874EE"/>
    <w:rsid w:val="0098762A"/>
    <w:rsid w:val="0098797B"/>
    <w:rsid w:val="00990104"/>
    <w:rsid w:val="00990217"/>
    <w:rsid w:val="0099546F"/>
    <w:rsid w:val="0099627B"/>
    <w:rsid w:val="00996602"/>
    <w:rsid w:val="009A00BE"/>
    <w:rsid w:val="009A01D1"/>
    <w:rsid w:val="009A0E0D"/>
    <w:rsid w:val="009A48A6"/>
    <w:rsid w:val="009A6C2D"/>
    <w:rsid w:val="009A6E82"/>
    <w:rsid w:val="009B05F4"/>
    <w:rsid w:val="009B07C6"/>
    <w:rsid w:val="009B3203"/>
    <w:rsid w:val="009B48E2"/>
    <w:rsid w:val="009B4A06"/>
    <w:rsid w:val="009B58CF"/>
    <w:rsid w:val="009B61A9"/>
    <w:rsid w:val="009B7F77"/>
    <w:rsid w:val="009C19BA"/>
    <w:rsid w:val="009D40B8"/>
    <w:rsid w:val="009D4177"/>
    <w:rsid w:val="009D61A0"/>
    <w:rsid w:val="009D7E42"/>
    <w:rsid w:val="009E122A"/>
    <w:rsid w:val="009E14C6"/>
    <w:rsid w:val="009E44AA"/>
    <w:rsid w:val="009E4808"/>
    <w:rsid w:val="009E4C55"/>
    <w:rsid w:val="009E596D"/>
    <w:rsid w:val="009E7139"/>
    <w:rsid w:val="009F02B6"/>
    <w:rsid w:val="009F3773"/>
    <w:rsid w:val="009F532D"/>
    <w:rsid w:val="009F5915"/>
    <w:rsid w:val="00A0001C"/>
    <w:rsid w:val="00A001E5"/>
    <w:rsid w:val="00A0094F"/>
    <w:rsid w:val="00A01F1E"/>
    <w:rsid w:val="00A02007"/>
    <w:rsid w:val="00A07A92"/>
    <w:rsid w:val="00A1222E"/>
    <w:rsid w:val="00A12E2E"/>
    <w:rsid w:val="00A12E67"/>
    <w:rsid w:val="00A16079"/>
    <w:rsid w:val="00A16EC2"/>
    <w:rsid w:val="00A17E67"/>
    <w:rsid w:val="00A20B8E"/>
    <w:rsid w:val="00A24957"/>
    <w:rsid w:val="00A2599C"/>
    <w:rsid w:val="00A25ADD"/>
    <w:rsid w:val="00A33BF7"/>
    <w:rsid w:val="00A36499"/>
    <w:rsid w:val="00A416E2"/>
    <w:rsid w:val="00A47038"/>
    <w:rsid w:val="00A473F6"/>
    <w:rsid w:val="00A478B4"/>
    <w:rsid w:val="00A513BE"/>
    <w:rsid w:val="00A53F85"/>
    <w:rsid w:val="00A642F2"/>
    <w:rsid w:val="00A65722"/>
    <w:rsid w:val="00A8071C"/>
    <w:rsid w:val="00A832FF"/>
    <w:rsid w:val="00A915A9"/>
    <w:rsid w:val="00A92942"/>
    <w:rsid w:val="00A92F6F"/>
    <w:rsid w:val="00A942F7"/>
    <w:rsid w:val="00A9481C"/>
    <w:rsid w:val="00A953CB"/>
    <w:rsid w:val="00AA1F4E"/>
    <w:rsid w:val="00AA2C1B"/>
    <w:rsid w:val="00AA490E"/>
    <w:rsid w:val="00AB4138"/>
    <w:rsid w:val="00AB5416"/>
    <w:rsid w:val="00AB6BAC"/>
    <w:rsid w:val="00AC324E"/>
    <w:rsid w:val="00AC6064"/>
    <w:rsid w:val="00AD2E1F"/>
    <w:rsid w:val="00AD3C82"/>
    <w:rsid w:val="00AD6683"/>
    <w:rsid w:val="00AD7BC9"/>
    <w:rsid w:val="00AE246D"/>
    <w:rsid w:val="00AE5367"/>
    <w:rsid w:val="00AE67C0"/>
    <w:rsid w:val="00AE75BB"/>
    <w:rsid w:val="00AF0E3B"/>
    <w:rsid w:val="00AF2273"/>
    <w:rsid w:val="00AF60BA"/>
    <w:rsid w:val="00AF6A0B"/>
    <w:rsid w:val="00B0416F"/>
    <w:rsid w:val="00B05D6E"/>
    <w:rsid w:val="00B05E32"/>
    <w:rsid w:val="00B10AD6"/>
    <w:rsid w:val="00B10CEB"/>
    <w:rsid w:val="00B111CE"/>
    <w:rsid w:val="00B13C69"/>
    <w:rsid w:val="00B17A42"/>
    <w:rsid w:val="00B17CB3"/>
    <w:rsid w:val="00B20E6E"/>
    <w:rsid w:val="00B22A76"/>
    <w:rsid w:val="00B25871"/>
    <w:rsid w:val="00B33DD5"/>
    <w:rsid w:val="00B36274"/>
    <w:rsid w:val="00B43EA7"/>
    <w:rsid w:val="00B478B8"/>
    <w:rsid w:val="00B511ED"/>
    <w:rsid w:val="00B51531"/>
    <w:rsid w:val="00B51A2A"/>
    <w:rsid w:val="00B52BE3"/>
    <w:rsid w:val="00B5645F"/>
    <w:rsid w:val="00B65709"/>
    <w:rsid w:val="00B72012"/>
    <w:rsid w:val="00B722D1"/>
    <w:rsid w:val="00B753D2"/>
    <w:rsid w:val="00B768E1"/>
    <w:rsid w:val="00B83FE2"/>
    <w:rsid w:val="00B87B5A"/>
    <w:rsid w:val="00B9236F"/>
    <w:rsid w:val="00B94445"/>
    <w:rsid w:val="00B96103"/>
    <w:rsid w:val="00BA4AD2"/>
    <w:rsid w:val="00BB442B"/>
    <w:rsid w:val="00BB5C32"/>
    <w:rsid w:val="00BC0C75"/>
    <w:rsid w:val="00BC1D4C"/>
    <w:rsid w:val="00BC3191"/>
    <w:rsid w:val="00BC3AA4"/>
    <w:rsid w:val="00BC5C9E"/>
    <w:rsid w:val="00BC5D9C"/>
    <w:rsid w:val="00BC7136"/>
    <w:rsid w:val="00BC790C"/>
    <w:rsid w:val="00BD4B42"/>
    <w:rsid w:val="00BD77C4"/>
    <w:rsid w:val="00BE06A1"/>
    <w:rsid w:val="00BE0703"/>
    <w:rsid w:val="00BE0EC9"/>
    <w:rsid w:val="00BE179D"/>
    <w:rsid w:val="00BE450E"/>
    <w:rsid w:val="00BE5F7A"/>
    <w:rsid w:val="00BE687A"/>
    <w:rsid w:val="00BE723D"/>
    <w:rsid w:val="00BF1CBD"/>
    <w:rsid w:val="00BF2CBB"/>
    <w:rsid w:val="00C018E6"/>
    <w:rsid w:val="00C0224D"/>
    <w:rsid w:val="00C03B23"/>
    <w:rsid w:val="00C0421D"/>
    <w:rsid w:val="00C10398"/>
    <w:rsid w:val="00C13245"/>
    <w:rsid w:val="00C146A3"/>
    <w:rsid w:val="00C21391"/>
    <w:rsid w:val="00C239E1"/>
    <w:rsid w:val="00C24411"/>
    <w:rsid w:val="00C248F1"/>
    <w:rsid w:val="00C25503"/>
    <w:rsid w:val="00C259EE"/>
    <w:rsid w:val="00C25B0C"/>
    <w:rsid w:val="00C276FF"/>
    <w:rsid w:val="00C27D90"/>
    <w:rsid w:val="00C30E6F"/>
    <w:rsid w:val="00C3362D"/>
    <w:rsid w:val="00C40E7B"/>
    <w:rsid w:val="00C44504"/>
    <w:rsid w:val="00C45424"/>
    <w:rsid w:val="00C534C1"/>
    <w:rsid w:val="00C53681"/>
    <w:rsid w:val="00C53DC6"/>
    <w:rsid w:val="00C558B9"/>
    <w:rsid w:val="00C634C4"/>
    <w:rsid w:val="00C6613F"/>
    <w:rsid w:val="00C6621D"/>
    <w:rsid w:val="00C72993"/>
    <w:rsid w:val="00C73D5D"/>
    <w:rsid w:val="00C754DD"/>
    <w:rsid w:val="00C7572B"/>
    <w:rsid w:val="00C76500"/>
    <w:rsid w:val="00C77C5F"/>
    <w:rsid w:val="00C80852"/>
    <w:rsid w:val="00C82D5C"/>
    <w:rsid w:val="00C853E5"/>
    <w:rsid w:val="00C8618E"/>
    <w:rsid w:val="00C90931"/>
    <w:rsid w:val="00C95DEC"/>
    <w:rsid w:val="00C97AC0"/>
    <w:rsid w:val="00CA2BA5"/>
    <w:rsid w:val="00CA3348"/>
    <w:rsid w:val="00CA3C3A"/>
    <w:rsid w:val="00CA64C7"/>
    <w:rsid w:val="00CB19AB"/>
    <w:rsid w:val="00CB223D"/>
    <w:rsid w:val="00CB636E"/>
    <w:rsid w:val="00CB6ACA"/>
    <w:rsid w:val="00CC0B8F"/>
    <w:rsid w:val="00CC129D"/>
    <w:rsid w:val="00CC37F3"/>
    <w:rsid w:val="00CC77A8"/>
    <w:rsid w:val="00CD1E06"/>
    <w:rsid w:val="00CD1F87"/>
    <w:rsid w:val="00CD2518"/>
    <w:rsid w:val="00CD34B7"/>
    <w:rsid w:val="00CD69C8"/>
    <w:rsid w:val="00CE32F2"/>
    <w:rsid w:val="00CE33BD"/>
    <w:rsid w:val="00CE414C"/>
    <w:rsid w:val="00CF04C9"/>
    <w:rsid w:val="00CF2AFC"/>
    <w:rsid w:val="00CF6011"/>
    <w:rsid w:val="00D03952"/>
    <w:rsid w:val="00D053C2"/>
    <w:rsid w:val="00D053CC"/>
    <w:rsid w:val="00D0737E"/>
    <w:rsid w:val="00D1160F"/>
    <w:rsid w:val="00D11BF0"/>
    <w:rsid w:val="00D13546"/>
    <w:rsid w:val="00D139AA"/>
    <w:rsid w:val="00D14A22"/>
    <w:rsid w:val="00D16C6D"/>
    <w:rsid w:val="00D2043F"/>
    <w:rsid w:val="00D24AA9"/>
    <w:rsid w:val="00D33F39"/>
    <w:rsid w:val="00D34B02"/>
    <w:rsid w:val="00D4125E"/>
    <w:rsid w:val="00D46347"/>
    <w:rsid w:val="00D4758E"/>
    <w:rsid w:val="00D502F2"/>
    <w:rsid w:val="00D53F90"/>
    <w:rsid w:val="00D54B4E"/>
    <w:rsid w:val="00D54F1A"/>
    <w:rsid w:val="00D57AF5"/>
    <w:rsid w:val="00D6115D"/>
    <w:rsid w:val="00D661D8"/>
    <w:rsid w:val="00D67027"/>
    <w:rsid w:val="00D71A36"/>
    <w:rsid w:val="00D727BE"/>
    <w:rsid w:val="00D74099"/>
    <w:rsid w:val="00D75DEB"/>
    <w:rsid w:val="00D81F7E"/>
    <w:rsid w:val="00D853E6"/>
    <w:rsid w:val="00D8575E"/>
    <w:rsid w:val="00D901FD"/>
    <w:rsid w:val="00D90324"/>
    <w:rsid w:val="00D90C0B"/>
    <w:rsid w:val="00D90CF4"/>
    <w:rsid w:val="00D91656"/>
    <w:rsid w:val="00D91A1C"/>
    <w:rsid w:val="00D92351"/>
    <w:rsid w:val="00D92660"/>
    <w:rsid w:val="00D9689C"/>
    <w:rsid w:val="00D97AAA"/>
    <w:rsid w:val="00DA0D45"/>
    <w:rsid w:val="00DA2ACC"/>
    <w:rsid w:val="00DA2C93"/>
    <w:rsid w:val="00DA6F28"/>
    <w:rsid w:val="00DA73E2"/>
    <w:rsid w:val="00DB6BC0"/>
    <w:rsid w:val="00DC0216"/>
    <w:rsid w:val="00DC0C66"/>
    <w:rsid w:val="00DC36F6"/>
    <w:rsid w:val="00DC589D"/>
    <w:rsid w:val="00DD130E"/>
    <w:rsid w:val="00DD32B3"/>
    <w:rsid w:val="00DD47CC"/>
    <w:rsid w:val="00DD527C"/>
    <w:rsid w:val="00DE0063"/>
    <w:rsid w:val="00DE023E"/>
    <w:rsid w:val="00DE0953"/>
    <w:rsid w:val="00DE52FC"/>
    <w:rsid w:val="00DE58D6"/>
    <w:rsid w:val="00DF4204"/>
    <w:rsid w:val="00DF4644"/>
    <w:rsid w:val="00DF71DC"/>
    <w:rsid w:val="00E0225B"/>
    <w:rsid w:val="00E03679"/>
    <w:rsid w:val="00E05DED"/>
    <w:rsid w:val="00E120DF"/>
    <w:rsid w:val="00E12B9E"/>
    <w:rsid w:val="00E149EB"/>
    <w:rsid w:val="00E14BC5"/>
    <w:rsid w:val="00E16768"/>
    <w:rsid w:val="00E212E6"/>
    <w:rsid w:val="00E21C31"/>
    <w:rsid w:val="00E23247"/>
    <w:rsid w:val="00E2441C"/>
    <w:rsid w:val="00E3008A"/>
    <w:rsid w:val="00E33E0F"/>
    <w:rsid w:val="00E36982"/>
    <w:rsid w:val="00E41109"/>
    <w:rsid w:val="00E43E78"/>
    <w:rsid w:val="00E52B01"/>
    <w:rsid w:val="00E619CA"/>
    <w:rsid w:val="00E61C87"/>
    <w:rsid w:val="00E63E4E"/>
    <w:rsid w:val="00E64B67"/>
    <w:rsid w:val="00E8009F"/>
    <w:rsid w:val="00E822E3"/>
    <w:rsid w:val="00E84FEF"/>
    <w:rsid w:val="00E85290"/>
    <w:rsid w:val="00E85945"/>
    <w:rsid w:val="00E87EB6"/>
    <w:rsid w:val="00E92A3D"/>
    <w:rsid w:val="00EA0188"/>
    <w:rsid w:val="00EA4C54"/>
    <w:rsid w:val="00EA6232"/>
    <w:rsid w:val="00EA676E"/>
    <w:rsid w:val="00EB3E89"/>
    <w:rsid w:val="00EB52A5"/>
    <w:rsid w:val="00EB636A"/>
    <w:rsid w:val="00EC0F85"/>
    <w:rsid w:val="00EC179F"/>
    <w:rsid w:val="00ED3FC1"/>
    <w:rsid w:val="00ED5413"/>
    <w:rsid w:val="00EE3DA2"/>
    <w:rsid w:val="00EE640B"/>
    <w:rsid w:val="00EF003E"/>
    <w:rsid w:val="00EF028F"/>
    <w:rsid w:val="00EF09BB"/>
    <w:rsid w:val="00EF5AA4"/>
    <w:rsid w:val="00EF79D3"/>
    <w:rsid w:val="00F02954"/>
    <w:rsid w:val="00F02A1B"/>
    <w:rsid w:val="00F042A1"/>
    <w:rsid w:val="00F04BC7"/>
    <w:rsid w:val="00F0552C"/>
    <w:rsid w:val="00F05C57"/>
    <w:rsid w:val="00F1048B"/>
    <w:rsid w:val="00F10615"/>
    <w:rsid w:val="00F11137"/>
    <w:rsid w:val="00F13BE4"/>
    <w:rsid w:val="00F140D9"/>
    <w:rsid w:val="00F15959"/>
    <w:rsid w:val="00F16292"/>
    <w:rsid w:val="00F213FE"/>
    <w:rsid w:val="00F22D91"/>
    <w:rsid w:val="00F23D08"/>
    <w:rsid w:val="00F2571F"/>
    <w:rsid w:val="00F27599"/>
    <w:rsid w:val="00F34500"/>
    <w:rsid w:val="00F363EA"/>
    <w:rsid w:val="00F4164D"/>
    <w:rsid w:val="00F44341"/>
    <w:rsid w:val="00F538DC"/>
    <w:rsid w:val="00F541BE"/>
    <w:rsid w:val="00F55C74"/>
    <w:rsid w:val="00F60351"/>
    <w:rsid w:val="00F60444"/>
    <w:rsid w:val="00F60B9E"/>
    <w:rsid w:val="00F627CE"/>
    <w:rsid w:val="00F63FBB"/>
    <w:rsid w:val="00F66B15"/>
    <w:rsid w:val="00F70DF4"/>
    <w:rsid w:val="00F73887"/>
    <w:rsid w:val="00F77FA2"/>
    <w:rsid w:val="00F82447"/>
    <w:rsid w:val="00F8290C"/>
    <w:rsid w:val="00F82AA3"/>
    <w:rsid w:val="00F840E2"/>
    <w:rsid w:val="00F84AAA"/>
    <w:rsid w:val="00F86615"/>
    <w:rsid w:val="00F86D90"/>
    <w:rsid w:val="00F91363"/>
    <w:rsid w:val="00F916E8"/>
    <w:rsid w:val="00F92402"/>
    <w:rsid w:val="00F934E2"/>
    <w:rsid w:val="00F94D08"/>
    <w:rsid w:val="00F95957"/>
    <w:rsid w:val="00FA083D"/>
    <w:rsid w:val="00FA7F1F"/>
    <w:rsid w:val="00FB6734"/>
    <w:rsid w:val="00FB7248"/>
    <w:rsid w:val="00FC25E7"/>
    <w:rsid w:val="00FC461C"/>
    <w:rsid w:val="00FC4AD4"/>
    <w:rsid w:val="00FC5133"/>
    <w:rsid w:val="00FC5377"/>
    <w:rsid w:val="00FC7827"/>
    <w:rsid w:val="00FD0F65"/>
    <w:rsid w:val="00FD1409"/>
    <w:rsid w:val="00FD4029"/>
    <w:rsid w:val="00FD46E1"/>
    <w:rsid w:val="00FD46F8"/>
    <w:rsid w:val="00FE00FD"/>
    <w:rsid w:val="00FE2C74"/>
    <w:rsid w:val="00FE4EE4"/>
    <w:rsid w:val="00FF18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5"/>
    <o:shapelayout v:ext="edit">
      <o:idmap v:ext="edit" data="1"/>
    </o:shapelayout>
  </w:shapeDefaults>
  <w:decimalSymbol w:val="."/>
  <w:listSeparator w:val=","/>
  <w15:docId w15:val="{FA268317-B20E-4859-9F76-79F705B0B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C754DD"/>
    <w:pPr>
      <w:keepNext/>
      <w:spacing w:before="240" w:after="60"/>
      <w:jc w:val="both"/>
      <w:outlineLvl w:val="0"/>
    </w:pPr>
    <w:rPr>
      <w:rFonts w:cs="Arial"/>
      <w:b/>
      <w:bCs/>
      <w:kern w:val="32"/>
      <w:szCs w:val="32"/>
    </w:rPr>
  </w:style>
  <w:style w:type="paragraph" w:styleId="Heading2">
    <w:name w:val="heading 2"/>
    <w:basedOn w:val="Normal"/>
    <w:next w:val="Normal"/>
    <w:qFormat/>
    <w:rsid w:val="00C754DD"/>
    <w:pPr>
      <w:keepNext/>
      <w:spacing w:before="120" w:after="120"/>
      <w:jc w:val="both"/>
      <w:outlineLvl w:val="1"/>
    </w:pPr>
    <w:rPr>
      <w:rFonts w:cs="Arial"/>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754DD"/>
    <w:rPr>
      <w:color w:val="0000FF"/>
      <w:u w:val="single"/>
    </w:rPr>
  </w:style>
  <w:style w:type="paragraph" w:styleId="FootnoteText">
    <w:name w:val="footnote text"/>
    <w:aliases w:val="Footnote text"/>
    <w:basedOn w:val="Normal"/>
    <w:semiHidden/>
    <w:rsid w:val="00C754DD"/>
    <w:pPr>
      <w:spacing w:before="120" w:after="120"/>
      <w:jc w:val="both"/>
    </w:pPr>
    <w:rPr>
      <w:sz w:val="20"/>
      <w:szCs w:val="20"/>
    </w:rPr>
  </w:style>
  <w:style w:type="character" w:styleId="FootnoteReference">
    <w:name w:val="footnote reference"/>
    <w:aliases w:val="Footnotereference"/>
    <w:semiHidden/>
    <w:rsid w:val="00C754DD"/>
    <w:rPr>
      <w:vertAlign w:val="superscript"/>
    </w:rPr>
  </w:style>
  <w:style w:type="paragraph" w:styleId="Footer">
    <w:name w:val="footer"/>
    <w:basedOn w:val="Normal"/>
    <w:rsid w:val="00C754DD"/>
    <w:pPr>
      <w:tabs>
        <w:tab w:val="center" w:pos="4153"/>
        <w:tab w:val="right" w:pos="8306"/>
      </w:tabs>
    </w:pPr>
  </w:style>
  <w:style w:type="character" w:styleId="PageNumber">
    <w:name w:val="page number"/>
    <w:basedOn w:val="DefaultParagraphFont"/>
    <w:rsid w:val="00C754DD"/>
  </w:style>
  <w:style w:type="table" w:styleId="TableElegant">
    <w:name w:val="Table Elegant"/>
    <w:basedOn w:val="TableNormal"/>
    <w:rsid w:val="009F532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BalloonText">
    <w:name w:val="Balloon Text"/>
    <w:basedOn w:val="Normal"/>
    <w:semiHidden/>
    <w:rsid w:val="001E2A70"/>
    <w:rPr>
      <w:rFonts w:ascii="Tahoma" w:hAnsi="Tahoma" w:cs="Tahoma"/>
      <w:sz w:val="16"/>
      <w:szCs w:val="16"/>
    </w:rPr>
  </w:style>
  <w:style w:type="character" w:styleId="CommentReference">
    <w:name w:val="annotation reference"/>
    <w:rsid w:val="005176E0"/>
    <w:rPr>
      <w:sz w:val="16"/>
      <w:szCs w:val="16"/>
    </w:rPr>
  </w:style>
  <w:style w:type="paragraph" w:styleId="CommentText">
    <w:name w:val="annotation text"/>
    <w:basedOn w:val="Normal"/>
    <w:link w:val="CommentTextChar"/>
    <w:rsid w:val="005176E0"/>
    <w:rPr>
      <w:sz w:val="20"/>
      <w:szCs w:val="20"/>
    </w:rPr>
  </w:style>
  <w:style w:type="character" w:customStyle="1" w:styleId="CommentTextChar">
    <w:name w:val="Comment Text Char"/>
    <w:basedOn w:val="DefaultParagraphFont"/>
    <w:link w:val="CommentText"/>
    <w:rsid w:val="005176E0"/>
  </w:style>
  <w:style w:type="paragraph" w:styleId="CommentSubject">
    <w:name w:val="annotation subject"/>
    <w:basedOn w:val="CommentText"/>
    <w:next w:val="CommentText"/>
    <w:link w:val="CommentSubjectChar"/>
    <w:rsid w:val="005176E0"/>
    <w:rPr>
      <w:b/>
      <w:bCs/>
    </w:rPr>
  </w:style>
  <w:style w:type="character" w:customStyle="1" w:styleId="CommentSubjectChar">
    <w:name w:val="Comment Subject Char"/>
    <w:link w:val="CommentSubject"/>
    <w:rsid w:val="005176E0"/>
    <w:rPr>
      <w:b/>
      <w:bCs/>
    </w:rPr>
  </w:style>
  <w:style w:type="paragraph" w:styleId="Bibliography">
    <w:name w:val="Bibliography"/>
    <w:basedOn w:val="Normal"/>
    <w:next w:val="Normal"/>
    <w:uiPriority w:val="37"/>
    <w:unhideWhenUsed/>
    <w:rsid w:val="005D0274"/>
    <w:pPr>
      <w:ind w:left="720" w:hanging="720"/>
    </w:pPr>
  </w:style>
  <w:style w:type="paragraph" w:styleId="Header">
    <w:name w:val="header"/>
    <w:basedOn w:val="Normal"/>
    <w:link w:val="HeaderChar"/>
    <w:rsid w:val="00983108"/>
    <w:pPr>
      <w:tabs>
        <w:tab w:val="center" w:pos="4513"/>
        <w:tab w:val="right" w:pos="9026"/>
      </w:tabs>
    </w:pPr>
  </w:style>
  <w:style w:type="character" w:customStyle="1" w:styleId="HeaderChar">
    <w:name w:val="Header Char"/>
    <w:basedOn w:val="DefaultParagraphFont"/>
    <w:link w:val="Header"/>
    <w:rsid w:val="0098310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636123">
      <w:bodyDiv w:val="1"/>
      <w:marLeft w:val="0"/>
      <w:marRight w:val="0"/>
      <w:marTop w:val="0"/>
      <w:marBottom w:val="0"/>
      <w:divBdr>
        <w:top w:val="none" w:sz="0" w:space="0" w:color="auto"/>
        <w:left w:val="none" w:sz="0" w:space="0" w:color="auto"/>
        <w:bottom w:val="none" w:sz="0" w:space="0" w:color="auto"/>
        <w:right w:val="none" w:sz="0" w:space="0" w:color="auto"/>
      </w:divBdr>
    </w:div>
    <w:div w:id="992878967">
      <w:bodyDiv w:val="1"/>
      <w:marLeft w:val="0"/>
      <w:marRight w:val="0"/>
      <w:marTop w:val="0"/>
      <w:marBottom w:val="0"/>
      <w:divBdr>
        <w:top w:val="none" w:sz="0" w:space="0" w:color="auto"/>
        <w:left w:val="none" w:sz="0" w:space="0" w:color="auto"/>
        <w:bottom w:val="none" w:sz="0" w:space="0" w:color="auto"/>
        <w:right w:val="none" w:sz="0" w:space="0" w:color="auto"/>
      </w:divBdr>
    </w:div>
    <w:div w:id="1067067422">
      <w:bodyDiv w:val="1"/>
      <w:marLeft w:val="0"/>
      <w:marRight w:val="0"/>
      <w:marTop w:val="0"/>
      <w:marBottom w:val="0"/>
      <w:divBdr>
        <w:top w:val="none" w:sz="0" w:space="0" w:color="auto"/>
        <w:left w:val="none" w:sz="0" w:space="0" w:color="auto"/>
        <w:bottom w:val="none" w:sz="0" w:space="0" w:color="auto"/>
        <w:right w:val="none" w:sz="0" w:space="0" w:color="auto"/>
      </w:divBdr>
    </w:div>
    <w:div w:id="1266958400">
      <w:bodyDiv w:val="1"/>
      <w:marLeft w:val="0"/>
      <w:marRight w:val="0"/>
      <w:marTop w:val="0"/>
      <w:marBottom w:val="0"/>
      <w:divBdr>
        <w:top w:val="none" w:sz="0" w:space="0" w:color="auto"/>
        <w:left w:val="none" w:sz="0" w:space="0" w:color="auto"/>
        <w:bottom w:val="none" w:sz="0" w:space="0" w:color="auto"/>
        <w:right w:val="none" w:sz="0" w:space="0" w:color="auto"/>
      </w:divBdr>
    </w:div>
    <w:div w:id="1615097570">
      <w:bodyDiv w:val="1"/>
      <w:marLeft w:val="0"/>
      <w:marRight w:val="0"/>
      <w:marTop w:val="0"/>
      <w:marBottom w:val="0"/>
      <w:divBdr>
        <w:top w:val="none" w:sz="0" w:space="0" w:color="auto"/>
        <w:left w:val="none" w:sz="0" w:space="0" w:color="auto"/>
        <w:bottom w:val="none" w:sz="0" w:space="0" w:color="auto"/>
        <w:right w:val="none" w:sz="0" w:space="0" w:color="auto"/>
      </w:divBdr>
    </w:div>
    <w:div w:id="1812676221">
      <w:bodyDiv w:val="1"/>
      <w:marLeft w:val="0"/>
      <w:marRight w:val="0"/>
      <w:marTop w:val="0"/>
      <w:marBottom w:val="0"/>
      <w:divBdr>
        <w:top w:val="none" w:sz="0" w:space="0" w:color="auto"/>
        <w:left w:val="none" w:sz="0" w:space="0" w:color="auto"/>
        <w:bottom w:val="none" w:sz="0" w:space="0" w:color="auto"/>
        <w:right w:val="none" w:sz="0" w:space="0" w:color="auto"/>
      </w:divBdr>
    </w:div>
    <w:div w:id="1898007334">
      <w:bodyDiv w:val="1"/>
      <w:marLeft w:val="0"/>
      <w:marRight w:val="0"/>
      <w:marTop w:val="0"/>
      <w:marBottom w:val="0"/>
      <w:divBdr>
        <w:top w:val="none" w:sz="0" w:space="0" w:color="auto"/>
        <w:left w:val="none" w:sz="0" w:space="0" w:color="auto"/>
        <w:bottom w:val="none" w:sz="0" w:space="0" w:color="auto"/>
        <w:right w:val="none" w:sz="0" w:space="0" w:color="auto"/>
      </w:divBdr>
    </w:div>
    <w:div w:id="199848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oleObject" Target="embeddings/oleObject20.bin"/><Relationship Id="rId50" Type="http://schemas.openxmlformats.org/officeDocument/2006/relationships/image" Target="media/image22.wmf"/><Relationship Id="rId55" Type="http://schemas.openxmlformats.org/officeDocument/2006/relationships/oleObject" Target="embeddings/oleObject24.bin"/><Relationship Id="rId63" Type="http://schemas.openxmlformats.org/officeDocument/2006/relationships/oleObject" Target="embeddings/oleObject28.bin"/><Relationship Id="rId68" Type="http://schemas.openxmlformats.org/officeDocument/2006/relationships/image" Target="media/image31.wmf"/><Relationship Id="rId76" Type="http://schemas.openxmlformats.org/officeDocument/2006/relationships/image" Target="media/image35.wmf"/><Relationship Id="rId84" Type="http://schemas.openxmlformats.org/officeDocument/2006/relationships/image" Target="media/image39.wmf"/><Relationship Id="rId89"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oleObject" Target="embeddings/oleObject32.bin"/><Relationship Id="rId9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image" Target="media/image26.wmf"/><Relationship Id="rId66" Type="http://schemas.openxmlformats.org/officeDocument/2006/relationships/image" Target="media/image30.wmf"/><Relationship Id="rId74" Type="http://schemas.openxmlformats.org/officeDocument/2006/relationships/image" Target="media/image34.wmf"/><Relationship Id="rId79" Type="http://schemas.openxmlformats.org/officeDocument/2006/relationships/oleObject" Target="embeddings/oleObject36.bin"/><Relationship Id="rId87" Type="http://schemas.openxmlformats.org/officeDocument/2006/relationships/image" Target="media/image41.png"/><Relationship Id="rId5" Type="http://schemas.openxmlformats.org/officeDocument/2006/relationships/webSettings" Target="webSettings.xml"/><Relationship Id="rId61" Type="http://schemas.openxmlformats.org/officeDocument/2006/relationships/oleObject" Target="embeddings/oleObject27.bin"/><Relationship Id="rId82" Type="http://schemas.openxmlformats.org/officeDocument/2006/relationships/image" Target="media/image38.wmf"/><Relationship Id="rId90" Type="http://schemas.openxmlformats.org/officeDocument/2006/relationships/footer" Target="footer2.xml"/><Relationship Id="rId19" Type="http://schemas.openxmlformats.org/officeDocument/2006/relationships/oleObject" Target="embeddings/oleObject6.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1.wmf"/><Relationship Id="rId56" Type="http://schemas.openxmlformats.org/officeDocument/2006/relationships/image" Target="media/image25.wmf"/><Relationship Id="rId64" Type="http://schemas.openxmlformats.org/officeDocument/2006/relationships/image" Target="media/image29.wmf"/><Relationship Id="rId69" Type="http://schemas.openxmlformats.org/officeDocument/2006/relationships/oleObject" Target="embeddings/oleObject31.bin"/><Relationship Id="rId77" Type="http://schemas.openxmlformats.org/officeDocument/2006/relationships/oleObject" Target="embeddings/oleObject35.bin"/><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image" Target="media/image33.wmf"/><Relationship Id="rId80" Type="http://schemas.openxmlformats.org/officeDocument/2006/relationships/image" Target="media/image37.wmf"/><Relationship Id="rId85" Type="http://schemas.openxmlformats.org/officeDocument/2006/relationships/oleObject" Target="embeddings/oleObject39.bin"/><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oleObject" Target="embeddings/oleObject26.bin"/><Relationship Id="rId67" Type="http://schemas.openxmlformats.org/officeDocument/2006/relationships/oleObject" Target="embeddings/oleObject30.bin"/><Relationship Id="rId20" Type="http://schemas.openxmlformats.org/officeDocument/2006/relationships/image" Target="media/image7.wmf"/><Relationship Id="rId41" Type="http://schemas.openxmlformats.org/officeDocument/2006/relationships/oleObject" Target="embeddings/oleObject17.bin"/><Relationship Id="rId54" Type="http://schemas.openxmlformats.org/officeDocument/2006/relationships/image" Target="media/image24.wmf"/><Relationship Id="rId62" Type="http://schemas.openxmlformats.org/officeDocument/2006/relationships/image" Target="media/image28.wmf"/><Relationship Id="rId70" Type="http://schemas.openxmlformats.org/officeDocument/2006/relationships/image" Target="media/image32.wmf"/><Relationship Id="rId75" Type="http://schemas.openxmlformats.org/officeDocument/2006/relationships/oleObject" Target="embeddings/oleObject34.bin"/><Relationship Id="rId83" Type="http://schemas.openxmlformats.org/officeDocument/2006/relationships/oleObject" Target="embeddings/oleObject38.bin"/><Relationship Id="rId88" Type="http://schemas.openxmlformats.org/officeDocument/2006/relationships/header" Target="header1.xm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1.bin"/><Relationship Id="rId57" Type="http://schemas.openxmlformats.org/officeDocument/2006/relationships/oleObject" Target="embeddings/oleObject25.bin"/><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oleObject" Target="embeddings/oleObject29.bin"/><Relationship Id="rId73" Type="http://schemas.openxmlformats.org/officeDocument/2006/relationships/oleObject" Target="embeddings/oleObject33.bin"/><Relationship Id="rId78" Type="http://schemas.openxmlformats.org/officeDocument/2006/relationships/image" Target="media/image36.wmf"/><Relationship Id="rId81" Type="http://schemas.openxmlformats.org/officeDocument/2006/relationships/oleObject" Target="embeddings/oleObject37.bin"/><Relationship Id="rId86" Type="http://schemas.openxmlformats.org/officeDocument/2006/relationships/image" Target="media/image40.png"/><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21256-C20B-42A2-9437-F37DE6ECD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16112</Words>
  <Characters>91841</Characters>
  <Application>Microsoft Office Word</Application>
  <DocSecurity>0</DocSecurity>
  <Lines>765</Lines>
  <Paragraphs>215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Worldwide economic tsunami from the 2011 Japanese disaster</vt:lpstr>
      <vt:lpstr>Worldwide economic tsunami from the 2011 Japanese disaster</vt:lpstr>
    </vt:vector>
  </TitlesOfParts>
  <Company>European Commission</Company>
  <LinksUpToDate>false</LinksUpToDate>
  <CharactersWithSpaces>107738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Worldwide economic tsunami from the 2011 Japanese disaster</dc:title>
  <dc:creator>artooig</dc:creator>
  <cp:lastModifiedBy>Valeria Andreoni</cp:lastModifiedBy>
  <cp:revision>2</cp:revision>
  <cp:lastPrinted>2014-08-14T15:21:00Z</cp:lastPrinted>
  <dcterms:created xsi:type="dcterms:W3CDTF">2016-03-09T11:50:00Z</dcterms:created>
  <dcterms:modified xsi:type="dcterms:W3CDTF">2016-03-09T11:50:00Z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zotero-version="4.0.21.2"&gt;&lt;session id="u9O6xrgY"/&gt;&lt;style id="http://www.zotero.org/styles/ecological-economics" hasBibliography="1" bibliographyStyleHasBeenSet="1"/&gt;&lt;prefs&gt;&lt;pref name="fieldType" value="Field"/&gt;&lt;pref name="storeRefer</vt:lpwstr>
  </property>
  <property fmtid="{D5CDD505-2E9C-101B-9397-08002B2CF9AE}" pid="3" name="ZOTERO_PREF_2">
    <vt:lpwstr>ences" value="true"/&gt;&lt;pref name="automaticJournalAbbreviations" value="false"/&gt;&lt;pref name="noteType" value="0"/&gt;&lt;/prefs&gt;&lt;/data&gt;</vt:lpwstr>
  </property>
</Properties>
</file>