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9034" w14:textId="77777777" w:rsidR="000E191C" w:rsidRPr="00CA0534" w:rsidRDefault="00A13A25" w:rsidP="000E191C">
      <w:pPr>
        <w:spacing w:before="240" w:after="0"/>
        <w:jc w:val="center"/>
        <w:rPr>
          <w:rFonts w:ascii="Times New Roman" w:hAnsi="Times New Roman"/>
          <w:b/>
          <w:sz w:val="24"/>
          <w:szCs w:val="24"/>
        </w:rPr>
      </w:pPr>
      <w:r>
        <w:rPr>
          <w:rFonts w:ascii="Times New Roman" w:hAnsi="Times New Roman"/>
          <w:b/>
          <w:sz w:val="24"/>
          <w:szCs w:val="24"/>
        </w:rPr>
        <w:t>M</w:t>
      </w:r>
      <w:r w:rsidR="000E191C" w:rsidRPr="00CA0534">
        <w:rPr>
          <w:rFonts w:ascii="Times New Roman" w:hAnsi="Times New Roman"/>
          <w:b/>
          <w:sz w:val="24"/>
          <w:szCs w:val="24"/>
        </w:rPr>
        <w:t xml:space="preserve">apping </w:t>
      </w:r>
      <w:r>
        <w:rPr>
          <w:rFonts w:ascii="Times New Roman" w:hAnsi="Times New Roman"/>
          <w:b/>
          <w:sz w:val="24"/>
          <w:szCs w:val="24"/>
        </w:rPr>
        <w:t xml:space="preserve">socioeconomic </w:t>
      </w:r>
      <w:r w:rsidR="00443D3D">
        <w:rPr>
          <w:rFonts w:ascii="Times New Roman" w:hAnsi="Times New Roman"/>
          <w:b/>
          <w:sz w:val="24"/>
          <w:szCs w:val="24"/>
        </w:rPr>
        <w:t>well-being across EU regions</w:t>
      </w:r>
    </w:p>
    <w:p w14:paraId="419AD197" w14:textId="77777777" w:rsidR="00CA0534" w:rsidRPr="00CA0534" w:rsidRDefault="00CA0534" w:rsidP="000E191C">
      <w:pPr>
        <w:spacing w:before="240" w:after="0"/>
        <w:jc w:val="center"/>
        <w:rPr>
          <w:rFonts w:ascii="Times New Roman" w:hAnsi="Times New Roman"/>
          <w:sz w:val="24"/>
          <w:szCs w:val="24"/>
        </w:rPr>
      </w:pPr>
    </w:p>
    <w:p w14:paraId="6B675842" w14:textId="77777777" w:rsidR="001C42FD" w:rsidRDefault="001C42FD" w:rsidP="000E191C">
      <w:pPr>
        <w:spacing w:line="360" w:lineRule="auto"/>
        <w:jc w:val="both"/>
        <w:rPr>
          <w:rFonts w:ascii="Times New Roman" w:hAnsi="Times New Roman"/>
          <w:sz w:val="24"/>
          <w:szCs w:val="24"/>
        </w:rPr>
      </w:pPr>
    </w:p>
    <w:p w14:paraId="76B1C3F9" w14:textId="77777777" w:rsidR="000E191C" w:rsidRPr="000E191C" w:rsidRDefault="000E191C" w:rsidP="000E191C">
      <w:pPr>
        <w:spacing w:line="360" w:lineRule="auto"/>
        <w:jc w:val="both"/>
        <w:rPr>
          <w:rFonts w:ascii="Times New Roman" w:hAnsi="Times New Roman"/>
          <w:b/>
          <w:sz w:val="24"/>
          <w:szCs w:val="24"/>
          <w:lang w:val="en-US"/>
        </w:rPr>
      </w:pPr>
      <w:r w:rsidRPr="000E191C">
        <w:rPr>
          <w:rFonts w:ascii="Times New Roman" w:hAnsi="Times New Roman"/>
          <w:b/>
          <w:sz w:val="24"/>
          <w:szCs w:val="24"/>
          <w:lang w:val="en-US"/>
        </w:rPr>
        <w:t>Abstract:</w:t>
      </w:r>
    </w:p>
    <w:p w14:paraId="1CB82C28" w14:textId="7BB90B35" w:rsidR="00C75AF1" w:rsidRDefault="001579AC" w:rsidP="000E191C">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this paper a multidimensional </w:t>
      </w:r>
      <w:r w:rsidR="000E191C" w:rsidRPr="000E191C">
        <w:rPr>
          <w:rFonts w:ascii="Times New Roman" w:hAnsi="Times New Roman"/>
          <w:sz w:val="24"/>
          <w:szCs w:val="24"/>
          <w:lang w:val="en-US"/>
        </w:rPr>
        <w:t xml:space="preserve">approach is used to </w:t>
      </w:r>
      <w:r w:rsidR="0078572E">
        <w:rPr>
          <w:rFonts w:ascii="Times New Roman" w:hAnsi="Times New Roman"/>
          <w:sz w:val="24"/>
          <w:szCs w:val="24"/>
          <w:lang w:val="en-US"/>
        </w:rPr>
        <w:t>map</w:t>
      </w:r>
      <w:r w:rsidR="000E191C" w:rsidRPr="000E191C">
        <w:rPr>
          <w:rFonts w:ascii="Times New Roman" w:hAnsi="Times New Roman"/>
          <w:sz w:val="24"/>
          <w:szCs w:val="24"/>
          <w:lang w:val="en-US"/>
        </w:rPr>
        <w:t xml:space="preserve"> well-being across European regions. By </w:t>
      </w:r>
      <w:r w:rsidR="009807EF">
        <w:rPr>
          <w:rFonts w:ascii="Times New Roman" w:hAnsi="Times New Roman"/>
          <w:sz w:val="24"/>
          <w:szCs w:val="24"/>
          <w:lang w:val="en-US"/>
        </w:rPr>
        <w:t>considering</w:t>
      </w:r>
      <w:r w:rsidR="00A13A25">
        <w:rPr>
          <w:rFonts w:ascii="Times New Roman" w:hAnsi="Times New Roman"/>
          <w:sz w:val="24"/>
          <w:szCs w:val="24"/>
          <w:lang w:val="en-US"/>
        </w:rPr>
        <w:t xml:space="preserve"> the set of socioeconomic indicators</w:t>
      </w:r>
      <w:r w:rsidR="000E191C" w:rsidRPr="000E191C">
        <w:rPr>
          <w:rFonts w:ascii="Times New Roman" w:hAnsi="Times New Roman"/>
          <w:sz w:val="24"/>
          <w:szCs w:val="24"/>
          <w:lang w:val="en-US"/>
        </w:rPr>
        <w:t xml:space="preserve"> provided by Eurostat for the EU 266 NUTS-2 regions, three main analyses have been performed for the year 2009:</w:t>
      </w:r>
      <w:r w:rsidR="000E7945">
        <w:rPr>
          <w:rFonts w:ascii="Times New Roman" w:hAnsi="Times New Roman"/>
          <w:sz w:val="24"/>
          <w:szCs w:val="24"/>
          <w:lang w:val="en-US"/>
        </w:rPr>
        <w:t xml:space="preserve"> </w:t>
      </w:r>
      <w:r w:rsidR="000E191C" w:rsidRPr="000E191C">
        <w:rPr>
          <w:rFonts w:ascii="Times New Roman" w:hAnsi="Times New Roman"/>
          <w:sz w:val="24"/>
          <w:szCs w:val="24"/>
          <w:lang w:val="en-US"/>
        </w:rPr>
        <w:t xml:space="preserve"> </w:t>
      </w:r>
      <w:r w:rsidR="000E7945">
        <w:rPr>
          <w:rFonts w:ascii="Times New Roman" w:hAnsi="Times New Roman"/>
          <w:sz w:val="24"/>
          <w:szCs w:val="24"/>
          <w:lang w:val="en-US"/>
        </w:rPr>
        <w:t xml:space="preserve">(1) </w:t>
      </w:r>
      <w:r w:rsidR="000E191C" w:rsidRPr="000E191C">
        <w:rPr>
          <w:rFonts w:ascii="Times New Roman" w:hAnsi="Times New Roman"/>
          <w:sz w:val="24"/>
          <w:szCs w:val="24"/>
          <w:lang w:val="en-US"/>
        </w:rPr>
        <w:t xml:space="preserve">The “ideal point” technique has been used to identify: </w:t>
      </w:r>
      <w:r w:rsidR="000E191C" w:rsidRPr="000E191C">
        <w:rPr>
          <w:rFonts w:ascii="Times New Roman" w:hAnsi="Times New Roman"/>
          <w:i/>
          <w:sz w:val="24"/>
          <w:szCs w:val="24"/>
          <w:lang w:val="en-US"/>
        </w:rPr>
        <w:t>(i)</w:t>
      </w:r>
      <w:r w:rsidR="000E191C" w:rsidRPr="000E191C">
        <w:rPr>
          <w:rFonts w:ascii="Times New Roman" w:hAnsi="Times New Roman"/>
          <w:sz w:val="24"/>
          <w:szCs w:val="24"/>
          <w:lang w:val="en-US"/>
        </w:rPr>
        <w:t xml:space="preserve"> the best EU performances; </w:t>
      </w:r>
      <w:r w:rsidR="000E191C" w:rsidRPr="000E191C">
        <w:rPr>
          <w:rFonts w:ascii="Times New Roman" w:hAnsi="Times New Roman"/>
          <w:i/>
          <w:sz w:val="24"/>
          <w:szCs w:val="24"/>
          <w:lang w:val="en-US"/>
        </w:rPr>
        <w:t>(ii)</w:t>
      </w:r>
      <w:r w:rsidR="000E191C" w:rsidRPr="000E191C">
        <w:rPr>
          <w:rFonts w:ascii="Times New Roman" w:hAnsi="Times New Roman"/>
          <w:sz w:val="24"/>
          <w:szCs w:val="24"/>
          <w:lang w:val="en-US"/>
        </w:rPr>
        <w:t xml:space="preserve"> the number and type of indicato</w:t>
      </w:r>
      <w:r>
        <w:rPr>
          <w:rFonts w:ascii="Times New Roman" w:hAnsi="Times New Roman"/>
          <w:sz w:val="24"/>
          <w:szCs w:val="24"/>
          <w:lang w:val="en-US"/>
        </w:rPr>
        <w:t xml:space="preserve">rs </w:t>
      </w:r>
      <w:r w:rsidR="0078572E">
        <w:rPr>
          <w:rFonts w:ascii="Times New Roman" w:hAnsi="Times New Roman"/>
          <w:sz w:val="24"/>
          <w:szCs w:val="24"/>
          <w:lang w:val="en-US"/>
        </w:rPr>
        <w:t xml:space="preserve">that need </w:t>
      </w:r>
      <w:r>
        <w:rPr>
          <w:rFonts w:ascii="Times New Roman" w:hAnsi="Times New Roman"/>
          <w:sz w:val="24"/>
          <w:szCs w:val="24"/>
          <w:lang w:val="en-US"/>
        </w:rPr>
        <w:t xml:space="preserve"> to be improved in</w:t>
      </w:r>
      <w:r w:rsidR="002B6040">
        <w:rPr>
          <w:rFonts w:ascii="Times New Roman" w:hAnsi="Times New Roman"/>
          <w:sz w:val="24"/>
          <w:szCs w:val="24"/>
          <w:lang w:val="en-US"/>
        </w:rPr>
        <w:t xml:space="preserve"> every European</w:t>
      </w:r>
      <w:r w:rsidR="000E191C" w:rsidRPr="000E191C">
        <w:rPr>
          <w:rFonts w:ascii="Times New Roman" w:hAnsi="Times New Roman"/>
          <w:sz w:val="24"/>
          <w:szCs w:val="24"/>
          <w:lang w:val="en-US"/>
        </w:rPr>
        <w:t xml:space="preserve"> regions</w:t>
      </w:r>
      <w:r w:rsidR="000E191C" w:rsidRPr="000E191C">
        <w:rPr>
          <w:rFonts w:ascii="Times New Roman" w:hAnsi="Times New Roman"/>
          <w:i/>
          <w:sz w:val="24"/>
          <w:szCs w:val="24"/>
          <w:lang w:val="en-US"/>
        </w:rPr>
        <w:t>.</w:t>
      </w:r>
      <w:r w:rsidR="000E7945">
        <w:rPr>
          <w:rFonts w:ascii="Times New Roman" w:hAnsi="Times New Roman"/>
          <w:sz w:val="24"/>
          <w:szCs w:val="24"/>
          <w:lang w:val="en-US"/>
        </w:rPr>
        <w:t xml:space="preserve"> (2) </w:t>
      </w:r>
      <w:r w:rsidR="00CD3B42">
        <w:rPr>
          <w:rFonts w:ascii="Times New Roman" w:hAnsi="Times New Roman"/>
          <w:sz w:val="24"/>
          <w:szCs w:val="24"/>
          <w:lang w:val="en-US"/>
        </w:rPr>
        <w:t xml:space="preserve">A map </w:t>
      </w:r>
      <w:r w:rsidR="002B6040">
        <w:rPr>
          <w:rFonts w:ascii="Times New Roman" w:hAnsi="Times New Roman"/>
          <w:sz w:val="24"/>
          <w:szCs w:val="24"/>
          <w:lang w:val="en-US"/>
        </w:rPr>
        <w:t xml:space="preserve">of </w:t>
      </w:r>
      <w:r w:rsidR="000E191C" w:rsidRPr="000E191C">
        <w:rPr>
          <w:rFonts w:ascii="Times New Roman" w:hAnsi="Times New Roman"/>
          <w:sz w:val="24"/>
          <w:szCs w:val="24"/>
          <w:lang w:val="en-US"/>
        </w:rPr>
        <w:t>well-being has been elaborated to provide a picture summ</w:t>
      </w:r>
      <w:r w:rsidR="00CD3B42">
        <w:rPr>
          <w:rFonts w:ascii="Times New Roman" w:hAnsi="Times New Roman"/>
          <w:sz w:val="24"/>
          <w:szCs w:val="24"/>
          <w:lang w:val="en-US"/>
        </w:rPr>
        <w:t>arizing the regional values</w:t>
      </w:r>
      <w:r w:rsidR="000E191C" w:rsidRPr="000E191C">
        <w:rPr>
          <w:rFonts w:ascii="Times New Roman" w:hAnsi="Times New Roman"/>
          <w:sz w:val="24"/>
          <w:szCs w:val="24"/>
          <w:lang w:val="en-US"/>
        </w:rPr>
        <w:t xml:space="preserve"> in comparison to the European average. </w:t>
      </w:r>
      <w:r w:rsidR="000E7945">
        <w:rPr>
          <w:rFonts w:ascii="Times New Roman" w:hAnsi="Times New Roman"/>
          <w:sz w:val="24"/>
          <w:szCs w:val="24"/>
          <w:lang w:val="en-US"/>
        </w:rPr>
        <w:t>(</w:t>
      </w:r>
      <w:r w:rsidR="007510C8">
        <w:rPr>
          <w:rFonts w:ascii="Times New Roman" w:hAnsi="Times New Roman"/>
          <w:sz w:val="24"/>
          <w:szCs w:val="24"/>
          <w:lang w:val="en-US"/>
        </w:rPr>
        <w:t>3</w:t>
      </w:r>
      <w:r w:rsidR="000E7945">
        <w:rPr>
          <w:rFonts w:ascii="Times New Roman" w:hAnsi="Times New Roman"/>
          <w:sz w:val="24"/>
          <w:szCs w:val="24"/>
          <w:lang w:val="en-US"/>
        </w:rPr>
        <w:t xml:space="preserve">) </w:t>
      </w:r>
      <w:proofErr w:type="spellStart"/>
      <w:r w:rsidR="000E191C" w:rsidRPr="000E191C">
        <w:rPr>
          <w:rFonts w:ascii="Times New Roman" w:hAnsi="Times New Roman"/>
          <w:sz w:val="24"/>
          <w:szCs w:val="24"/>
          <w:lang w:val="en-US"/>
        </w:rPr>
        <w:t>Gini</w:t>
      </w:r>
      <w:proofErr w:type="spellEnd"/>
      <w:r w:rsidR="000E191C" w:rsidRPr="000E191C">
        <w:rPr>
          <w:rFonts w:ascii="Times New Roman" w:hAnsi="Times New Roman"/>
          <w:sz w:val="24"/>
          <w:szCs w:val="24"/>
          <w:lang w:val="en-US"/>
        </w:rPr>
        <w:t xml:space="preserve"> coefficient has been calculated to identify the indicators </w:t>
      </w:r>
      <w:r w:rsidR="0078572E">
        <w:rPr>
          <w:rFonts w:ascii="Times New Roman" w:hAnsi="Times New Roman"/>
          <w:sz w:val="24"/>
          <w:szCs w:val="24"/>
          <w:lang w:val="en-US"/>
        </w:rPr>
        <w:t>that outline</w:t>
      </w:r>
      <w:r w:rsidR="0078572E" w:rsidRPr="000E191C">
        <w:rPr>
          <w:rFonts w:ascii="Times New Roman" w:hAnsi="Times New Roman"/>
          <w:sz w:val="24"/>
          <w:szCs w:val="24"/>
          <w:lang w:val="en-US"/>
        </w:rPr>
        <w:t xml:space="preserve"> </w:t>
      </w:r>
      <w:r w:rsidR="000E191C" w:rsidRPr="000E191C">
        <w:rPr>
          <w:rFonts w:ascii="Times New Roman" w:hAnsi="Times New Roman"/>
          <w:sz w:val="24"/>
          <w:szCs w:val="24"/>
          <w:lang w:val="en-US"/>
        </w:rPr>
        <w:t>the la</w:t>
      </w:r>
      <w:r>
        <w:rPr>
          <w:rFonts w:ascii="Times New Roman" w:hAnsi="Times New Roman"/>
          <w:sz w:val="24"/>
          <w:szCs w:val="24"/>
          <w:lang w:val="en-US"/>
        </w:rPr>
        <w:t>rgest inequalities across EU</w:t>
      </w:r>
      <w:r w:rsidR="000E191C" w:rsidRPr="000E191C">
        <w:rPr>
          <w:rFonts w:ascii="Times New Roman" w:hAnsi="Times New Roman"/>
          <w:sz w:val="24"/>
          <w:szCs w:val="24"/>
          <w:lang w:val="en-US"/>
        </w:rPr>
        <w:t>.</w:t>
      </w:r>
      <w:r w:rsidR="000E7945">
        <w:rPr>
          <w:rFonts w:ascii="Times New Roman" w:hAnsi="Times New Roman"/>
          <w:sz w:val="24"/>
          <w:szCs w:val="24"/>
          <w:lang w:val="en-US"/>
        </w:rPr>
        <w:t xml:space="preserve"> </w:t>
      </w:r>
      <w:r w:rsidR="00833A83">
        <w:rPr>
          <w:rFonts w:ascii="Times New Roman" w:hAnsi="Times New Roman"/>
          <w:sz w:val="24"/>
          <w:szCs w:val="24"/>
          <w:lang w:val="en-US"/>
        </w:rPr>
        <w:t>T</w:t>
      </w:r>
      <w:r w:rsidRPr="000E191C">
        <w:rPr>
          <w:rFonts w:ascii="Times New Roman" w:hAnsi="Times New Roman"/>
          <w:sz w:val="24"/>
          <w:szCs w:val="24"/>
          <w:lang w:val="en-US"/>
        </w:rPr>
        <w:t>he me</w:t>
      </w:r>
      <w:r w:rsidR="00EB14A5">
        <w:rPr>
          <w:rFonts w:ascii="Times New Roman" w:hAnsi="Times New Roman"/>
          <w:sz w:val="24"/>
          <w:szCs w:val="24"/>
          <w:lang w:val="en-US"/>
        </w:rPr>
        <w:t>thod presented in this paper is suitable to</w:t>
      </w:r>
      <w:r w:rsidRPr="000E191C">
        <w:rPr>
          <w:rFonts w:ascii="Times New Roman" w:hAnsi="Times New Roman"/>
          <w:sz w:val="24"/>
          <w:szCs w:val="24"/>
          <w:lang w:val="en-US"/>
        </w:rPr>
        <w:t xml:space="preserve"> be complemented with subjective </w:t>
      </w:r>
      <w:r w:rsidR="00EB14A5">
        <w:rPr>
          <w:rFonts w:ascii="Times New Roman" w:hAnsi="Times New Roman"/>
          <w:sz w:val="24"/>
          <w:szCs w:val="24"/>
          <w:lang w:val="en-US"/>
        </w:rPr>
        <w:t xml:space="preserve">ranking of </w:t>
      </w:r>
      <w:r w:rsidRPr="000E191C">
        <w:rPr>
          <w:rFonts w:ascii="Times New Roman" w:hAnsi="Times New Roman"/>
          <w:sz w:val="24"/>
          <w:szCs w:val="24"/>
          <w:lang w:val="en-US"/>
        </w:rPr>
        <w:t>values</w:t>
      </w:r>
      <w:r>
        <w:rPr>
          <w:rFonts w:ascii="Times New Roman" w:hAnsi="Times New Roman"/>
          <w:sz w:val="24"/>
          <w:szCs w:val="24"/>
          <w:lang w:val="en-US"/>
        </w:rPr>
        <w:t xml:space="preserve"> and preference</w:t>
      </w:r>
      <w:r w:rsidRPr="000E191C">
        <w:rPr>
          <w:rFonts w:ascii="Times New Roman" w:hAnsi="Times New Roman"/>
          <w:sz w:val="24"/>
          <w:szCs w:val="24"/>
          <w:lang w:val="en-US"/>
        </w:rPr>
        <w:t xml:space="preserve">, making the </w:t>
      </w:r>
      <w:r w:rsidR="00EB14A5">
        <w:rPr>
          <w:rFonts w:ascii="Times New Roman" w:hAnsi="Times New Roman"/>
          <w:sz w:val="24"/>
          <w:szCs w:val="24"/>
          <w:lang w:val="en-US"/>
        </w:rPr>
        <w:t xml:space="preserve">proposed methodology useful </w:t>
      </w:r>
      <w:r>
        <w:rPr>
          <w:rFonts w:ascii="Times New Roman" w:hAnsi="Times New Roman"/>
          <w:sz w:val="24"/>
          <w:szCs w:val="24"/>
          <w:lang w:val="en-US"/>
        </w:rPr>
        <w:t>to investigate</w:t>
      </w:r>
      <w:r w:rsidRPr="000E191C">
        <w:rPr>
          <w:rFonts w:ascii="Times New Roman" w:hAnsi="Times New Roman"/>
          <w:sz w:val="24"/>
          <w:szCs w:val="24"/>
          <w:lang w:val="en-US"/>
        </w:rPr>
        <w:t xml:space="preserve"> well-</w:t>
      </w:r>
      <w:r>
        <w:rPr>
          <w:rFonts w:ascii="Times New Roman" w:hAnsi="Times New Roman"/>
          <w:sz w:val="24"/>
          <w:szCs w:val="24"/>
          <w:lang w:val="en-US"/>
        </w:rPr>
        <w:t>b</w:t>
      </w:r>
      <w:r w:rsidR="00EB14A5">
        <w:rPr>
          <w:rFonts w:ascii="Times New Roman" w:hAnsi="Times New Roman"/>
          <w:sz w:val="24"/>
          <w:szCs w:val="24"/>
          <w:lang w:val="en-US"/>
        </w:rPr>
        <w:t xml:space="preserve">eing in a national, regional or </w:t>
      </w:r>
      <w:r w:rsidRPr="000E191C">
        <w:rPr>
          <w:rFonts w:ascii="Times New Roman" w:hAnsi="Times New Roman"/>
          <w:sz w:val="24"/>
          <w:szCs w:val="24"/>
          <w:lang w:val="en-US"/>
        </w:rPr>
        <w:t xml:space="preserve">individual scale. </w:t>
      </w:r>
      <w:r w:rsidR="000E191C" w:rsidRPr="000E191C">
        <w:rPr>
          <w:rFonts w:ascii="Times New Roman" w:hAnsi="Times New Roman"/>
          <w:sz w:val="24"/>
          <w:szCs w:val="24"/>
          <w:lang w:val="en-US"/>
        </w:rPr>
        <w:t xml:space="preserve">By providing a multidimensional description of well-being across the 266 EU regions, the </w:t>
      </w:r>
      <w:r w:rsidR="0078572E">
        <w:rPr>
          <w:rFonts w:ascii="Times New Roman" w:hAnsi="Times New Roman"/>
          <w:sz w:val="24"/>
          <w:szCs w:val="24"/>
          <w:lang w:val="en-US"/>
        </w:rPr>
        <w:t>methodology presented</w:t>
      </w:r>
      <w:r w:rsidR="000E191C" w:rsidRPr="000E191C">
        <w:rPr>
          <w:rFonts w:ascii="Times New Roman" w:hAnsi="Times New Roman"/>
          <w:sz w:val="24"/>
          <w:szCs w:val="24"/>
          <w:lang w:val="en-US"/>
        </w:rPr>
        <w:t xml:space="preserve"> </w:t>
      </w:r>
      <w:r w:rsidR="0078572E" w:rsidRPr="000E191C">
        <w:rPr>
          <w:rFonts w:ascii="Times New Roman" w:hAnsi="Times New Roman"/>
          <w:sz w:val="24"/>
          <w:szCs w:val="24"/>
          <w:lang w:val="en-US"/>
        </w:rPr>
        <w:t>identif</w:t>
      </w:r>
      <w:r w:rsidR="0078572E">
        <w:rPr>
          <w:rFonts w:ascii="Times New Roman" w:hAnsi="Times New Roman"/>
          <w:sz w:val="24"/>
          <w:szCs w:val="24"/>
          <w:lang w:val="en-US"/>
        </w:rPr>
        <w:t>ies</w:t>
      </w:r>
      <w:r w:rsidR="0078572E" w:rsidRPr="000E191C">
        <w:rPr>
          <w:rFonts w:ascii="Times New Roman" w:hAnsi="Times New Roman"/>
          <w:sz w:val="24"/>
          <w:szCs w:val="24"/>
          <w:lang w:val="en-US"/>
        </w:rPr>
        <w:t xml:space="preserve"> </w:t>
      </w:r>
      <w:r w:rsidR="000E191C" w:rsidRPr="000E191C">
        <w:rPr>
          <w:rFonts w:ascii="Times New Roman" w:hAnsi="Times New Roman"/>
          <w:sz w:val="24"/>
          <w:szCs w:val="24"/>
          <w:lang w:val="en-US"/>
        </w:rPr>
        <w:t>th</w:t>
      </w:r>
      <w:r w:rsidR="00DA000E">
        <w:rPr>
          <w:rFonts w:ascii="Times New Roman" w:hAnsi="Times New Roman"/>
          <w:sz w:val="24"/>
          <w:szCs w:val="24"/>
          <w:lang w:val="en-US"/>
        </w:rPr>
        <w:t xml:space="preserve">e existing differences on socioeconomic </w:t>
      </w:r>
      <w:r w:rsidR="000E191C" w:rsidRPr="000E191C">
        <w:rPr>
          <w:rFonts w:ascii="Times New Roman" w:hAnsi="Times New Roman"/>
          <w:sz w:val="24"/>
          <w:szCs w:val="24"/>
          <w:lang w:val="en-US"/>
        </w:rPr>
        <w:t>performance</w:t>
      </w:r>
      <w:r w:rsidR="0078572E">
        <w:rPr>
          <w:rFonts w:ascii="Times New Roman" w:hAnsi="Times New Roman"/>
          <w:sz w:val="24"/>
          <w:szCs w:val="24"/>
          <w:lang w:val="en-US"/>
        </w:rPr>
        <w:t xml:space="preserve"> and when used systematically could be a good auxiliary tool for</w:t>
      </w:r>
      <w:r w:rsidR="00EC19AE">
        <w:rPr>
          <w:rFonts w:ascii="Times New Roman" w:hAnsi="Times New Roman"/>
          <w:sz w:val="24"/>
          <w:szCs w:val="24"/>
          <w:lang w:val="en-US"/>
        </w:rPr>
        <w:t xml:space="preserve"> policy efficacy monitory and policy implementation planning</w:t>
      </w:r>
      <w:r w:rsidR="000E191C" w:rsidRPr="000E191C">
        <w:rPr>
          <w:rFonts w:ascii="Times New Roman" w:hAnsi="Times New Roman"/>
          <w:sz w:val="24"/>
          <w:szCs w:val="24"/>
          <w:lang w:val="en-US"/>
        </w:rPr>
        <w:t xml:space="preserve">. The results provided </w:t>
      </w:r>
      <w:r w:rsidR="00EC19AE">
        <w:rPr>
          <w:rFonts w:ascii="Times New Roman" w:hAnsi="Times New Roman"/>
          <w:sz w:val="24"/>
          <w:szCs w:val="24"/>
          <w:lang w:val="en-US"/>
        </w:rPr>
        <w:t>could in fact</w:t>
      </w:r>
      <w:r w:rsidR="00EC19AE" w:rsidRPr="000E191C">
        <w:rPr>
          <w:rFonts w:ascii="Times New Roman" w:hAnsi="Times New Roman"/>
          <w:sz w:val="24"/>
          <w:szCs w:val="24"/>
          <w:lang w:val="en-US"/>
        </w:rPr>
        <w:t xml:space="preserve"> </w:t>
      </w:r>
      <w:r w:rsidR="000E191C" w:rsidRPr="000E191C">
        <w:rPr>
          <w:rFonts w:ascii="Times New Roman" w:hAnsi="Times New Roman"/>
          <w:sz w:val="24"/>
          <w:szCs w:val="24"/>
          <w:lang w:val="en-US"/>
        </w:rPr>
        <w:t>be useful to design polici</w:t>
      </w:r>
      <w:r w:rsidR="00C75AF1">
        <w:rPr>
          <w:rFonts w:ascii="Times New Roman" w:hAnsi="Times New Roman"/>
          <w:sz w:val="24"/>
          <w:szCs w:val="24"/>
          <w:lang w:val="en-US"/>
        </w:rPr>
        <w:t>es oriented to reduce inequalities</w:t>
      </w:r>
      <w:r w:rsidR="000E191C" w:rsidRPr="000E191C">
        <w:rPr>
          <w:rFonts w:ascii="Times New Roman" w:hAnsi="Times New Roman"/>
          <w:sz w:val="24"/>
          <w:szCs w:val="24"/>
          <w:lang w:val="en-US"/>
        </w:rPr>
        <w:t xml:space="preserve"> and to promote socio-economic and environmental convergences across European regions.</w:t>
      </w:r>
      <w:r w:rsidR="00C75AF1">
        <w:rPr>
          <w:rFonts w:ascii="Times New Roman" w:hAnsi="Times New Roman"/>
          <w:sz w:val="24"/>
          <w:szCs w:val="24"/>
          <w:lang w:val="en-US"/>
        </w:rPr>
        <w:t xml:space="preserve"> </w:t>
      </w:r>
    </w:p>
    <w:p w14:paraId="6082C861" w14:textId="77777777" w:rsidR="00C75AF1" w:rsidRDefault="00C75AF1" w:rsidP="000E191C">
      <w:pPr>
        <w:spacing w:line="360" w:lineRule="auto"/>
        <w:jc w:val="both"/>
        <w:rPr>
          <w:rFonts w:ascii="Times New Roman" w:hAnsi="Times New Roman"/>
          <w:b/>
          <w:sz w:val="24"/>
          <w:szCs w:val="24"/>
          <w:lang w:val="en-US"/>
        </w:rPr>
      </w:pPr>
    </w:p>
    <w:p w14:paraId="144E26E1" w14:textId="77777777" w:rsidR="000E191C" w:rsidRPr="00C75AF1" w:rsidRDefault="000E191C" w:rsidP="000E191C">
      <w:pPr>
        <w:spacing w:line="360" w:lineRule="auto"/>
        <w:jc w:val="both"/>
        <w:rPr>
          <w:rFonts w:ascii="Times New Roman" w:hAnsi="Times New Roman"/>
          <w:sz w:val="24"/>
          <w:szCs w:val="24"/>
          <w:lang w:val="en-US"/>
        </w:rPr>
      </w:pPr>
      <w:r w:rsidRPr="000E191C">
        <w:rPr>
          <w:rFonts w:ascii="Times New Roman" w:hAnsi="Times New Roman"/>
          <w:b/>
          <w:sz w:val="24"/>
          <w:szCs w:val="24"/>
          <w:lang w:val="en-US"/>
        </w:rPr>
        <w:t xml:space="preserve">Keywords: </w:t>
      </w:r>
      <w:r w:rsidR="00661AA0">
        <w:rPr>
          <w:rFonts w:ascii="Times New Roman" w:hAnsi="Times New Roman"/>
          <w:sz w:val="24"/>
          <w:szCs w:val="24"/>
          <w:lang w:val="en-US"/>
        </w:rPr>
        <w:t>Multidimensional</w:t>
      </w:r>
      <w:r w:rsidRPr="000E191C">
        <w:rPr>
          <w:rFonts w:ascii="Times New Roman" w:hAnsi="Times New Roman"/>
          <w:sz w:val="24"/>
          <w:szCs w:val="24"/>
          <w:lang w:val="en-US"/>
        </w:rPr>
        <w:t xml:space="preserve"> approach; </w:t>
      </w:r>
      <w:r w:rsidR="00661AA0">
        <w:rPr>
          <w:rFonts w:ascii="Times New Roman" w:hAnsi="Times New Roman"/>
          <w:sz w:val="24"/>
          <w:szCs w:val="24"/>
          <w:lang w:val="en-US"/>
        </w:rPr>
        <w:t>integrated description</w:t>
      </w:r>
      <w:r w:rsidRPr="000E191C">
        <w:rPr>
          <w:rFonts w:ascii="Times New Roman" w:hAnsi="Times New Roman"/>
          <w:sz w:val="24"/>
          <w:szCs w:val="24"/>
          <w:lang w:val="en-US"/>
        </w:rPr>
        <w:t>;</w:t>
      </w:r>
      <w:r w:rsidR="00661AA0">
        <w:rPr>
          <w:rFonts w:ascii="Times New Roman" w:hAnsi="Times New Roman"/>
          <w:sz w:val="24"/>
          <w:szCs w:val="24"/>
          <w:lang w:val="en-US"/>
        </w:rPr>
        <w:t xml:space="preserve"> EU r</w:t>
      </w:r>
      <w:r w:rsidRPr="000E191C">
        <w:rPr>
          <w:rFonts w:ascii="Times New Roman" w:hAnsi="Times New Roman"/>
          <w:sz w:val="24"/>
          <w:szCs w:val="24"/>
          <w:lang w:val="en-US"/>
        </w:rPr>
        <w:t>egions; EU</w:t>
      </w:r>
      <w:r w:rsidR="00661AA0">
        <w:rPr>
          <w:rFonts w:ascii="Times New Roman" w:hAnsi="Times New Roman"/>
          <w:sz w:val="24"/>
          <w:szCs w:val="24"/>
          <w:lang w:val="en-US"/>
        </w:rPr>
        <w:t xml:space="preserve"> policies</w:t>
      </w:r>
      <w:r w:rsidR="001C3B13">
        <w:rPr>
          <w:rFonts w:ascii="Times New Roman" w:hAnsi="Times New Roman"/>
          <w:sz w:val="24"/>
          <w:szCs w:val="24"/>
          <w:lang w:val="en-US"/>
        </w:rPr>
        <w:t>; Well-being</w:t>
      </w:r>
    </w:p>
    <w:p w14:paraId="15363FF6" w14:textId="77777777" w:rsidR="000E191C" w:rsidRPr="000E191C" w:rsidRDefault="000E191C" w:rsidP="000E191C">
      <w:pPr>
        <w:spacing w:after="0" w:line="312" w:lineRule="auto"/>
        <w:rPr>
          <w:rFonts w:ascii="Times New Roman" w:hAnsi="Times New Roman"/>
          <w:b/>
          <w:sz w:val="24"/>
          <w:szCs w:val="24"/>
          <w:lang w:val="en-US"/>
        </w:rPr>
      </w:pPr>
      <w:r w:rsidRPr="000E191C">
        <w:rPr>
          <w:rFonts w:ascii="Times New Roman" w:hAnsi="Times New Roman"/>
          <w:b/>
          <w:sz w:val="24"/>
          <w:szCs w:val="24"/>
          <w:lang w:val="en-US"/>
        </w:rPr>
        <w:br w:type="page"/>
      </w:r>
      <w:r w:rsidRPr="000E191C">
        <w:rPr>
          <w:rFonts w:ascii="Times New Roman" w:hAnsi="Times New Roman"/>
          <w:b/>
          <w:sz w:val="24"/>
          <w:szCs w:val="24"/>
          <w:lang w:val="en-US"/>
        </w:rPr>
        <w:lastRenderedPageBreak/>
        <w:t xml:space="preserve"> </w:t>
      </w:r>
    </w:p>
    <w:p w14:paraId="5D407903" w14:textId="77777777" w:rsidR="000E191C" w:rsidRPr="000E191C" w:rsidRDefault="000E191C" w:rsidP="000E191C">
      <w:pPr>
        <w:spacing w:line="240" w:lineRule="auto"/>
        <w:jc w:val="both"/>
        <w:rPr>
          <w:rFonts w:ascii="Times New Roman" w:hAnsi="Times New Roman"/>
          <w:b/>
          <w:sz w:val="24"/>
          <w:szCs w:val="24"/>
          <w:lang w:val="en-US"/>
        </w:rPr>
      </w:pPr>
      <w:r w:rsidRPr="000E191C">
        <w:rPr>
          <w:rFonts w:ascii="Times New Roman" w:hAnsi="Times New Roman"/>
          <w:b/>
          <w:sz w:val="24"/>
          <w:szCs w:val="24"/>
          <w:lang w:val="en-US"/>
        </w:rPr>
        <w:t>1.</w:t>
      </w:r>
      <w:r w:rsidRPr="000E191C">
        <w:rPr>
          <w:rFonts w:ascii="Times New Roman" w:hAnsi="Times New Roman"/>
          <w:b/>
          <w:sz w:val="24"/>
          <w:szCs w:val="24"/>
          <w:lang w:val="en-US"/>
        </w:rPr>
        <w:tab/>
        <w:t xml:space="preserve"> Introduction</w:t>
      </w:r>
    </w:p>
    <w:p w14:paraId="0D6F4E38" w14:textId="77777777" w:rsidR="000E191C" w:rsidRPr="000E191C" w:rsidRDefault="000E191C" w:rsidP="000E191C">
      <w:pPr>
        <w:spacing w:line="240" w:lineRule="auto"/>
        <w:jc w:val="both"/>
        <w:rPr>
          <w:rFonts w:ascii="Times New Roman" w:hAnsi="Times New Roman"/>
          <w:b/>
          <w:sz w:val="24"/>
          <w:szCs w:val="24"/>
          <w:lang w:val="en-US"/>
        </w:rPr>
      </w:pPr>
    </w:p>
    <w:p w14:paraId="471E898B" w14:textId="77777777" w:rsidR="00F00924" w:rsidRPr="008D7635" w:rsidRDefault="000E191C" w:rsidP="005B30F6">
      <w:pPr>
        <w:autoSpaceDE w:val="0"/>
        <w:autoSpaceDN w:val="0"/>
        <w:adjustRightInd w:val="0"/>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Well-being is a concept difficult to define and eventually harder to quantify.</w:t>
      </w:r>
      <w:r w:rsidR="00E072CA" w:rsidRPr="008D7635">
        <w:rPr>
          <w:rFonts w:ascii="Times New Roman" w:hAnsi="Times New Roman"/>
          <w:sz w:val="24"/>
          <w:szCs w:val="24"/>
          <w:lang w:val="en-US"/>
        </w:rPr>
        <w:t xml:space="preserve"> One of the first </w:t>
      </w:r>
      <w:r w:rsidR="00994BDD" w:rsidRPr="008D7635">
        <w:rPr>
          <w:rFonts w:ascii="Times New Roman" w:hAnsi="Times New Roman"/>
          <w:sz w:val="24"/>
          <w:szCs w:val="24"/>
          <w:lang w:val="en-US"/>
        </w:rPr>
        <w:t xml:space="preserve">definitions </w:t>
      </w:r>
      <w:r w:rsidR="000E4C9B" w:rsidRPr="008D7635">
        <w:rPr>
          <w:rFonts w:ascii="Times New Roman" w:hAnsi="Times New Roman"/>
          <w:sz w:val="24"/>
          <w:szCs w:val="24"/>
          <w:lang w:val="en-US"/>
        </w:rPr>
        <w:t xml:space="preserve">of well-being </w:t>
      </w:r>
      <w:r w:rsidR="00994BDD" w:rsidRPr="008D7635">
        <w:rPr>
          <w:rFonts w:ascii="Times New Roman" w:hAnsi="Times New Roman"/>
          <w:sz w:val="24"/>
          <w:szCs w:val="24"/>
          <w:lang w:val="en-US"/>
        </w:rPr>
        <w:t>date</w:t>
      </w:r>
      <w:r w:rsidR="000E4C9B" w:rsidRPr="008D7635">
        <w:rPr>
          <w:rFonts w:ascii="Times New Roman" w:hAnsi="Times New Roman"/>
          <w:sz w:val="24"/>
          <w:szCs w:val="24"/>
          <w:lang w:val="en-US"/>
        </w:rPr>
        <w:t>s</w:t>
      </w:r>
      <w:r w:rsidR="00E072CA" w:rsidRPr="008D7635">
        <w:rPr>
          <w:rFonts w:ascii="Times New Roman" w:hAnsi="Times New Roman"/>
          <w:sz w:val="24"/>
          <w:szCs w:val="24"/>
          <w:lang w:val="en-US"/>
        </w:rPr>
        <w:t xml:space="preserve"> back to </w:t>
      </w:r>
      <w:proofErr w:type="spellStart"/>
      <w:r w:rsidR="00973F1A" w:rsidRPr="008D7635">
        <w:rPr>
          <w:rFonts w:ascii="Times New Roman" w:hAnsi="Times New Roman"/>
          <w:sz w:val="24"/>
          <w:szCs w:val="24"/>
          <w:lang w:val="en-US"/>
        </w:rPr>
        <w:t>Aristotele</w:t>
      </w:r>
      <w:proofErr w:type="spellEnd"/>
      <w:r w:rsidR="00994BDD" w:rsidRPr="008D7635">
        <w:rPr>
          <w:rFonts w:ascii="Times New Roman" w:hAnsi="Times New Roman"/>
          <w:sz w:val="24"/>
          <w:szCs w:val="24"/>
          <w:lang w:val="en-US"/>
        </w:rPr>
        <w:t xml:space="preserve"> (1095 </w:t>
      </w:r>
      <w:proofErr w:type="spellStart"/>
      <w:proofErr w:type="gramStart"/>
      <w:r w:rsidR="00994BDD" w:rsidRPr="008D7635">
        <w:rPr>
          <w:rFonts w:ascii="Times New Roman" w:hAnsi="Times New Roman"/>
          <w:sz w:val="24"/>
          <w:szCs w:val="24"/>
          <w:lang w:val="en-US"/>
        </w:rPr>
        <w:t>bc</w:t>
      </w:r>
      <w:proofErr w:type="spellEnd"/>
      <w:proofErr w:type="gramEnd"/>
      <w:r w:rsidR="00994BDD" w:rsidRPr="008D7635">
        <w:rPr>
          <w:rFonts w:ascii="Times New Roman" w:hAnsi="Times New Roman"/>
          <w:sz w:val="24"/>
          <w:szCs w:val="24"/>
          <w:lang w:val="en-US"/>
        </w:rPr>
        <w:t xml:space="preserve">) and it </w:t>
      </w:r>
      <w:r w:rsidR="00973F1A" w:rsidRPr="008D7635">
        <w:rPr>
          <w:rFonts w:ascii="Times New Roman" w:hAnsi="Times New Roman"/>
          <w:sz w:val="24"/>
          <w:szCs w:val="24"/>
          <w:lang w:val="en-US"/>
        </w:rPr>
        <w:t xml:space="preserve">is related to the concept of </w:t>
      </w:r>
      <w:proofErr w:type="spellStart"/>
      <w:r w:rsidR="00E072CA" w:rsidRPr="008D7635">
        <w:rPr>
          <w:rFonts w:ascii="Times New Roman" w:hAnsi="Times New Roman"/>
          <w:i/>
          <w:sz w:val="24"/>
          <w:szCs w:val="24"/>
          <w:lang w:val="en-US"/>
        </w:rPr>
        <w:t>eudaimonia</w:t>
      </w:r>
      <w:proofErr w:type="spellEnd"/>
      <w:r w:rsidR="00973F1A" w:rsidRPr="008D7635">
        <w:rPr>
          <w:rFonts w:ascii="Times New Roman" w:hAnsi="Times New Roman"/>
          <w:sz w:val="24"/>
          <w:szCs w:val="24"/>
          <w:lang w:val="en-US"/>
        </w:rPr>
        <w:t xml:space="preserve"> that summarize well-being as “doing and leaving well”. The basic idea </w:t>
      </w:r>
      <w:r w:rsidR="000E4C9B" w:rsidRPr="008D7635">
        <w:rPr>
          <w:rFonts w:ascii="Times New Roman" w:hAnsi="Times New Roman"/>
          <w:sz w:val="24"/>
          <w:szCs w:val="24"/>
          <w:lang w:val="en-US"/>
        </w:rPr>
        <w:t>is</w:t>
      </w:r>
      <w:r w:rsidR="003E6E5B" w:rsidRPr="008D7635">
        <w:rPr>
          <w:rFonts w:ascii="Times New Roman" w:hAnsi="Times New Roman"/>
          <w:sz w:val="24"/>
          <w:szCs w:val="24"/>
          <w:lang w:val="en-US"/>
        </w:rPr>
        <w:t xml:space="preserve"> </w:t>
      </w:r>
      <w:r w:rsidR="00973F1A" w:rsidRPr="008D7635">
        <w:rPr>
          <w:rFonts w:ascii="Times New Roman" w:hAnsi="Times New Roman"/>
          <w:sz w:val="24"/>
          <w:szCs w:val="24"/>
          <w:lang w:val="en-US"/>
        </w:rPr>
        <w:t xml:space="preserve">that we all have different </w:t>
      </w:r>
      <w:r w:rsidR="000E4C9B" w:rsidRPr="008D7635">
        <w:rPr>
          <w:rFonts w:ascii="Times New Roman" w:hAnsi="Times New Roman"/>
          <w:sz w:val="24"/>
          <w:szCs w:val="24"/>
          <w:lang w:val="en-US"/>
        </w:rPr>
        <w:t xml:space="preserve">perceptions and therefore </w:t>
      </w:r>
      <w:r w:rsidR="00973F1A" w:rsidRPr="008D7635">
        <w:rPr>
          <w:rFonts w:ascii="Times New Roman" w:hAnsi="Times New Roman"/>
          <w:sz w:val="24"/>
          <w:szCs w:val="24"/>
          <w:lang w:val="en-US"/>
        </w:rPr>
        <w:t xml:space="preserve">opinions on what well-being should be. </w:t>
      </w:r>
      <w:r w:rsidR="00052E3C" w:rsidRPr="008D7635">
        <w:rPr>
          <w:rFonts w:ascii="Times New Roman" w:hAnsi="Times New Roman"/>
          <w:sz w:val="24"/>
          <w:szCs w:val="24"/>
          <w:lang w:val="en-US"/>
        </w:rPr>
        <w:t xml:space="preserve">Subjectivity, individual values and different </w:t>
      </w:r>
      <w:r w:rsidR="000E4C9B" w:rsidRPr="008D7635">
        <w:rPr>
          <w:rFonts w:ascii="Times New Roman" w:hAnsi="Times New Roman"/>
          <w:sz w:val="24"/>
          <w:szCs w:val="24"/>
          <w:lang w:val="en-US"/>
        </w:rPr>
        <w:t>angles of view</w:t>
      </w:r>
      <w:r w:rsidR="00052E3C" w:rsidRPr="008D7635">
        <w:rPr>
          <w:rFonts w:ascii="Times New Roman" w:hAnsi="Times New Roman"/>
          <w:sz w:val="24"/>
          <w:szCs w:val="24"/>
          <w:lang w:val="en-US"/>
        </w:rPr>
        <w:t xml:space="preserve"> of reality</w:t>
      </w:r>
      <w:r w:rsidR="000E4C9B" w:rsidRPr="008D7635">
        <w:rPr>
          <w:rFonts w:ascii="Times New Roman" w:hAnsi="Times New Roman"/>
          <w:sz w:val="24"/>
          <w:szCs w:val="24"/>
          <w:lang w:val="en-US"/>
        </w:rPr>
        <w:t>,</w:t>
      </w:r>
      <w:r w:rsidR="00052E3C" w:rsidRPr="008D7635">
        <w:rPr>
          <w:rFonts w:ascii="Times New Roman" w:hAnsi="Times New Roman"/>
          <w:sz w:val="24"/>
          <w:szCs w:val="24"/>
          <w:lang w:val="en-US"/>
        </w:rPr>
        <w:t xml:space="preserve"> lead people to identify different </w:t>
      </w:r>
      <w:r w:rsidR="00994BDD" w:rsidRPr="008D7635">
        <w:rPr>
          <w:rFonts w:ascii="Times New Roman" w:hAnsi="Times New Roman"/>
          <w:sz w:val="24"/>
          <w:szCs w:val="24"/>
          <w:lang w:val="en-US"/>
        </w:rPr>
        <w:t>factors to be considered as elements of</w:t>
      </w:r>
      <w:r w:rsidR="000E4C9B" w:rsidRPr="008D7635">
        <w:rPr>
          <w:rFonts w:ascii="Times New Roman" w:hAnsi="Times New Roman"/>
          <w:sz w:val="24"/>
          <w:szCs w:val="24"/>
          <w:lang w:val="en-US"/>
        </w:rPr>
        <w:t xml:space="preserve"> </w:t>
      </w:r>
      <w:r w:rsidR="00994BDD" w:rsidRPr="008D7635">
        <w:rPr>
          <w:rFonts w:ascii="Times New Roman" w:hAnsi="Times New Roman"/>
          <w:sz w:val="24"/>
          <w:szCs w:val="24"/>
          <w:lang w:val="en-US"/>
        </w:rPr>
        <w:t>well-being.</w:t>
      </w:r>
      <w:r w:rsidR="00052E3C" w:rsidRPr="008D7635">
        <w:rPr>
          <w:rFonts w:ascii="Times New Roman" w:hAnsi="Times New Roman"/>
          <w:sz w:val="24"/>
          <w:szCs w:val="24"/>
          <w:lang w:val="en-US"/>
        </w:rPr>
        <w:t xml:space="preserve"> </w:t>
      </w:r>
      <w:r w:rsidR="000E4C9B" w:rsidRPr="008D7635">
        <w:rPr>
          <w:rFonts w:ascii="Times New Roman" w:hAnsi="Times New Roman"/>
          <w:sz w:val="24"/>
          <w:szCs w:val="24"/>
          <w:lang w:val="en-US"/>
        </w:rPr>
        <w:t>Further to that</w:t>
      </w:r>
      <w:r w:rsidR="00052E3C" w:rsidRPr="008D7635">
        <w:rPr>
          <w:rFonts w:ascii="Times New Roman" w:hAnsi="Times New Roman"/>
          <w:sz w:val="24"/>
          <w:szCs w:val="24"/>
          <w:lang w:val="en-US"/>
        </w:rPr>
        <w:t xml:space="preserve">, the dynamic </w:t>
      </w:r>
      <w:r w:rsidR="000E1094" w:rsidRPr="008D7635">
        <w:rPr>
          <w:rFonts w:ascii="Times New Roman" w:hAnsi="Times New Roman"/>
          <w:sz w:val="24"/>
          <w:szCs w:val="24"/>
          <w:lang w:val="en-US"/>
        </w:rPr>
        <w:t xml:space="preserve">process of human adaptation makes well-being a </w:t>
      </w:r>
      <w:r w:rsidR="000E4C9B" w:rsidRPr="008D7635">
        <w:rPr>
          <w:rFonts w:ascii="Times New Roman" w:hAnsi="Times New Roman"/>
          <w:sz w:val="24"/>
          <w:szCs w:val="24"/>
          <w:lang w:val="en-US"/>
        </w:rPr>
        <w:t>dynamic</w:t>
      </w:r>
      <w:r w:rsidR="000E1094" w:rsidRPr="008D7635">
        <w:rPr>
          <w:rFonts w:ascii="Times New Roman" w:hAnsi="Times New Roman"/>
          <w:sz w:val="24"/>
          <w:szCs w:val="24"/>
          <w:lang w:val="en-US"/>
        </w:rPr>
        <w:t xml:space="preserve"> </w:t>
      </w:r>
      <w:r w:rsidR="000E4C9B" w:rsidRPr="008D7635">
        <w:rPr>
          <w:rFonts w:ascii="Times New Roman" w:hAnsi="Times New Roman"/>
          <w:sz w:val="24"/>
          <w:szCs w:val="24"/>
          <w:lang w:val="en-US"/>
        </w:rPr>
        <w:t>perception</w:t>
      </w:r>
      <w:r w:rsidR="000E1094" w:rsidRPr="008D7635">
        <w:rPr>
          <w:rFonts w:ascii="Times New Roman" w:hAnsi="Times New Roman"/>
          <w:sz w:val="24"/>
          <w:szCs w:val="24"/>
          <w:lang w:val="en-US"/>
        </w:rPr>
        <w:t>.</w:t>
      </w:r>
      <w:r w:rsidR="002770D1" w:rsidRPr="008D7635">
        <w:rPr>
          <w:rFonts w:ascii="Times New Roman" w:hAnsi="Times New Roman"/>
          <w:sz w:val="24"/>
          <w:szCs w:val="24"/>
          <w:lang w:val="en-US"/>
        </w:rPr>
        <w:t xml:space="preserve"> </w:t>
      </w:r>
      <w:r w:rsidR="006E2868" w:rsidRPr="008D7635">
        <w:rPr>
          <w:rFonts w:ascii="Times New Roman" w:hAnsi="Times New Roman"/>
          <w:sz w:val="24"/>
          <w:szCs w:val="24"/>
          <w:lang w:val="en-US"/>
        </w:rPr>
        <w:t>I</w:t>
      </w:r>
      <w:r w:rsidR="002770D1" w:rsidRPr="008D7635">
        <w:rPr>
          <w:rFonts w:ascii="Times New Roman" w:hAnsi="Times New Roman"/>
          <w:sz w:val="24"/>
          <w:szCs w:val="24"/>
          <w:lang w:val="en-US"/>
        </w:rPr>
        <w:t>f from one side a person view’s can change</w:t>
      </w:r>
      <w:r w:rsidR="00994BDD" w:rsidRPr="008D7635">
        <w:rPr>
          <w:rFonts w:ascii="Times New Roman" w:hAnsi="Times New Roman"/>
          <w:sz w:val="24"/>
          <w:szCs w:val="24"/>
          <w:lang w:val="en-US"/>
        </w:rPr>
        <w:t xml:space="preserve"> over time</w:t>
      </w:r>
      <w:r w:rsidR="00124BB0" w:rsidRPr="008D7635">
        <w:rPr>
          <w:rFonts w:ascii="Times New Roman" w:hAnsi="Times New Roman"/>
          <w:sz w:val="24"/>
          <w:szCs w:val="24"/>
          <w:lang w:val="en-US"/>
        </w:rPr>
        <w:t xml:space="preserve"> and  space</w:t>
      </w:r>
      <w:r w:rsidR="002770D1" w:rsidRPr="008D7635">
        <w:rPr>
          <w:rFonts w:ascii="Times New Roman" w:hAnsi="Times New Roman"/>
          <w:sz w:val="24"/>
          <w:szCs w:val="24"/>
          <w:lang w:val="en-US"/>
        </w:rPr>
        <w:t xml:space="preserve">, on the other side, </w:t>
      </w:r>
      <w:r w:rsidR="000E1094" w:rsidRPr="008D7635">
        <w:rPr>
          <w:rFonts w:ascii="Times New Roman" w:hAnsi="Times New Roman"/>
          <w:sz w:val="24"/>
          <w:szCs w:val="24"/>
          <w:lang w:val="en-US"/>
        </w:rPr>
        <w:t xml:space="preserve">once we </w:t>
      </w:r>
      <w:r w:rsidR="000E4C9B" w:rsidRPr="008D7635">
        <w:rPr>
          <w:rFonts w:ascii="Times New Roman" w:hAnsi="Times New Roman"/>
          <w:sz w:val="24"/>
          <w:szCs w:val="24"/>
          <w:lang w:val="en-US"/>
        </w:rPr>
        <w:t>obtain</w:t>
      </w:r>
      <w:r w:rsidR="000E1094" w:rsidRPr="008D7635">
        <w:rPr>
          <w:rFonts w:ascii="Times New Roman" w:hAnsi="Times New Roman"/>
          <w:sz w:val="24"/>
          <w:szCs w:val="24"/>
          <w:lang w:val="en-US"/>
        </w:rPr>
        <w:t xml:space="preserve"> what </w:t>
      </w:r>
      <w:r w:rsidR="000E4C9B" w:rsidRPr="008D7635">
        <w:rPr>
          <w:rFonts w:ascii="Times New Roman" w:hAnsi="Times New Roman"/>
          <w:sz w:val="24"/>
          <w:szCs w:val="24"/>
          <w:lang w:val="en-US"/>
        </w:rPr>
        <w:t xml:space="preserve">did not </w:t>
      </w:r>
      <w:r w:rsidR="000E1094" w:rsidRPr="008D7635">
        <w:rPr>
          <w:rFonts w:ascii="Times New Roman" w:hAnsi="Times New Roman"/>
          <w:sz w:val="24"/>
          <w:szCs w:val="24"/>
          <w:lang w:val="en-US"/>
        </w:rPr>
        <w:t xml:space="preserve"> have</w:t>
      </w:r>
      <w:r w:rsidR="000E4C9B" w:rsidRPr="008D7635">
        <w:rPr>
          <w:rFonts w:ascii="Times New Roman" w:hAnsi="Times New Roman"/>
          <w:sz w:val="24"/>
          <w:szCs w:val="24"/>
          <w:lang w:val="en-US"/>
        </w:rPr>
        <w:t xml:space="preserve"> </w:t>
      </w:r>
      <w:r w:rsidR="000E1094" w:rsidRPr="008D7635">
        <w:rPr>
          <w:rFonts w:ascii="Times New Roman" w:hAnsi="Times New Roman"/>
          <w:sz w:val="24"/>
          <w:szCs w:val="24"/>
          <w:lang w:val="en-US"/>
        </w:rPr>
        <w:t>before</w:t>
      </w:r>
      <w:r w:rsidR="000E4C9B" w:rsidRPr="008D7635">
        <w:rPr>
          <w:rFonts w:ascii="Times New Roman" w:hAnsi="Times New Roman"/>
          <w:sz w:val="24"/>
          <w:szCs w:val="24"/>
          <w:lang w:val="en-US"/>
        </w:rPr>
        <w:t xml:space="preserve"> (be it material o immaterial)</w:t>
      </w:r>
      <w:r w:rsidR="000E1094" w:rsidRPr="008D7635">
        <w:rPr>
          <w:rFonts w:ascii="Times New Roman" w:hAnsi="Times New Roman"/>
          <w:sz w:val="24"/>
          <w:szCs w:val="24"/>
          <w:lang w:val="en-US"/>
        </w:rPr>
        <w:t xml:space="preserve">, we get used to it and the </w:t>
      </w:r>
      <w:r w:rsidR="000E4C9B" w:rsidRPr="008D7635">
        <w:rPr>
          <w:rFonts w:ascii="Times New Roman" w:hAnsi="Times New Roman"/>
          <w:sz w:val="24"/>
          <w:szCs w:val="24"/>
          <w:lang w:val="en-US"/>
        </w:rPr>
        <w:t>sense</w:t>
      </w:r>
      <w:r w:rsidR="000E1094" w:rsidRPr="008D7635">
        <w:rPr>
          <w:rFonts w:ascii="Times New Roman" w:hAnsi="Times New Roman"/>
          <w:sz w:val="24"/>
          <w:szCs w:val="24"/>
          <w:lang w:val="en-US"/>
        </w:rPr>
        <w:t xml:space="preserve"> of well-being </w:t>
      </w:r>
      <w:r w:rsidR="000E4C9B" w:rsidRPr="008D7635">
        <w:rPr>
          <w:rFonts w:ascii="Times New Roman" w:hAnsi="Times New Roman"/>
          <w:sz w:val="24"/>
          <w:szCs w:val="24"/>
          <w:lang w:val="en-US"/>
        </w:rPr>
        <w:t>is</w:t>
      </w:r>
      <w:r w:rsidR="000E1094" w:rsidRPr="008D7635">
        <w:rPr>
          <w:rFonts w:ascii="Times New Roman" w:hAnsi="Times New Roman"/>
          <w:sz w:val="24"/>
          <w:szCs w:val="24"/>
          <w:lang w:val="en-US"/>
        </w:rPr>
        <w:t xml:space="preserve"> transformed into a state of </w:t>
      </w:r>
      <w:r w:rsidR="000E1094" w:rsidRPr="008D7635">
        <w:rPr>
          <w:rFonts w:ascii="Times New Roman" w:hAnsi="Times New Roman"/>
          <w:i/>
          <w:sz w:val="24"/>
          <w:szCs w:val="24"/>
          <w:lang w:val="en-US"/>
        </w:rPr>
        <w:t>ordinariness</w:t>
      </w:r>
      <w:r w:rsidR="002770D1" w:rsidRPr="008D7635">
        <w:rPr>
          <w:rFonts w:ascii="Times New Roman" w:hAnsi="Times New Roman"/>
          <w:sz w:val="24"/>
          <w:szCs w:val="24"/>
          <w:lang w:val="en-US"/>
        </w:rPr>
        <w:t xml:space="preserve"> (Jackson, 2007)</w:t>
      </w:r>
      <w:r w:rsidR="000E1094" w:rsidRPr="008D7635">
        <w:rPr>
          <w:rFonts w:ascii="Times New Roman" w:hAnsi="Times New Roman"/>
          <w:sz w:val="24"/>
          <w:szCs w:val="24"/>
          <w:lang w:val="en-US"/>
        </w:rPr>
        <w:t xml:space="preserve">. </w:t>
      </w:r>
    </w:p>
    <w:p w14:paraId="0D3D5374" w14:textId="6A10EC5E" w:rsidR="00F00924" w:rsidRPr="008D7635" w:rsidRDefault="000E1094" w:rsidP="005B30F6">
      <w:pPr>
        <w:autoSpaceDE w:val="0"/>
        <w:autoSpaceDN w:val="0"/>
        <w:adjustRightInd w:val="0"/>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Starting from these ideas, </w:t>
      </w:r>
      <w:r w:rsidR="006E2868" w:rsidRPr="008D7635">
        <w:rPr>
          <w:rFonts w:ascii="Times New Roman" w:hAnsi="Times New Roman"/>
          <w:sz w:val="24"/>
          <w:szCs w:val="24"/>
          <w:lang w:val="en-US"/>
        </w:rPr>
        <w:t xml:space="preserve">many </w:t>
      </w:r>
      <w:r w:rsidRPr="008D7635">
        <w:rPr>
          <w:rFonts w:ascii="Times New Roman" w:hAnsi="Times New Roman"/>
          <w:sz w:val="24"/>
          <w:szCs w:val="24"/>
          <w:lang w:val="en-US"/>
        </w:rPr>
        <w:t>definitions have been proposed during the centuries and</w:t>
      </w:r>
      <w:r w:rsidR="000E191C" w:rsidRPr="008D7635">
        <w:rPr>
          <w:rFonts w:ascii="Times New Roman" w:hAnsi="Times New Roman"/>
          <w:sz w:val="24"/>
          <w:szCs w:val="24"/>
          <w:lang w:val="en-US"/>
        </w:rPr>
        <w:t xml:space="preserve"> still today a common agreement on how well-being should </w:t>
      </w:r>
      <w:r w:rsidR="00E01077" w:rsidRPr="008D7635">
        <w:rPr>
          <w:rFonts w:ascii="Times New Roman" w:hAnsi="Times New Roman"/>
          <w:sz w:val="24"/>
          <w:szCs w:val="24"/>
          <w:lang w:val="en-US"/>
        </w:rPr>
        <w:t xml:space="preserve">be </w:t>
      </w:r>
      <w:r w:rsidR="000E191C" w:rsidRPr="008D7635">
        <w:rPr>
          <w:rFonts w:ascii="Times New Roman" w:hAnsi="Times New Roman"/>
          <w:sz w:val="24"/>
          <w:szCs w:val="24"/>
          <w:lang w:val="en-US"/>
        </w:rPr>
        <w:t xml:space="preserve">described is lacking. </w:t>
      </w:r>
      <w:r w:rsidR="004641AE" w:rsidRPr="008D7635">
        <w:rPr>
          <w:rFonts w:ascii="Times New Roman" w:hAnsi="Times New Roman"/>
          <w:sz w:val="24"/>
          <w:szCs w:val="24"/>
          <w:lang w:val="en-US"/>
        </w:rPr>
        <w:t>Just to provide some examples different branch</w:t>
      </w:r>
      <w:r w:rsidR="00B0343E" w:rsidRPr="008D7635">
        <w:rPr>
          <w:rFonts w:ascii="Times New Roman" w:hAnsi="Times New Roman"/>
          <w:sz w:val="24"/>
          <w:szCs w:val="24"/>
          <w:lang w:val="en-US"/>
        </w:rPr>
        <w:t>es</w:t>
      </w:r>
      <w:r w:rsidR="004641AE" w:rsidRPr="008D7635">
        <w:rPr>
          <w:rFonts w:ascii="Times New Roman" w:hAnsi="Times New Roman"/>
          <w:sz w:val="24"/>
          <w:szCs w:val="24"/>
          <w:lang w:val="en-US"/>
        </w:rPr>
        <w:t xml:space="preserve"> of knowledge have different ideas of well-being. In medicine, the concept of well-being usually refers to the physical or physiological health</w:t>
      </w:r>
      <w:r w:rsidR="000E4C9B" w:rsidRPr="008D7635">
        <w:rPr>
          <w:rFonts w:ascii="Times New Roman" w:hAnsi="Times New Roman"/>
          <w:sz w:val="24"/>
          <w:szCs w:val="24"/>
          <w:lang w:val="en-US"/>
        </w:rPr>
        <w:t>; i</w:t>
      </w:r>
      <w:r w:rsidR="004641AE" w:rsidRPr="008D7635">
        <w:rPr>
          <w:rFonts w:ascii="Times New Roman" w:hAnsi="Times New Roman"/>
          <w:sz w:val="24"/>
          <w:szCs w:val="24"/>
          <w:lang w:val="en-US"/>
        </w:rPr>
        <w:t xml:space="preserve">n philosophy, it relates to the notion of how well a person’s life is </w:t>
      </w:r>
      <w:r w:rsidR="000E4C9B" w:rsidRPr="008D7635">
        <w:rPr>
          <w:rFonts w:ascii="Times New Roman" w:hAnsi="Times New Roman"/>
          <w:sz w:val="24"/>
          <w:szCs w:val="24"/>
          <w:lang w:val="en-US"/>
        </w:rPr>
        <w:t>carried on</w:t>
      </w:r>
      <w:r w:rsidR="004641AE" w:rsidRPr="008D7635">
        <w:rPr>
          <w:rFonts w:ascii="Times New Roman" w:hAnsi="Times New Roman"/>
          <w:sz w:val="24"/>
          <w:szCs w:val="24"/>
          <w:lang w:val="en-US"/>
        </w:rPr>
        <w:t xml:space="preserve">, or is going compared </w:t>
      </w:r>
      <w:r w:rsidR="00B0343E" w:rsidRPr="008D7635">
        <w:rPr>
          <w:rFonts w:ascii="Times New Roman" w:hAnsi="Times New Roman"/>
          <w:sz w:val="24"/>
          <w:szCs w:val="24"/>
          <w:lang w:val="en-US"/>
        </w:rPr>
        <w:t>to individual’s</w:t>
      </w:r>
      <w:r w:rsidR="004641AE" w:rsidRPr="008D7635">
        <w:rPr>
          <w:rFonts w:ascii="Times New Roman" w:hAnsi="Times New Roman"/>
          <w:sz w:val="24"/>
          <w:szCs w:val="24"/>
          <w:lang w:val="en-US"/>
        </w:rPr>
        <w:t xml:space="preserve"> aspirations</w:t>
      </w:r>
      <w:r w:rsidR="000E4C9B" w:rsidRPr="008D7635">
        <w:rPr>
          <w:rFonts w:ascii="Times New Roman" w:hAnsi="Times New Roman"/>
          <w:sz w:val="24"/>
          <w:szCs w:val="24"/>
          <w:lang w:val="en-US"/>
        </w:rPr>
        <w:t>;</w:t>
      </w:r>
      <w:r w:rsidR="004641AE" w:rsidRPr="008D7635">
        <w:rPr>
          <w:rFonts w:ascii="Times New Roman" w:hAnsi="Times New Roman"/>
          <w:sz w:val="24"/>
          <w:szCs w:val="24"/>
          <w:lang w:val="en-US"/>
        </w:rPr>
        <w:t xml:space="preserve"> </w:t>
      </w:r>
      <w:r w:rsidR="000E4C9B" w:rsidRPr="008D7635">
        <w:rPr>
          <w:rFonts w:ascii="Times New Roman" w:hAnsi="Times New Roman"/>
          <w:sz w:val="24"/>
          <w:szCs w:val="24"/>
          <w:lang w:val="en-US"/>
        </w:rPr>
        <w:t>i</w:t>
      </w:r>
      <w:r w:rsidR="004641AE" w:rsidRPr="008D7635">
        <w:rPr>
          <w:rFonts w:ascii="Times New Roman" w:hAnsi="Times New Roman"/>
          <w:sz w:val="24"/>
          <w:szCs w:val="24"/>
          <w:lang w:val="en-US"/>
        </w:rPr>
        <w:t>n economy, it is generally summarized by income and wealt</w:t>
      </w:r>
      <w:r w:rsidR="000E4C9B" w:rsidRPr="008D7635">
        <w:rPr>
          <w:rFonts w:ascii="Times New Roman" w:hAnsi="Times New Roman"/>
          <w:sz w:val="24"/>
          <w:szCs w:val="24"/>
          <w:lang w:val="en-US"/>
        </w:rPr>
        <w:t>h; i</w:t>
      </w:r>
      <w:r w:rsidR="004641AE" w:rsidRPr="008D7635">
        <w:rPr>
          <w:rFonts w:ascii="Times New Roman" w:hAnsi="Times New Roman"/>
          <w:sz w:val="24"/>
          <w:szCs w:val="24"/>
          <w:lang w:val="en-US"/>
        </w:rPr>
        <w:t xml:space="preserve">n politics, it refers to the system of welfare and in sociology it usually describes the personal satisfaction among others. </w:t>
      </w:r>
    </w:p>
    <w:p w14:paraId="07B6A761" w14:textId="77777777" w:rsidR="00F00924" w:rsidRPr="008D7635" w:rsidRDefault="004641AE" w:rsidP="005B30F6">
      <w:pPr>
        <w:autoSpaceDE w:val="0"/>
        <w:autoSpaceDN w:val="0"/>
        <w:adjustRightInd w:val="0"/>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In addition,</w:t>
      </w:r>
      <w:r w:rsidR="00B0343E" w:rsidRPr="008D7635">
        <w:rPr>
          <w:rFonts w:ascii="Times New Roman" w:hAnsi="Times New Roman"/>
          <w:sz w:val="24"/>
          <w:szCs w:val="24"/>
          <w:lang w:val="en-US"/>
        </w:rPr>
        <w:t xml:space="preserve"> the existence of different well-being </w:t>
      </w:r>
      <w:r w:rsidR="000E4C9B" w:rsidRPr="008D7635">
        <w:rPr>
          <w:rFonts w:ascii="Times New Roman" w:hAnsi="Times New Roman"/>
          <w:sz w:val="24"/>
          <w:szCs w:val="24"/>
          <w:lang w:val="en-US"/>
        </w:rPr>
        <w:t xml:space="preserve">definitions that mostly depend on the context to which they refer </w:t>
      </w:r>
      <w:proofErr w:type="gramStart"/>
      <w:r w:rsidR="000E4C9B" w:rsidRPr="008D7635">
        <w:rPr>
          <w:rFonts w:ascii="Times New Roman" w:hAnsi="Times New Roman"/>
          <w:sz w:val="24"/>
          <w:szCs w:val="24"/>
          <w:lang w:val="en-US"/>
        </w:rPr>
        <w:t>to,</w:t>
      </w:r>
      <w:proofErr w:type="gramEnd"/>
      <w:r w:rsidR="00B0343E" w:rsidRPr="008D7635">
        <w:rPr>
          <w:rFonts w:ascii="Times New Roman" w:hAnsi="Times New Roman"/>
          <w:sz w:val="24"/>
          <w:szCs w:val="24"/>
          <w:lang w:val="en-US"/>
        </w:rPr>
        <w:t xml:space="preserve"> makes </w:t>
      </w:r>
      <w:r w:rsidR="000E4C9B" w:rsidRPr="008D7635">
        <w:rPr>
          <w:rFonts w:ascii="Times New Roman" w:hAnsi="Times New Roman"/>
          <w:sz w:val="24"/>
          <w:szCs w:val="24"/>
          <w:lang w:val="en-US"/>
        </w:rPr>
        <w:t xml:space="preserve">its </w:t>
      </w:r>
      <w:r w:rsidR="00B0343E" w:rsidRPr="008D7635">
        <w:rPr>
          <w:rFonts w:ascii="Times New Roman" w:hAnsi="Times New Roman"/>
          <w:sz w:val="24"/>
          <w:szCs w:val="24"/>
          <w:lang w:val="en-US"/>
        </w:rPr>
        <w:t xml:space="preserve">quantification even harder than </w:t>
      </w:r>
      <w:r w:rsidR="000E4C9B" w:rsidRPr="008D7635">
        <w:rPr>
          <w:rFonts w:ascii="Times New Roman" w:hAnsi="Times New Roman"/>
          <w:sz w:val="24"/>
          <w:szCs w:val="24"/>
          <w:lang w:val="en-US"/>
        </w:rPr>
        <w:t>defining it</w:t>
      </w:r>
      <w:r w:rsidR="00B0343E" w:rsidRPr="008D7635">
        <w:rPr>
          <w:rFonts w:ascii="Times New Roman" w:hAnsi="Times New Roman"/>
          <w:sz w:val="24"/>
          <w:szCs w:val="24"/>
          <w:lang w:val="en-US"/>
        </w:rPr>
        <w:t xml:space="preserve">. The </w:t>
      </w:r>
      <w:r w:rsidR="00B0343E" w:rsidRPr="008D7635">
        <w:rPr>
          <w:rFonts w:ascii="Times New Roman" w:hAnsi="Times New Roman"/>
          <w:i/>
          <w:sz w:val="24"/>
          <w:szCs w:val="24"/>
          <w:lang w:val="en-US"/>
        </w:rPr>
        <w:t xml:space="preserve">hedonic </w:t>
      </w:r>
      <w:r w:rsidR="00B0343E" w:rsidRPr="008D7635">
        <w:rPr>
          <w:rFonts w:ascii="Times New Roman" w:hAnsi="Times New Roman"/>
          <w:sz w:val="24"/>
          <w:szCs w:val="24"/>
          <w:lang w:val="en-US"/>
        </w:rPr>
        <w:t xml:space="preserve">and the </w:t>
      </w:r>
      <w:r w:rsidR="00B0343E" w:rsidRPr="008D7635">
        <w:rPr>
          <w:rFonts w:ascii="Times New Roman" w:hAnsi="Times New Roman"/>
          <w:i/>
          <w:sz w:val="24"/>
          <w:szCs w:val="24"/>
          <w:lang w:val="en-US"/>
        </w:rPr>
        <w:t>eudemonic</w:t>
      </w:r>
      <w:r w:rsidR="00B0343E" w:rsidRPr="008D7635">
        <w:rPr>
          <w:rFonts w:ascii="Times New Roman" w:hAnsi="Times New Roman"/>
          <w:sz w:val="24"/>
          <w:szCs w:val="24"/>
          <w:lang w:val="en-US"/>
        </w:rPr>
        <w:t xml:space="preserve"> approaches </w:t>
      </w:r>
      <w:r w:rsidR="00994BDD" w:rsidRPr="008D7635">
        <w:rPr>
          <w:rFonts w:ascii="Times New Roman" w:hAnsi="Times New Roman"/>
          <w:sz w:val="24"/>
          <w:szCs w:val="24"/>
          <w:lang w:val="en-US"/>
        </w:rPr>
        <w:t>are</w:t>
      </w:r>
      <w:r w:rsidR="00B0343E" w:rsidRPr="008D7635">
        <w:rPr>
          <w:rFonts w:ascii="Times New Roman" w:hAnsi="Times New Roman"/>
          <w:sz w:val="24"/>
          <w:szCs w:val="24"/>
          <w:lang w:val="en-US"/>
        </w:rPr>
        <w:t xml:space="preserve"> example</w:t>
      </w:r>
      <w:r w:rsidR="00994BDD" w:rsidRPr="008D7635">
        <w:rPr>
          <w:rFonts w:ascii="Times New Roman" w:hAnsi="Times New Roman"/>
          <w:sz w:val="24"/>
          <w:szCs w:val="24"/>
          <w:lang w:val="en-US"/>
        </w:rPr>
        <w:t>s</w:t>
      </w:r>
      <w:r w:rsidR="00B0343E" w:rsidRPr="008D7635">
        <w:rPr>
          <w:rFonts w:ascii="Times New Roman" w:hAnsi="Times New Roman"/>
          <w:sz w:val="24"/>
          <w:szCs w:val="24"/>
          <w:lang w:val="en-US"/>
        </w:rPr>
        <w:t xml:space="preserve"> </w:t>
      </w:r>
      <w:r w:rsidR="000E4C9B" w:rsidRPr="008D7635">
        <w:rPr>
          <w:rFonts w:ascii="Times New Roman" w:hAnsi="Times New Roman"/>
          <w:sz w:val="24"/>
          <w:szCs w:val="24"/>
          <w:lang w:val="en-US"/>
        </w:rPr>
        <w:t>of</w:t>
      </w:r>
      <w:r w:rsidR="00B0343E" w:rsidRPr="008D7635">
        <w:rPr>
          <w:rFonts w:ascii="Times New Roman" w:hAnsi="Times New Roman"/>
          <w:sz w:val="24"/>
          <w:szCs w:val="24"/>
          <w:lang w:val="en-US"/>
        </w:rPr>
        <w:t xml:space="preserve"> that. The first one summarizes well-being as pleasure, enjoyment satisf</w:t>
      </w:r>
      <w:r w:rsidR="006E2868" w:rsidRPr="008D7635">
        <w:rPr>
          <w:rFonts w:ascii="Times New Roman" w:hAnsi="Times New Roman"/>
          <w:sz w:val="24"/>
          <w:szCs w:val="24"/>
          <w:lang w:val="en-US"/>
        </w:rPr>
        <w:t>action and subjective happiness. It</w:t>
      </w:r>
      <w:r w:rsidR="00B0343E" w:rsidRPr="008D7635">
        <w:rPr>
          <w:rFonts w:ascii="Times New Roman" w:hAnsi="Times New Roman"/>
          <w:sz w:val="24"/>
          <w:szCs w:val="24"/>
          <w:lang w:val="en-US"/>
        </w:rPr>
        <w:t xml:space="preserve"> generally </w:t>
      </w:r>
      <w:r w:rsidR="000E4C9B" w:rsidRPr="008D7635">
        <w:rPr>
          <w:rFonts w:ascii="Times New Roman" w:hAnsi="Times New Roman"/>
          <w:sz w:val="24"/>
          <w:szCs w:val="24"/>
          <w:lang w:val="en-US"/>
        </w:rPr>
        <w:t>underlines</w:t>
      </w:r>
      <w:r w:rsidR="00B0343E" w:rsidRPr="008D7635">
        <w:rPr>
          <w:rFonts w:ascii="Times New Roman" w:hAnsi="Times New Roman"/>
          <w:sz w:val="24"/>
          <w:szCs w:val="24"/>
          <w:lang w:val="en-US"/>
        </w:rPr>
        <w:t xml:space="preserve"> the utilitarian approach to well-being in economics and the subjective well-being approach </w:t>
      </w:r>
      <w:r w:rsidR="000E4C9B" w:rsidRPr="008D7635">
        <w:rPr>
          <w:rFonts w:ascii="Times New Roman" w:hAnsi="Times New Roman"/>
          <w:sz w:val="24"/>
          <w:szCs w:val="24"/>
          <w:lang w:val="en-US"/>
        </w:rPr>
        <w:t>of</w:t>
      </w:r>
      <w:r w:rsidR="00B0343E" w:rsidRPr="008D7635">
        <w:rPr>
          <w:rFonts w:ascii="Times New Roman" w:hAnsi="Times New Roman"/>
          <w:sz w:val="24"/>
          <w:szCs w:val="24"/>
          <w:lang w:val="en-US"/>
        </w:rPr>
        <w:t xml:space="preserve"> psychology (</w:t>
      </w:r>
      <w:proofErr w:type="spellStart"/>
      <w:r w:rsidR="00B0343E" w:rsidRPr="008D7635">
        <w:rPr>
          <w:rFonts w:ascii="Times New Roman" w:hAnsi="Times New Roman"/>
          <w:sz w:val="24"/>
          <w:szCs w:val="24"/>
          <w:lang w:val="en-US"/>
        </w:rPr>
        <w:t>Kahnemann</w:t>
      </w:r>
      <w:proofErr w:type="spellEnd"/>
      <w:r w:rsidR="00B0343E" w:rsidRPr="008D7635">
        <w:rPr>
          <w:rFonts w:ascii="Times New Roman" w:hAnsi="Times New Roman"/>
          <w:sz w:val="24"/>
          <w:szCs w:val="24"/>
          <w:lang w:val="en-US"/>
        </w:rPr>
        <w:t xml:space="preserve"> et al., 1999). The second one, describ</w:t>
      </w:r>
      <w:r w:rsidR="00124BB0" w:rsidRPr="008D7635">
        <w:rPr>
          <w:rFonts w:ascii="Times New Roman" w:hAnsi="Times New Roman"/>
          <w:sz w:val="24"/>
          <w:szCs w:val="24"/>
          <w:lang w:val="en-US"/>
        </w:rPr>
        <w:t>es</w:t>
      </w:r>
      <w:r w:rsidR="00B0343E" w:rsidRPr="008D7635">
        <w:rPr>
          <w:rFonts w:ascii="Times New Roman" w:hAnsi="Times New Roman"/>
          <w:sz w:val="24"/>
          <w:szCs w:val="24"/>
          <w:lang w:val="en-US"/>
        </w:rPr>
        <w:t xml:space="preserve"> well-being as realization of human potential </w:t>
      </w:r>
      <w:r w:rsidR="00124BB0" w:rsidRPr="008D7635">
        <w:rPr>
          <w:rFonts w:ascii="Times New Roman" w:hAnsi="Times New Roman"/>
          <w:sz w:val="24"/>
          <w:szCs w:val="24"/>
          <w:lang w:val="en-US"/>
        </w:rPr>
        <w:t xml:space="preserve">and </w:t>
      </w:r>
      <w:r w:rsidR="00B0343E" w:rsidRPr="008D7635">
        <w:rPr>
          <w:rFonts w:ascii="Times New Roman" w:hAnsi="Times New Roman"/>
          <w:sz w:val="24"/>
          <w:szCs w:val="24"/>
          <w:lang w:val="en-US"/>
        </w:rPr>
        <w:t>relate</w:t>
      </w:r>
      <w:r w:rsidR="00124BB0" w:rsidRPr="008D7635">
        <w:rPr>
          <w:rFonts w:ascii="Times New Roman" w:hAnsi="Times New Roman"/>
          <w:sz w:val="24"/>
          <w:szCs w:val="24"/>
          <w:lang w:val="en-US"/>
        </w:rPr>
        <w:t>s</w:t>
      </w:r>
      <w:r w:rsidR="00B0343E" w:rsidRPr="008D7635">
        <w:rPr>
          <w:rFonts w:ascii="Times New Roman" w:hAnsi="Times New Roman"/>
          <w:sz w:val="24"/>
          <w:szCs w:val="24"/>
          <w:lang w:val="en-US"/>
        </w:rPr>
        <w:t xml:space="preserve"> the capabilities approach </w:t>
      </w:r>
      <w:r w:rsidR="00124BB0" w:rsidRPr="008D7635">
        <w:rPr>
          <w:rFonts w:ascii="Times New Roman" w:hAnsi="Times New Roman"/>
          <w:sz w:val="24"/>
          <w:szCs w:val="24"/>
          <w:lang w:val="en-US"/>
        </w:rPr>
        <w:t>of</w:t>
      </w:r>
      <w:r w:rsidR="00B0343E" w:rsidRPr="008D7635">
        <w:rPr>
          <w:rFonts w:ascii="Times New Roman" w:hAnsi="Times New Roman"/>
          <w:sz w:val="24"/>
          <w:szCs w:val="24"/>
          <w:lang w:val="en-US"/>
        </w:rPr>
        <w:t xml:space="preserve"> economics to the psychological well-being approach (Ry</w:t>
      </w:r>
      <w:r w:rsidR="0071353F" w:rsidRPr="008D7635">
        <w:rPr>
          <w:rFonts w:ascii="Times New Roman" w:hAnsi="Times New Roman"/>
          <w:sz w:val="24"/>
          <w:szCs w:val="24"/>
          <w:lang w:val="en-US"/>
        </w:rPr>
        <w:t xml:space="preserve">an and </w:t>
      </w:r>
      <w:proofErr w:type="spellStart"/>
      <w:r w:rsidR="0071353F" w:rsidRPr="008D7635">
        <w:rPr>
          <w:rFonts w:ascii="Times New Roman" w:hAnsi="Times New Roman"/>
          <w:sz w:val="24"/>
          <w:szCs w:val="24"/>
          <w:lang w:val="en-US"/>
        </w:rPr>
        <w:t>Deci</w:t>
      </w:r>
      <w:proofErr w:type="spellEnd"/>
      <w:r w:rsidR="0071353F" w:rsidRPr="008D7635">
        <w:rPr>
          <w:rFonts w:ascii="Times New Roman" w:hAnsi="Times New Roman"/>
          <w:sz w:val="24"/>
          <w:szCs w:val="24"/>
          <w:lang w:val="en-US"/>
        </w:rPr>
        <w:t xml:space="preserve">, 2001; </w:t>
      </w:r>
      <w:proofErr w:type="spellStart"/>
      <w:r w:rsidR="0071353F" w:rsidRPr="008D7635">
        <w:rPr>
          <w:rFonts w:ascii="Times New Roman" w:hAnsi="Times New Roman"/>
          <w:sz w:val="24"/>
          <w:szCs w:val="24"/>
          <w:lang w:val="en-US"/>
        </w:rPr>
        <w:t>Hupper</w:t>
      </w:r>
      <w:proofErr w:type="spellEnd"/>
      <w:r w:rsidR="0071353F" w:rsidRPr="008D7635">
        <w:rPr>
          <w:rFonts w:ascii="Times New Roman" w:hAnsi="Times New Roman"/>
          <w:sz w:val="24"/>
          <w:szCs w:val="24"/>
          <w:lang w:val="en-US"/>
        </w:rPr>
        <w:t>, 2008</w:t>
      </w:r>
      <w:r w:rsidR="00B0343E" w:rsidRPr="008D7635">
        <w:rPr>
          <w:rFonts w:ascii="Times New Roman" w:hAnsi="Times New Roman"/>
          <w:sz w:val="24"/>
          <w:szCs w:val="24"/>
          <w:lang w:val="en-US"/>
        </w:rPr>
        <w:t xml:space="preserve">).  </w:t>
      </w:r>
    </w:p>
    <w:p w14:paraId="20E8D682" w14:textId="56C003B5" w:rsidR="00994BDD" w:rsidRPr="008D7635" w:rsidRDefault="00B0343E" w:rsidP="005B30F6">
      <w:pPr>
        <w:autoSpaceDE w:val="0"/>
        <w:autoSpaceDN w:val="0"/>
        <w:adjustRightInd w:val="0"/>
        <w:spacing w:after="0" w:line="360" w:lineRule="auto"/>
        <w:jc w:val="both"/>
        <w:rPr>
          <w:rFonts w:ascii="Times New Roman" w:eastAsia="Times New Roman" w:hAnsi="Times New Roman"/>
          <w:sz w:val="24"/>
          <w:szCs w:val="24"/>
          <w:lang w:eastAsia="en-GB"/>
        </w:rPr>
      </w:pPr>
      <w:r w:rsidRPr="008D7635">
        <w:rPr>
          <w:rFonts w:ascii="Times New Roman" w:hAnsi="Times New Roman"/>
          <w:sz w:val="24"/>
          <w:szCs w:val="24"/>
          <w:lang w:val="en-US"/>
        </w:rPr>
        <w:t xml:space="preserve">The existence of multiple perception of well-being, </w:t>
      </w:r>
      <w:r w:rsidR="00124BB0" w:rsidRPr="008D7635">
        <w:rPr>
          <w:rFonts w:ascii="Times New Roman" w:hAnsi="Times New Roman"/>
          <w:sz w:val="24"/>
          <w:szCs w:val="24"/>
          <w:lang w:val="en-US"/>
        </w:rPr>
        <w:t>its</w:t>
      </w:r>
      <w:r w:rsidRPr="008D7635">
        <w:rPr>
          <w:rFonts w:ascii="Times New Roman" w:hAnsi="Times New Roman"/>
          <w:sz w:val="24"/>
          <w:szCs w:val="24"/>
          <w:lang w:val="en-US"/>
        </w:rPr>
        <w:t xml:space="preserve"> multidimensionality, the subjectivity that characterizes its definitions and its variability on space and time, make well-being an ambiguous concept that lacks of a universally acceptable</w:t>
      </w:r>
      <w:r w:rsidR="00994BDD" w:rsidRPr="008D7635">
        <w:rPr>
          <w:rFonts w:ascii="Times New Roman" w:hAnsi="Times New Roman"/>
          <w:sz w:val="24"/>
          <w:szCs w:val="24"/>
          <w:lang w:val="en-US"/>
        </w:rPr>
        <w:t xml:space="preserve"> definition</w:t>
      </w:r>
      <w:r w:rsidRPr="008D7635">
        <w:rPr>
          <w:rFonts w:ascii="Times New Roman" w:hAnsi="Times New Roman"/>
          <w:sz w:val="24"/>
          <w:szCs w:val="24"/>
          <w:lang w:val="en-US"/>
        </w:rPr>
        <w:t xml:space="preserve">. In addition, the impossibility to provide a single description of well-being makes quantification </w:t>
      </w:r>
      <w:r w:rsidR="00124BB0" w:rsidRPr="008D7635">
        <w:rPr>
          <w:rFonts w:ascii="Times New Roman" w:hAnsi="Times New Roman"/>
          <w:sz w:val="24"/>
          <w:szCs w:val="24"/>
          <w:lang w:val="en-US"/>
        </w:rPr>
        <w:t>strongly</w:t>
      </w:r>
      <w:r w:rsidRPr="008D7635">
        <w:rPr>
          <w:rFonts w:ascii="Times New Roman" w:hAnsi="Times New Roman"/>
          <w:sz w:val="24"/>
          <w:szCs w:val="24"/>
          <w:lang w:val="en-US"/>
        </w:rPr>
        <w:t xml:space="preserve"> </w:t>
      </w:r>
      <w:r w:rsidRPr="008D7635">
        <w:rPr>
          <w:rFonts w:ascii="Times New Roman" w:hAnsi="Times New Roman"/>
          <w:sz w:val="24"/>
          <w:szCs w:val="24"/>
          <w:lang w:val="en-US"/>
        </w:rPr>
        <w:lastRenderedPageBreak/>
        <w:t xml:space="preserve">dependent </w:t>
      </w:r>
      <w:r w:rsidR="00124BB0" w:rsidRPr="008D7635">
        <w:rPr>
          <w:rFonts w:ascii="Times New Roman" w:hAnsi="Times New Roman"/>
          <w:sz w:val="24"/>
          <w:szCs w:val="24"/>
          <w:lang w:val="en-US"/>
        </w:rPr>
        <w:t xml:space="preserve">on </w:t>
      </w:r>
      <w:r w:rsidRPr="008D7635">
        <w:rPr>
          <w:rFonts w:ascii="Times New Roman" w:hAnsi="Times New Roman"/>
          <w:sz w:val="24"/>
          <w:szCs w:val="24"/>
          <w:lang w:val="en-US"/>
        </w:rPr>
        <w:t>the adopted approach (</w:t>
      </w:r>
      <w:proofErr w:type="spellStart"/>
      <w:r w:rsidRPr="008D7635">
        <w:rPr>
          <w:rFonts w:ascii="Times New Roman" w:hAnsi="Times New Roman"/>
          <w:sz w:val="24"/>
          <w:szCs w:val="24"/>
          <w:lang w:val="en-US"/>
        </w:rPr>
        <w:t>Saltelli</w:t>
      </w:r>
      <w:proofErr w:type="spellEnd"/>
      <w:r w:rsidRPr="008D7635">
        <w:rPr>
          <w:rFonts w:ascii="Times New Roman" w:hAnsi="Times New Roman"/>
          <w:sz w:val="24"/>
          <w:szCs w:val="24"/>
          <w:lang w:val="en-US"/>
        </w:rPr>
        <w:t xml:space="preserve"> et al., 2007).  For these reasons, during the last decades a large number of metrics have been proposed and many attempts </w:t>
      </w:r>
      <w:r w:rsidR="00124BB0" w:rsidRPr="008D7635">
        <w:rPr>
          <w:rFonts w:ascii="Times New Roman" w:hAnsi="Times New Roman"/>
          <w:sz w:val="24"/>
          <w:szCs w:val="24"/>
          <w:lang w:val="en-US"/>
        </w:rPr>
        <w:t xml:space="preserve">have been </w:t>
      </w:r>
      <w:r w:rsidRPr="008D7635">
        <w:rPr>
          <w:rFonts w:ascii="Times New Roman" w:hAnsi="Times New Roman"/>
          <w:sz w:val="24"/>
          <w:szCs w:val="24"/>
          <w:lang w:val="en-US"/>
        </w:rPr>
        <w:t>tried to quantify and compare well-being of individuals and societies. The largest part</w:t>
      </w:r>
      <w:r w:rsidR="00124BB0" w:rsidRPr="008D7635">
        <w:rPr>
          <w:rFonts w:ascii="Times New Roman" w:hAnsi="Times New Roman"/>
          <w:sz w:val="24"/>
          <w:szCs w:val="24"/>
          <w:lang w:val="en-US"/>
        </w:rPr>
        <w:t xml:space="preserve"> of</w:t>
      </w:r>
      <w:r w:rsidRPr="008D7635">
        <w:rPr>
          <w:rFonts w:ascii="Times New Roman" w:hAnsi="Times New Roman"/>
          <w:sz w:val="24"/>
          <w:szCs w:val="24"/>
          <w:lang w:val="en-US"/>
        </w:rPr>
        <w:t xml:space="preserve"> </w:t>
      </w:r>
      <w:r w:rsidR="00124BB0" w:rsidRPr="008D7635">
        <w:rPr>
          <w:rFonts w:ascii="Times New Roman" w:hAnsi="Times New Roman"/>
          <w:sz w:val="24"/>
          <w:szCs w:val="24"/>
          <w:lang w:val="en-US"/>
        </w:rPr>
        <w:t>those</w:t>
      </w:r>
      <w:r w:rsidRPr="008D7635">
        <w:rPr>
          <w:rFonts w:ascii="Times New Roman" w:hAnsi="Times New Roman"/>
          <w:sz w:val="24"/>
          <w:szCs w:val="24"/>
          <w:lang w:val="en-US"/>
        </w:rPr>
        <w:t xml:space="preserve">, focused </w:t>
      </w:r>
      <w:r w:rsidR="00124BB0" w:rsidRPr="008D7635">
        <w:rPr>
          <w:rFonts w:ascii="Times New Roman" w:hAnsi="Times New Roman"/>
          <w:sz w:val="24"/>
          <w:szCs w:val="24"/>
          <w:lang w:val="en-US"/>
        </w:rPr>
        <w:t>on</w:t>
      </w:r>
      <w:r w:rsidRPr="008D7635">
        <w:rPr>
          <w:rFonts w:ascii="Times New Roman" w:hAnsi="Times New Roman"/>
          <w:sz w:val="24"/>
          <w:szCs w:val="24"/>
          <w:lang w:val="en-US"/>
        </w:rPr>
        <w:t xml:space="preserve"> the utilitarian approach derived from</w:t>
      </w:r>
      <w:r w:rsidR="0071353F" w:rsidRPr="008D7635">
        <w:rPr>
          <w:rFonts w:ascii="Times New Roman" w:hAnsi="Times New Roman"/>
          <w:sz w:val="24"/>
          <w:szCs w:val="24"/>
          <w:lang w:val="en-US"/>
        </w:rPr>
        <w:t xml:space="preserve"> John Stuart Mill and</w:t>
      </w:r>
      <w:r w:rsidRPr="008D7635">
        <w:rPr>
          <w:rFonts w:ascii="Times New Roman" w:hAnsi="Times New Roman"/>
          <w:sz w:val="24"/>
          <w:szCs w:val="24"/>
          <w:lang w:val="en-US"/>
        </w:rPr>
        <w:t xml:space="preserve"> Jeremy Bentham (</w:t>
      </w:r>
      <w:r w:rsidR="0071353F" w:rsidRPr="008D7635">
        <w:rPr>
          <w:rFonts w:ascii="Times New Roman" w:hAnsi="Times New Roman"/>
          <w:sz w:val="24"/>
          <w:szCs w:val="24"/>
          <w:lang w:val="en-US"/>
        </w:rPr>
        <w:t>Bentham, 1789)</w:t>
      </w:r>
      <w:r w:rsidRPr="008D7635">
        <w:rPr>
          <w:rFonts w:ascii="Times New Roman" w:hAnsi="Times New Roman"/>
          <w:sz w:val="24"/>
          <w:szCs w:val="24"/>
          <w:lang w:val="en-US"/>
        </w:rPr>
        <w:t>. Based on the idea that "more is better" derived from the standard economic hypothesis that people's utility increase</w:t>
      </w:r>
      <w:r w:rsidR="00124BB0" w:rsidRPr="008D7635">
        <w:rPr>
          <w:rFonts w:ascii="Times New Roman" w:hAnsi="Times New Roman"/>
          <w:sz w:val="24"/>
          <w:szCs w:val="24"/>
          <w:lang w:val="en-US"/>
        </w:rPr>
        <w:t>s</w:t>
      </w:r>
      <w:r w:rsidRPr="008D7635">
        <w:rPr>
          <w:rFonts w:ascii="Times New Roman" w:hAnsi="Times New Roman"/>
          <w:sz w:val="24"/>
          <w:szCs w:val="24"/>
          <w:lang w:val="en-US"/>
        </w:rPr>
        <w:t xml:space="preserve"> with consumption, the definition of well-being has been </w:t>
      </w:r>
      <w:r w:rsidR="00124BB0" w:rsidRPr="008D7635">
        <w:rPr>
          <w:rFonts w:ascii="Times New Roman" w:hAnsi="Times New Roman"/>
          <w:sz w:val="24"/>
          <w:szCs w:val="24"/>
          <w:lang w:val="en-US"/>
        </w:rPr>
        <w:t xml:space="preserve">therefore </w:t>
      </w:r>
      <w:r w:rsidRPr="008D7635">
        <w:rPr>
          <w:rFonts w:ascii="Times New Roman" w:hAnsi="Times New Roman"/>
          <w:sz w:val="24"/>
          <w:szCs w:val="24"/>
          <w:lang w:val="en-US"/>
        </w:rPr>
        <w:t>generally reduced to income and GDP</w:t>
      </w:r>
      <w:r w:rsidRPr="008D7635">
        <w:rPr>
          <w:rFonts w:ascii="Times New Roman" w:hAnsi="Times New Roman"/>
          <w:sz w:val="24"/>
          <w:szCs w:val="24"/>
        </w:rPr>
        <w:t>.</w:t>
      </w:r>
      <w:r w:rsidRPr="008D7635">
        <w:rPr>
          <w:rFonts w:ascii="Times New Roman" w:hAnsi="Times New Roman"/>
          <w:sz w:val="24"/>
          <w:szCs w:val="24"/>
          <w:lang w:val="en-US"/>
        </w:rPr>
        <w:t xml:space="preserve"> </w:t>
      </w:r>
      <w:r w:rsidR="000E191C" w:rsidRPr="008D7635">
        <w:rPr>
          <w:rFonts w:ascii="Times New Roman" w:hAnsi="Times New Roman"/>
          <w:sz w:val="24"/>
          <w:szCs w:val="24"/>
          <w:lang w:val="en-US"/>
        </w:rPr>
        <w:t xml:space="preserve">Since the ’70, however, many concerns rose in relation to </w:t>
      </w:r>
      <w:r w:rsidR="00E01077" w:rsidRPr="008D7635">
        <w:rPr>
          <w:rFonts w:ascii="Times New Roman" w:hAnsi="Times New Roman"/>
          <w:sz w:val="24"/>
          <w:szCs w:val="24"/>
          <w:lang w:val="en-US"/>
        </w:rPr>
        <w:t xml:space="preserve">the </w:t>
      </w:r>
      <w:r w:rsidR="000E191C" w:rsidRPr="008D7635">
        <w:rPr>
          <w:rFonts w:ascii="Times New Roman" w:hAnsi="Times New Roman"/>
          <w:sz w:val="24"/>
          <w:szCs w:val="24"/>
          <w:lang w:val="en-US"/>
        </w:rPr>
        <w:t>environmental and social degradation and a large number of studies have been oriented to investigate the negative or the non-increasing relationships between income and well-being</w:t>
      </w:r>
      <w:r w:rsidR="005F35FE" w:rsidRPr="008D7635">
        <w:rPr>
          <w:rFonts w:ascii="Times New Roman" w:hAnsi="Times New Roman"/>
          <w:sz w:val="24"/>
          <w:szCs w:val="24"/>
          <w:lang w:val="en-US"/>
        </w:rPr>
        <w:t xml:space="preserve"> (</w:t>
      </w:r>
      <w:proofErr w:type="spellStart"/>
      <w:r w:rsidR="005F35FE" w:rsidRPr="008D7635">
        <w:rPr>
          <w:rFonts w:ascii="Times New Roman" w:eastAsia="Times New Roman" w:hAnsi="Times New Roman"/>
          <w:sz w:val="24"/>
          <w:szCs w:val="24"/>
          <w:lang w:eastAsia="en-GB"/>
        </w:rPr>
        <w:t>Easterlin</w:t>
      </w:r>
      <w:proofErr w:type="spellEnd"/>
      <w:r w:rsidR="005F35FE" w:rsidRPr="008D7635">
        <w:rPr>
          <w:rFonts w:ascii="Times New Roman" w:eastAsia="Times New Roman" w:hAnsi="Times New Roman"/>
          <w:sz w:val="24"/>
          <w:szCs w:val="24"/>
          <w:lang w:eastAsia="en-GB"/>
        </w:rPr>
        <w:t>, 1974; Clark et al., 2008)</w:t>
      </w:r>
      <w:r w:rsidR="000E191C" w:rsidRPr="008D7635">
        <w:rPr>
          <w:rFonts w:ascii="Times New Roman" w:hAnsi="Times New Roman"/>
          <w:sz w:val="24"/>
          <w:szCs w:val="24"/>
          <w:lang w:val="en-US"/>
        </w:rPr>
        <w:t xml:space="preserve">. From there, a large number of attempts have been done to enlarge the well-being definition with other variables, as for example the value of leisure time, the life expectancy, the investments in human capital or the depletion of natural assets </w:t>
      </w:r>
      <w:r w:rsidR="00656C08" w:rsidRPr="008D7635">
        <w:rPr>
          <w:rFonts w:ascii="Times New Roman" w:hAnsi="Times New Roman"/>
          <w:sz w:val="24"/>
          <w:szCs w:val="24"/>
          <w:lang w:val="en-US"/>
        </w:rPr>
        <w:t xml:space="preserve">(for </w:t>
      </w:r>
      <w:r w:rsidR="00124BB0" w:rsidRPr="008D7635">
        <w:rPr>
          <w:rFonts w:ascii="Times New Roman" w:hAnsi="Times New Roman"/>
          <w:sz w:val="24"/>
          <w:szCs w:val="24"/>
          <w:lang w:val="en-US"/>
        </w:rPr>
        <w:t xml:space="preserve">a </w:t>
      </w:r>
      <w:r w:rsidR="00656C08" w:rsidRPr="008D7635">
        <w:rPr>
          <w:rFonts w:ascii="Times New Roman" w:hAnsi="Times New Roman"/>
          <w:sz w:val="24"/>
          <w:szCs w:val="24"/>
          <w:lang w:val="en-US"/>
        </w:rPr>
        <w:t xml:space="preserve">detailed review see Jackson and McBride, 2005 and </w:t>
      </w:r>
      <w:proofErr w:type="spellStart"/>
      <w:r w:rsidR="00656C08" w:rsidRPr="008D7635">
        <w:rPr>
          <w:rFonts w:ascii="Times New Roman" w:hAnsi="Times New Roman"/>
          <w:sz w:val="24"/>
          <w:szCs w:val="24"/>
          <w:lang w:val="en-US"/>
        </w:rPr>
        <w:t>Brainpool</w:t>
      </w:r>
      <w:proofErr w:type="spellEnd"/>
      <w:r w:rsidR="00656C08" w:rsidRPr="008D7635">
        <w:rPr>
          <w:rFonts w:ascii="Times New Roman" w:hAnsi="Times New Roman"/>
          <w:sz w:val="24"/>
          <w:szCs w:val="24"/>
          <w:lang w:val="en-US"/>
        </w:rPr>
        <w:t xml:space="preserve"> project, 2012 website)</w:t>
      </w:r>
      <w:r w:rsidR="000E191C" w:rsidRPr="008D7635">
        <w:rPr>
          <w:rFonts w:ascii="Times New Roman" w:hAnsi="Times New Roman"/>
          <w:sz w:val="24"/>
          <w:szCs w:val="24"/>
          <w:lang w:val="en-US"/>
        </w:rPr>
        <w:t xml:space="preserve">. In recent times, the global economic crisis, and the related debate on the pros and </w:t>
      </w:r>
      <w:r w:rsidR="000E7945" w:rsidRPr="008D7635">
        <w:rPr>
          <w:rFonts w:ascii="Times New Roman" w:hAnsi="Times New Roman"/>
          <w:sz w:val="24"/>
          <w:szCs w:val="24"/>
          <w:lang w:val="en-US"/>
        </w:rPr>
        <w:t>cons</w:t>
      </w:r>
      <w:r w:rsidR="000E191C" w:rsidRPr="008D7635">
        <w:rPr>
          <w:rFonts w:ascii="Times New Roman" w:hAnsi="Times New Roman"/>
          <w:sz w:val="24"/>
          <w:szCs w:val="24"/>
          <w:lang w:val="en-US"/>
        </w:rPr>
        <w:t xml:space="preserve"> of the present economic system organization, brought many governments and institutions to </w:t>
      </w:r>
      <w:r w:rsidR="005E5A6C" w:rsidRPr="008D7635">
        <w:rPr>
          <w:rFonts w:ascii="Times New Roman" w:hAnsi="Times New Roman"/>
          <w:sz w:val="24"/>
          <w:szCs w:val="24"/>
          <w:lang w:val="en-US"/>
        </w:rPr>
        <w:t>widen</w:t>
      </w:r>
      <w:r w:rsidR="000E7945" w:rsidRPr="008D7635">
        <w:rPr>
          <w:rFonts w:ascii="Times New Roman" w:hAnsi="Times New Roman"/>
          <w:sz w:val="24"/>
          <w:szCs w:val="24"/>
          <w:lang w:val="en-US"/>
        </w:rPr>
        <w:t xml:space="preserve"> the </w:t>
      </w:r>
      <w:r w:rsidR="00255A4E" w:rsidRPr="008D7635">
        <w:rPr>
          <w:rFonts w:ascii="Times New Roman" w:hAnsi="Times New Roman"/>
          <w:sz w:val="24"/>
          <w:szCs w:val="24"/>
          <w:lang w:val="en-US"/>
        </w:rPr>
        <w:t>perspective to include</w:t>
      </w:r>
      <w:r w:rsidR="00F00924" w:rsidRPr="008D7635">
        <w:rPr>
          <w:rFonts w:ascii="Times New Roman" w:hAnsi="Times New Roman"/>
          <w:sz w:val="24"/>
          <w:szCs w:val="24"/>
          <w:lang w:val="en-US"/>
        </w:rPr>
        <w:t xml:space="preserve"> </w:t>
      </w:r>
      <w:r w:rsidR="000E191C" w:rsidRPr="008D7635">
        <w:rPr>
          <w:rFonts w:ascii="Times New Roman" w:hAnsi="Times New Roman"/>
          <w:sz w:val="24"/>
          <w:szCs w:val="24"/>
          <w:lang w:val="en-US"/>
        </w:rPr>
        <w:t>the state of societies from the traditional economic variables to a</w:t>
      </w:r>
      <w:r w:rsidR="007510C8" w:rsidRPr="008D7635">
        <w:rPr>
          <w:rFonts w:ascii="Times New Roman" w:hAnsi="Times New Roman"/>
          <w:sz w:val="24"/>
          <w:szCs w:val="24"/>
          <w:lang w:val="en-US"/>
        </w:rPr>
        <w:t xml:space="preserve"> broader </w:t>
      </w:r>
      <w:r w:rsidR="000E191C" w:rsidRPr="008D7635">
        <w:rPr>
          <w:rFonts w:ascii="Times New Roman" w:hAnsi="Times New Roman"/>
          <w:sz w:val="24"/>
          <w:szCs w:val="24"/>
          <w:lang w:val="en-US"/>
        </w:rPr>
        <w:t>characterization of well-being</w:t>
      </w:r>
      <w:r w:rsidR="000E191C" w:rsidRPr="008D7635">
        <w:rPr>
          <w:rFonts w:ascii="Times New Roman" w:hAnsi="Times New Roman"/>
          <w:sz w:val="24"/>
          <w:szCs w:val="24"/>
        </w:rPr>
        <w:t xml:space="preserve"> (</w:t>
      </w:r>
      <w:proofErr w:type="spellStart"/>
      <w:r w:rsidR="000E191C" w:rsidRPr="008D7635">
        <w:rPr>
          <w:rFonts w:ascii="Times New Roman" w:hAnsi="Times New Roman"/>
          <w:sz w:val="24"/>
          <w:szCs w:val="24"/>
        </w:rPr>
        <w:t>Stiglitz</w:t>
      </w:r>
      <w:proofErr w:type="spellEnd"/>
      <w:r w:rsidR="000E191C" w:rsidRPr="008D7635">
        <w:rPr>
          <w:rFonts w:ascii="Times New Roman" w:hAnsi="Times New Roman"/>
          <w:sz w:val="24"/>
          <w:szCs w:val="24"/>
        </w:rPr>
        <w:t xml:space="preserve"> et al., 2009; "Better Life Initiative" - OECD website; E-Frame project website). A</w:t>
      </w:r>
      <w:r w:rsidR="000E191C" w:rsidRPr="008D7635">
        <w:rPr>
          <w:rFonts w:ascii="Times New Roman" w:eastAsia="Times New Roman" w:hAnsi="Times New Roman"/>
          <w:sz w:val="24"/>
          <w:szCs w:val="24"/>
          <w:lang w:val="en-US" w:eastAsia="en-GB"/>
        </w:rPr>
        <w:t xml:space="preserve">n increasing body of literature </w:t>
      </w:r>
      <w:r w:rsidR="000E191C" w:rsidRPr="008D7635">
        <w:rPr>
          <w:rFonts w:ascii="Times New Roman" w:eastAsia="Times New Roman" w:hAnsi="Times New Roman"/>
          <w:sz w:val="24"/>
          <w:szCs w:val="24"/>
          <w:lang w:eastAsia="en-GB"/>
        </w:rPr>
        <w:t xml:space="preserve">have been </w:t>
      </w:r>
      <w:r w:rsidR="000E7945" w:rsidRPr="008D7635">
        <w:rPr>
          <w:rFonts w:ascii="Times New Roman" w:eastAsia="Times New Roman" w:hAnsi="Times New Roman"/>
          <w:sz w:val="24"/>
          <w:szCs w:val="24"/>
          <w:lang w:eastAsia="en-GB"/>
        </w:rPr>
        <w:t xml:space="preserve">then </w:t>
      </w:r>
      <w:r w:rsidR="000E191C" w:rsidRPr="008D7635">
        <w:rPr>
          <w:rFonts w:ascii="Times New Roman" w:eastAsia="Times New Roman" w:hAnsi="Times New Roman"/>
          <w:sz w:val="24"/>
          <w:szCs w:val="24"/>
          <w:lang w:eastAsia="en-GB"/>
        </w:rPr>
        <w:t xml:space="preserve">oriented to reconceptualise well-being </w:t>
      </w:r>
      <w:r w:rsidR="00E01077" w:rsidRPr="008D7635">
        <w:rPr>
          <w:rFonts w:ascii="Times New Roman" w:eastAsia="Times New Roman" w:hAnsi="Times New Roman"/>
          <w:sz w:val="24"/>
          <w:szCs w:val="24"/>
          <w:lang w:eastAsia="en-GB"/>
        </w:rPr>
        <w:t>as a combination between socio,</w:t>
      </w:r>
      <w:r w:rsidR="000E191C" w:rsidRPr="008D7635">
        <w:rPr>
          <w:rFonts w:ascii="Times New Roman" w:eastAsia="Times New Roman" w:hAnsi="Times New Roman"/>
          <w:sz w:val="24"/>
          <w:szCs w:val="24"/>
          <w:lang w:eastAsia="en-GB"/>
        </w:rPr>
        <w:t xml:space="preserve"> cultural, psychological, environmental</w:t>
      </w:r>
      <w:r w:rsidR="00E01077" w:rsidRPr="008D7635">
        <w:rPr>
          <w:rFonts w:ascii="Times New Roman" w:eastAsia="Times New Roman" w:hAnsi="Times New Roman"/>
          <w:sz w:val="24"/>
          <w:szCs w:val="24"/>
          <w:lang w:eastAsia="en-GB"/>
        </w:rPr>
        <w:t xml:space="preserve"> variables</w:t>
      </w:r>
      <w:r w:rsidR="000E191C" w:rsidRPr="008D7635">
        <w:rPr>
          <w:rFonts w:ascii="Times New Roman" w:eastAsia="Times New Roman" w:hAnsi="Times New Roman"/>
          <w:sz w:val="24"/>
          <w:szCs w:val="24"/>
          <w:lang w:eastAsia="en-GB"/>
        </w:rPr>
        <w:t xml:space="preserve"> and aspirations and today it is widely accepted that well-being is a multidimensional concept that </w:t>
      </w:r>
      <w:r w:rsidR="000E7945" w:rsidRPr="008D7635">
        <w:rPr>
          <w:rFonts w:ascii="Times New Roman" w:eastAsia="Times New Roman" w:hAnsi="Times New Roman"/>
          <w:sz w:val="24"/>
          <w:szCs w:val="24"/>
          <w:lang w:eastAsia="en-GB"/>
        </w:rPr>
        <w:t>en</w:t>
      </w:r>
      <w:r w:rsidR="000E191C" w:rsidRPr="008D7635">
        <w:rPr>
          <w:rFonts w:ascii="Times New Roman" w:eastAsia="Times New Roman" w:hAnsi="Times New Roman"/>
          <w:sz w:val="24"/>
          <w:szCs w:val="24"/>
          <w:lang w:eastAsia="en-GB"/>
        </w:rPr>
        <w:t>compass</w:t>
      </w:r>
      <w:r w:rsidR="00255A4E" w:rsidRPr="008D7635">
        <w:rPr>
          <w:rFonts w:ascii="Times New Roman" w:eastAsia="Times New Roman" w:hAnsi="Times New Roman"/>
          <w:sz w:val="24"/>
          <w:szCs w:val="24"/>
          <w:lang w:eastAsia="en-GB"/>
        </w:rPr>
        <w:t>es</w:t>
      </w:r>
      <w:r w:rsidR="000E191C" w:rsidRPr="008D7635">
        <w:rPr>
          <w:rFonts w:ascii="Times New Roman" w:eastAsia="Times New Roman" w:hAnsi="Times New Roman"/>
          <w:sz w:val="24"/>
          <w:szCs w:val="24"/>
          <w:lang w:eastAsia="en-GB"/>
        </w:rPr>
        <w:t xml:space="preserve"> all the aspects of human life (</w:t>
      </w:r>
      <w:proofErr w:type="spellStart"/>
      <w:r w:rsidR="000E191C" w:rsidRPr="008D7635">
        <w:rPr>
          <w:rFonts w:ascii="Times New Roman" w:eastAsia="Times New Roman" w:hAnsi="Times New Roman"/>
          <w:sz w:val="24"/>
          <w:szCs w:val="24"/>
          <w:lang w:eastAsia="en-GB"/>
        </w:rPr>
        <w:t>McGillvray</w:t>
      </w:r>
      <w:proofErr w:type="spellEnd"/>
      <w:r w:rsidR="000E191C" w:rsidRPr="008D7635">
        <w:rPr>
          <w:rFonts w:ascii="Times New Roman" w:eastAsia="Times New Roman" w:hAnsi="Times New Roman"/>
          <w:sz w:val="24"/>
          <w:szCs w:val="24"/>
          <w:lang w:eastAsia="en-GB"/>
        </w:rPr>
        <w:t>, 2007).</w:t>
      </w:r>
      <w:r w:rsidR="00391C5B" w:rsidRPr="008D7635">
        <w:rPr>
          <w:rFonts w:ascii="Times New Roman" w:eastAsia="Times New Roman" w:hAnsi="Times New Roman"/>
          <w:sz w:val="24"/>
          <w:szCs w:val="24"/>
          <w:lang w:eastAsia="en-GB"/>
        </w:rPr>
        <w:t xml:space="preserve"> In general terms,</w:t>
      </w:r>
      <w:r w:rsidR="000E191C" w:rsidRPr="008D7635">
        <w:rPr>
          <w:rFonts w:ascii="Times New Roman" w:eastAsia="Times New Roman" w:hAnsi="Times New Roman"/>
          <w:sz w:val="24"/>
          <w:szCs w:val="24"/>
          <w:lang w:eastAsia="en-GB"/>
        </w:rPr>
        <w:t xml:space="preserve"> </w:t>
      </w:r>
      <w:r w:rsidR="00391C5B" w:rsidRPr="008D7635">
        <w:rPr>
          <w:rFonts w:ascii="Times New Roman" w:eastAsia="Times New Roman" w:hAnsi="Times New Roman"/>
          <w:sz w:val="24"/>
          <w:szCs w:val="24"/>
          <w:lang w:eastAsia="en-GB"/>
        </w:rPr>
        <w:t>t</w:t>
      </w:r>
      <w:r w:rsidR="00255A4E" w:rsidRPr="008D7635">
        <w:rPr>
          <w:rFonts w:ascii="Times New Roman" w:eastAsia="Times New Roman" w:hAnsi="Times New Roman"/>
          <w:sz w:val="24"/>
          <w:szCs w:val="24"/>
          <w:lang w:eastAsia="en-GB"/>
        </w:rPr>
        <w:t>wo</w:t>
      </w:r>
      <w:r w:rsidR="000E191C" w:rsidRPr="008D7635">
        <w:rPr>
          <w:rFonts w:ascii="Times New Roman" w:eastAsia="Times New Roman" w:hAnsi="Times New Roman"/>
          <w:sz w:val="24"/>
          <w:szCs w:val="24"/>
          <w:lang w:eastAsia="en-GB"/>
        </w:rPr>
        <w:t xml:space="preserve"> main approaches, namely the </w:t>
      </w:r>
      <w:r w:rsidR="000E191C" w:rsidRPr="008D7635">
        <w:rPr>
          <w:rFonts w:ascii="Times New Roman" w:eastAsia="Times New Roman" w:hAnsi="Times New Roman"/>
          <w:i/>
          <w:sz w:val="24"/>
          <w:szCs w:val="24"/>
          <w:lang w:eastAsia="en-GB"/>
        </w:rPr>
        <w:t>subjective</w:t>
      </w:r>
      <w:r w:rsidR="000E191C" w:rsidRPr="008D7635">
        <w:rPr>
          <w:rFonts w:ascii="Times New Roman" w:eastAsia="Times New Roman" w:hAnsi="Times New Roman"/>
          <w:sz w:val="24"/>
          <w:szCs w:val="24"/>
          <w:lang w:eastAsia="en-GB"/>
        </w:rPr>
        <w:t xml:space="preserve"> and the </w:t>
      </w:r>
      <w:r w:rsidR="000E191C" w:rsidRPr="008D7635">
        <w:rPr>
          <w:rFonts w:ascii="Times New Roman" w:eastAsia="Times New Roman" w:hAnsi="Times New Roman"/>
          <w:i/>
          <w:sz w:val="24"/>
          <w:szCs w:val="24"/>
          <w:lang w:eastAsia="en-GB"/>
        </w:rPr>
        <w:t>objective</w:t>
      </w:r>
      <w:r w:rsidR="000E7945" w:rsidRPr="008D7635">
        <w:rPr>
          <w:rFonts w:ascii="Times New Roman" w:eastAsia="Times New Roman" w:hAnsi="Times New Roman"/>
          <w:sz w:val="24"/>
          <w:szCs w:val="24"/>
          <w:lang w:eastAsia="en-GB"/>
        </w:rPr>
        <w:t xml:space="preserve"> one</w:t>
      </w:r>
      <w:r w:rsidR="000E191C" w:rsidRPr="008D7635">
        <w:rPr>
          <w:rFonts w:ascii="Times New Roman" w:eastAsia="Times New Roman" w:hAnsi="Times New Roman"/>
          <w:sz w:val="24"/>
          <w:szCs w:val="24"/>
          <w:lang w:eastAsia="en-GB"/>
        </w:rPr>
        <w:t xml:space="preserve"> have been used</w:t>
      </w:r>
      <w:r w:rsidR="00E01077" w:rsidRPr="008D7635">
        <w:rPr>
          <w:rFonts w:ascii="Times New Roman" w:eastAsia="Times New Roman" w:hAnsi="Times New Roman"/>
          <w:sz w:val="24"/>
          <w:szCs w:val="24"/>
          <w:lang w:eastAsia="en-GB"/>
        </w:rPr>
        <w:t xml:space="preserve"> </w:t>
      </w:r>
      <w:r w:rsidR="000E7945" w:rsidRPr="008D7635">
        <w:rPr>
          <w:rFonts w:ascii="Times New Roman" w:eastAsia="Times New Roman" w:hAnsi="Times New Roman"/>
          <w:sz w:val="24"/>
          <w:szCs w:val="24"/>
          <w:lang w:eastAsia="en-GB"/>
        </w:rPr>
        <w:t xml:space="preserve">in the </w:t>
      </w:r>
      <w:r w:rsidR="00E01077" w:rsidRPr="008D7635">
        <w:rPr>
          <w:rFonts w:ascii="Times New Roman" w:eastAsia="Times New Roman" w:hAnsi="Times New Roman"/>
          <w:sz w:val="24"/>
          <w:szCs w:val="24"/>
          <w:lang w:eastAsia="en-GB"/>
        </w:rPr>
        <w:t>literature</w:t>
      </w:r>
      <w:r w:rsidR="000E191C" w:rsidRPr="008D7635">
        <w:rPr>
          <w:rFonts w:ascii="Times New Roman" w:eastAsia="Times New Roman" w:hAnsi="Times New Roman"/>
          <w:sz w:val="24"/>
          <w:szCs w:val="24"/>
          <w:lang w:eastAsia="en-GB"/>
        </w:rPr>
        <w:t xml:space="preserve"> to define and quantify well-being. </w:t>
      </w:r>
    </w:p>
    <w:p w14:paraId="2F329422" w14:textId="77777777" w:rsidR="00F00924" w:rsidRPr="008D7635" w:rsidRDefault="00F00924" w:rsidP="005B30F6">
      <w:pPr>
        <w:autoSpaceDE w:val="0"/>
        <w:autoSpaceDN w:val="0"/>
        <w:adjustRightInd w:val="0"/>
        <w:spacing w:after="0" w:line="360" w:lineRule="auto"/>
        <w:jc w:val="both"/>
        <w:rPr>
          <w:rFonts w:ascii="Times New Roman" w:eastAsia="Times New Roman" w:hAnsi="Times New Roman"/>
          <w:sz w:val="24"/>
          <w:szCs w:val="24"/>
          <w:lang w:eastAsia="en-GB"/>
        </w:rPr>
      </w:pPr>
    </w:p>
    <w:p w14:paraId="138AD07C" w14:textId="77777777" w:rsidR="005B30F6" w:rsidRPr="008D7635" w:rsidRDefault="005B30F6" w:rsidP="005B30F6">
      <w:pPr>
        <w:autoSpaceDE w:val="0"/>
        <w:autoSpaceDN w:val="0"/>
        <w:adjustRightInd w:val="0"/>
        <w:spacing w:after="0" w:line="360" w:lineRule="auto"/>
        <w:jc w:val="both"/>
        <w:rPr>
          <w:rFonts w:ascii="Times New Roman" w:eastAsia="Times New Roman" w:hAnsi="Times New Roman"/>
          <w:sz w:val="24"/>
          <w:szCs w:val="24"/>
          <w:lang w:eastAsia="en-GB"/>
        </w:rPr>
      </w:pPr>
    </w:p>
    <w:p w14:paraId="1F79F384" w14:textId="77777777" w:rsidR="00994BDD" w:rsidRPr="008D7635" w:rsidRDefault="00994BDD" w:rsidP="005B30F6">
      <w:pPr>
        <w:pStyle w:val="ListParagraph"/>
        <w:numPr>
          <w:ilvl w:val="1"/>
          <w:numId w:val="14"/>
        </w:numPr>
        <w:autoSpaceDE w:val="0"/>
        <w:autoSpaceDN w:val="0"/>
        <w:adjustRightInd w:val="0"/>
        <w:spacing w:after="0" w:line="360" w:lineRule="auto"/>
        <w:jc w:val="both"/>
        <w:rPr>
          <w:rFonts w:ascii="Times New Roman" w:eastAsia="Times New Roman" w:hAnsi="Times New Roman"/>
          <w:i/>
          <w:sz w:val="24"/>
          <w:szCs w:val="24"/>
          <w:lang w:eastAsia="en-GB"/>
        </w:rPr>
      </w:pPr>
      <w:r w:rsidRPr="008D7635">
        <w:rPr>
          <w:rFonts w:ascii="Times New Roman" w:eastAsia="Times New Roman" w:hAnsi="Times New Roman"/>
          <w:i/>
          <w:sz w:val="24"/>
          <w:szCs w:val="24"/>
          <w:lang w:eastAsia="en-GB"/>
        </w:rPr>
        <w:t>The subjective v/ objective well-being approach:</w:t>
      </w:r>
    </w:p>
    <w:p w14:paraId="40F86015" w14:textId="77777777" w:rsidR="005B30F6" w:rsidRPr="008D7635" w:rsidRDefault="005B30F6" w:rsidP="005B30F6">
      <w:pPr>
        <w:pStyle w:val="ListParagraph"/>
        <w:autoSpaceDE w:val="0"/>
        <w:autoSpaceDN w:val="0"/>
        <w:adjustRightInd w:val="0"/>
        <w:spacing w:after="0" w:line="360" w:lineRule="auto"/>
        <w:ind w:left="360"/>
        <w:jc w:val="both"/>
        <w:rPr>
          <w:rFonts w:ascii="Times New Roman" w:eastAsia="Times New Roman" w:hAnsi="Times New Roman"/>
          <w:i/>
          <w:sz w:val="24"/>
          <w:szCs w:val="24"/>
          <w:lang w:eastAsia="en-GB"/>
        </w:rPr>
      </w:pPr>
    </w:p>
    <w:p w14:paraId="247FE1CA" w14:textId="250AECFE" w:rsidR="00A44FD2" w:rsidRPr="008D7635" w:rsidRDefault="000E191C" w:rsidP="005B30F6">
      <w:pPr>
        <w:tabs>
          <w:tab w:val="left" w:pos="8080"/>
        </w:tabs>
        <w:autoSpaceDE w:val="0"/>
        <w:autoSpaceDN w:val="0"/>
        <w:adjustRightInd w:val="0"/>
        <w:spacing w:after="0" w:line="360" w:lineRule="auto"/>
        <w:jc w:val="both"/>
        <w:rPr>
          <w:rFonts w:ascii="Times New Roman" w:hAnsi="Times New Roman"/>
          <w:color w:val="000000"/>
          <w:sz w:val="24"/>
          <w:szCs w:val="24"/>
        </w:rPr>
      </w:pPr>
      <w:r w:rsidRPr="008D7635">
        <w:rPr>
          <w:rFonts w:ascii="Times New Roman" w:eastAsia="Times New Roman" w:hAnsi="Times New Roman"/>
          <w:sz w:val="24"/>
          <w:szCs w:val="24"/>
          <w:lang w:eastAsia="en-GB"/>
        </w:rPr>
        <w:t xml:space="preserve">The </w:t>
      </w:r>
      <w:r w:rsidRPr="008D7635">
        <w:rPr>
          <w:rFonts w:ascii="Times New Roman" w:eastAsia="Times New Roman" w:hAnsi="Times New Roman"/>
          <w:i/>
          <w:sz w:val="24"/>
          <w:szCs w:val="24"/>
          <w:lang w:eastAsia="en-GB"/>
        </w:rPr>
        <w:t>subjective approach</w:t>
      </w:r>
      <w:r w:rsidRPr="008D7635">
        <w:rPr>
          <w:rFonts w:ascii="Times New Roman" w:eastAsia="Times New Roman" w:hAnsi="Times New Roman"/>
          <w:sz w:val="24"/>
          <w:szCs w:val="24"/>
          <w:lang w:eastAsia="en-GB"/>
        </w:rPr>
        <w:t xml:space="preserve"> focuses on</w:t>
      </w:r>
      <w:r w:rsidRPr="008D7635">
        <w:rPr>
          <w:rFonts w:ascii="Times New Roman" w:hAnsi="Times New Roman"/>
          <w:sz w:val="24"/>
          <w:szCs w:val="24"/>
          <w:lang w:val="en-US"/>
        </w:rPr>
        <w:t xml:space="preserve"> </w:t>
      </w:r>
      <w:r w:rsidRPr="008D7635">
        <w:rPr>
          <w:rFonts w:ascii="Times New Roman" w:hAnsi="Times New Roman"/>
          <w:color w:val="000000"/>
          <w:sz w:val="24"/>
          <w:szCs w:val="24"/>
        </w:rPr>
        <w:t>people's own evaluations of personal life. It</w:t>
      </w:r>
      <w:r w:rsidRPr="008D7635">
        <w:rPr>
          <w:rFonts w:ascii="Times New Roman" w:hAnsi="Times New Roman"/>
          <w:sz w:val="24"/>
          <w:szCs w:val="24"/>
          <w:lang w:val="en-US"/>
        </w:rPr>
        <w:t xml:space="preserve"> </w:t>
      </w:r>
      <w:r w:rsidR="000E7945" w:rsidRPr="008D7635">
        <w:rPr>
          <w:rFonts w:ascii="Times New Roman" w:hAnsi="Times New Roman"/>
          <w:sz w:val="24"/>
          <w:szCs w:val="24"/>
          <w:lang w:val="en-US"/>
        </w:rPr>
        <w:t>intends</w:t>
      </w:r>
      <w:r w:rsidR="00234989" w:rsidRPr="008D7635">
        <w:rPr>
          <w:rFonts w:ascii="Times New Roman" w:hAnsi="Times New Roman"/>
          <w:sz w:val="24"/>
          <w:szCs w:val="24"/>
          <w:lang w:val="en-US"/>
        </w:rPr>
        <w:t xml:space="preserve"> </w:t>
      </w:r>
      <w:r w:rsidRPr="008D7635">
        <w:rPr>
          <w:rFonts w:ascii="Times New Roman" w:hAnsi="Times New Roman"/>
          <w:sz w:val="24"/>
          <w:szCs w:val="24"/>
          <w:lang w:val="en-US"/>
        </w:rPr>
        <w:t>to capture people's feelings on life satisfaction and it is based on subjective evaluation of past and future life experiences (</w:t>
      </w:r>
      <w:r w:rsidRPr="008D7635">
        <w:rPr>
          <w:rFonts w:ascii="Times New Roman" w:hAnsi="Times New Roman"/>
          <w:color w:val="000000"/>
          <w:sz w:val="24"/>
          <w:szCs w:val="24"/>
        </w:rPr>
        <w:t xml:space="preserve">Andrews and </w:t>
      </w:r>
      <w:proofErr w:type="spellStart"/>
      <w:r w:rsidRPr="008D7635">
        <w:rPr>
          <w:rFonts w:ascii="Times New Roman" w:hAnsi="Times New Roman"/>
          <w:color w:val="000000"/>
          <w:sz w:val="24"/>
          <w:szCs w:val="24"/>
        </w:rPr>
        <w:t>Withey</w:t>
      </w:r>
      <w:proofErr w:type="spellEnd"/>
      <w:r w:rsidRPr="008D7635">
        <w:rPr>
          <w:rFonts w:ascii="Times New Roman" w:hAnsi="Times New Roman"/>
          <w:color w:val="000000"/>
          <w:sz w:val="24"/>
          <w:szCs w:val="24"/>
        </w:rPr>
        <w:t xml:space="preserve">, 1976; </w:t>
      </w:r>
      <w:proofErr w:type="spellStart"/>
      <w:r w:rsidRPr="008D7635">
        <w:rPr>
          <w:rFonts w:ascii="Times New Roman" w:hAnsi="Times New Roman"/>
          <w:color w:val="000000"/>
          <w:sz w:val="24"/>
          <w:szCs w:val="24"/>
        </w:rPr>
        <w:t>Diener</w:t>
      </w:r>
      <w:proofErr w:type="spellEnd"/>
      <w:r w:rsidRPr="008D7635">
        <w:rPr>
          <w:rFonts w:ascii="Times New Roman" w:hAnsi="Times New Roman"/>
          <w:color w:val="000000"/>
          <w:sz w:val="24"/>
          <w:szCs w:val="24"/>
        </w:rPr>
        <w:t xml:space="preserve"> and Lucas 2000; </w:t>
      </w:r>
      <w:r w:rsidRPr="008D7635">
        <w:rPr>
          <w:rFonts w:ascii="Times New Roman" w:hAnsi="Times New Roman"/>
          <w:sz w:val="24"/>
          <w:szCs w:val="24"/>
          <w:lang w:val="en-US"/>
        </w:rPr>
        <w:t xml:space="preserve">McGillivray and Clarke, 2006; van Hoorn, 2007). </w:t>
      </w:r>
      <w:r w:rsidR="00255A4E" w:rsidRPr="008D7635">
        <w:rPr>
          <w:rFonts w:ascii="Times New Roman" w:hAnsi="Times New Roman"/>
          <w:sz w:val="24"/>
          <w:szCs w:val="24"/>
          <w:lang w:val="en-US"/>
        </w:rPr>
        <w:t>Since it</w:t>
      </w:r>
      <w:r w:rsidR="00994BDD" w:rsidRPr="008D7635">
        <w:rPr>
          <w:rFonts w:ascii="Times New Roman" w:hAnsi="Times New Roman"/>
          <w:sz w:val="24"/>
          <w:szCs w:val="24"/>
          <w:lang w:val="en-US"/>
        </w:rPr>
        <w:t xml:space="preserve"> </w:t>
      </w:r>
      <w:r w:rsidR="00255A4E" w:rsidRPr="008D7635">
        <w:rPr>
          <w:rFonts w:ascii="Times New Roman" w:hAnsi="Times New Roman"/>
          <w:sz w:val="24"/>
          <w:szCs w:val="24"/>
          <w:lang w:val="en-US"/>
        </w:rPr>
        <w:t xml:space="preserve">intends to </w:t>
      </w:r>
      <w:r w:rsidR="00994BDD" w:rsidRPr="008D7635">
        <w:rPr>
          <w:rFonts w:ascii="Times New Roman" w:hAnsi="Times New Roman"/>
          <w:sz w:val="24"/>
          <w:szCs w:val="24"/>
          <w:lang w:val="en-US"/>
        </w:rPr>
        <w:t>describe the extent to which an individual feel</w:t>
      </w:r>
      <w:r w:rsidR="00255A4E" w:rsidRPr="008D7635">
        <w:rPr>
          <w:rFonts w:ascii="Times New Roman" w:hAnsi="Times New Roman"/>
          <w:sz w:val="24"/>
          <w:szCs w:val="24"/>
          <w:lang w:val="en-US"/>
        </w:rPr>
        <w:t>s</w:t>
      </w:r>
      <w:r w:rsidR="00994BDD" w:rsidRPr="008D7635">
        <w:rPr>
          <w:rFonts w:ascii="Times New Roman" w:hAnsi="Times New Roman"/>
          <w:sz w:val="24"/>
          <w:szCs w:val="24"/>
          <w:lang w:val="en-US"/>
        </w:rPr>
        <w:t xml:space="preserve"> that its life is going well, it is based on subjective evaluation</w:t>
      </w:r>
      <w:r w:rsidR="00255A4E" w:rsidRPr="008D7635">
        <w:rPr>
          <w:rFonts w:ascii="Times New Roman" w:hAnsi="Times New Roman"/>
          <w:sz w:val="24"/>
          <w:szCs w:val="24"/>
          <w:lang w:val="en-US"/>
        </w:rPr>
        <w:t>s</w:t>
      </w:r>
      <w:r w:rsidR="00994BDD" w:rsidRPr="008D7635">
        <w:rPr>
          <w:rFonts w:ascii="Times New Roman" w:hAnsi="Times New Roman"/>
          <w:sz w:val="24"/>
          <w:szCs w:val="24"/>
          <w:lang w:val="en-US"/>
        </w:rPr>
        <w:t xml:space="preserve"> and it is strongly influenced by expectations, personality, </w:t>
      </w:r>
      <w:r w:rsidR="00994BDD" w:rsidRPr="008D7635">
        <w:rPr>
          <w:rFonts w:ascii="Times New Roman" w:hAnsi="Times New Roman"/>
          <w:color w:val="000000"/>
          <w:sz w:val="24"/>
          <w:szCs w:val="24"/>
        </w:rPr>
        <w:t>circumstances, aspirations and interpersonal comparisons (</w:t>
      </w:r>
      <w:proofErr w:type="spellStart"/>
      <w:r w:rsidR="00994BDD" w:rsidRPr="008D7635">
        <w:rPr>
          <w:rFonts w:ascii="Times New Roman" w:hAnsi="Times New Roman"/>
          <w:color w:val="000000"/>
          <w:sz w:val="24"/>
          <w:szCs w:val="24"/>
        </w:rPr>
        <w:t>Warr</w:t>
      </w:r>
      <w:proofErr w:type="spellEnd"/>
      <w:r w:rsidR="00994BDD" w:rsidRPr="008D7635">
        <w:rPr>
          <w:rFonts w:ascii="Times New Roman" w:hAnsi="Times New Roman"/>
          <w:color w:val="000000"/>
          <w:sz w:val="24"/>
          <w:szCs w:val="24"/>
        </w:rPr>
        <w:t xml:space="preserve">, 1999). </w:t>
      </w:r>
      <w:r w:rsidR="006E2868" w:rsidRPr="008D7635">
        <w:rPr>
          <w:rFonts w:ascii="Times New Roman" w:hAnsi="Times New Roman"/>
          <w:sz w:val="24"/>
          <w:szCs w:val="24"/>
          <w:lang w:val="en-US"/>
        </w:rPr>
        <w:t xml:space="preserve">The </w:t>
      </w:r>
      <w:r w:rsidRPr="008D7635">
        <w:rPr>
          <w:rFonts w:ascii="Times New Roman" w:hAnsi="Times New Roman"/>
          <w:sz w:val="24"/>
          <w:szCs w:val="24"/>
          <w:lang w:val="en-US"/>
        </w:rPr>
        <w:t xml:space="preserve">subjective well-being </w:t>
      </w:r>
      <w:r w:rsidR="00255A4E" w:rsidRPr="008D7635">
        <w:rPr>
          <w:rFonts w:ascii="Times New Roman" w:hAnsi="Times New Roman"/>
          <w:sz w:val="24"/>
          <w:szCs w:val="24"/>
          <w:lang w:val="en-US"/>
        </w:rPr>
        <w:t xml:space="preserve">(SWB) </w:t>
      </w:r>
      <w:r w:rsidRPr="008D7635">
        <w:rPr>
          <w:rFonts w:ascii="Times New Roman" w:hAnsi="Times New Roman"/>
          <w:sz w:val="24"/>
          <w:szCs w:val="24"/>
          <w:lang w:val="en-US"/>
        </w:rPr>
        <w:t xml:space="preserve">measures are generally based on </w:t>
      </w:r>
      <w:r w:rsidRPr="008D7635">
        <w:rPr>
          <w:rFonts w:ascii="Times New Roman" w:hAnsi="Times New Roman"/>
          <w:sz w:val="24"/>
          <w:szCs w:val="24"/>
          <w:lang w:val="en-US"/>
        </w:rPr>
        <w:lastRenderedPageBreak/>
        <w:t xml:space="preserve">questioners and interviews </w:t>
      </w:r>
      <w:r w:rsidR="00255A4E" w:rsidRPr="008D7635">
        <w:rPr>
          <w:rFonts w:ascii="Times New Roman" w:hAnsi="Times New Roman"/>
          <w:sz w:val="24"/>
          <w:szCs w:val="24"/>
          <w:lang w:val="en-US"/>
        </w:rPr>
        <w:t>aiming at</w:t>
      </w:r>
      <w:r w:rsidRPr="008D7635">
        <w:rPr>
          <w:rFonts w:ascii="Times New Roman" w:hAnsi="Times New Roman"/>
          <w:sz w:val="24"/>
          <w:szCs w:val="24"/>
          <w:lang w:val="en-US"/>
        </w:rPr>
        <w:t xml:space="preserve"> obtain</w:t>
      </w:r>
      <w:r w:rsidR="00255A4E" w:rsidRPr="008D7635">
        <w:rPr>
          <w:rFonts w:ascii="Times New Roman" w:hAnsi="Times New Roman"/>
          <w:sz w:val="24"/>
          <w:szCs w:val="24"/>
          <w:lang w:val="en-US"/>
        </w:rPr>
        <w:t>ing</w:t>
      </w:r>
      <w:r w:rsidRPr="008D7635">
        <w:rPr>
          <w:rFonts w:ascii="Times New Roman" w:hAnsi="Times New Roman"/>
          <w:sz w:val="24"/>
          <w:szCs w:val="24"/>
          <w:lang w:val="en-US"/>
        </w:rPr>
        <w:t xml:space="preserve"> self-reported valuations of </w:t>
      </w:r>
      <w:r w:rsidR="00994BDD" w:rsidRPr="008D7635">
        <w:rPr>
          <w:rFonts w:ascii="Times New Roman" w:hAnsi="Times New Roman"/>
          <w:sz w:val="24"/>
          <w:szCs w:val="24"/>
          <w:lang w:val="en-US"/>
        </w:rPr>
        <w:t>some aspects of individual’s life or life as a whole</w:t>
      </w:r>
      <w:r w:rsidRPr="008D7635">
        <w:rPr>
          <w:rFonts w:ascii="Times New Roman" w:hAnsi="Times New Roman"/>
          <w:sz w:val="24"/>
          <w:szCs w:val="24"/>
          <w:lang w:val="en-US"/>
        </w:rPr>
        <w:t xml:space="preserve"> </w:t>
      </w:r>
      <w:r w:rsidRPr="008D7635">
        <w:rPr>
          <w:rFonts w:ascii="Times New Roman" w:hAnsi="Times New Roman"/>
          <w:color w:val="000000"/>
          <w:sz w:val="24"/>
          <w:szCs w:val="24"/>
        </w:rPr>
        <w:t>(</w:t>
      </w:r>
      <w:proofErr w:type="spellStart"/>
      <w:r w:rsidRPr="008D7635">
        <w:rPr>
          <w:rFonts w:ascii="Times New Roman" w:hAnsi="Times New Roman"/>
          <w:color w:val="000000"/>
          <w:sz w:val="24"/>
          <w:szCs w:val="24"/>
        </w:rPr>
        <w:t>Diener</w:t>
      </w:r>
      <w:proofErr w:type="spellEnd"/>
      <w:r w:rsidRPr="008D7635">
        <w:rPr>
          <w:rFonts w:ascii="Times New Roman" w:hAnsi="Times New Roman"/>
          <w:color w:val="000000"/>
          <w:sz w:val="24"/>
          <w:szCs w:val="24"/>
        </w:rPr>
        <w:t xml:space="preserve"> and Seligman, 2004;</w:t>
      </w:r>
      <w:r w:rsidR="00B960D9" w:rsidRPr="008D7635">
        <w:rPr>
          <w:rFonts w:ascii="Times New Roman" w:hAnsi="Times New Roman"/>
          <w:color w:val="000000"/>
          <w:sz w:val="24"/>
          <w:szCs w:val="24"/>
        </w:rPr>
        <w:t xml:space="preserve"> </w:t>
      </w:r>
      <w:proofErr w:type="spellStart"/>
      <w:r w:rsidRPr="008D7635">
        <w:rPr>
          <w:rFonts w:ascii="Times New Roman" w:hAnsi="Times New Roman"/>
          <w:color w:val="000000"/>
          <w:sz w:val="24"/>
          <w:szCs w:val="24"/>
        </w:rPr>
        <w:t>Kahneman</w:t>
      </w:r>
      <w:proofErr w:type="spellEnd"/>
      <w:r w:rsidRPr="008D7635">
        <w:rPr>
          <w:rFonts w:ascii="Times New Roman" w:hAnsi="Times New Roman"/>
          <w:color w:val="000000"/>
          <w:sz w:val="24"/>
          <w:szCs w:val="24"/>
        </w:rPr>
        <w:t xml:space="preserve"> et al., 2004</w:t>
      </w:r>
      <w:r w:rsidR="00B960D9" w:rsidRPr="008D7635">
        <w:rPr>
          <w:rFonts w:ascii="Times New Roman" w:hAnsi="Times New Roman"/>
          <w:color w:val="000000"/>
          <w:sz w:val="24"/>
          <w:szCs w:val="24"/>
        </w:rPr>
        <w:t xml:space="preserve">; </w:t>
      </w:r>
      <w:proofErr w:type="spellStart"/>
      <w:r w:rsidR="00B960D9" w:rsidRPr="008D7635">
        <w:rPr>
          <w:rFonts w:ascii="Times New Roman" w:hAnsi="Times New Roman"/>
          <w:color w:val="000000"/>
          <w:sz w:val="24"/>
          <w:szCs w:val="24"/>
        </w:rPr>
        <w:t>Diener</w:t>
      </w:r>
      <w:proofErr w:type="spellEnd"/>
      <w:r w:rsidR="00B960D9" w:rsidRPr="008D7635">
        <w:rPr>
          <w:rFonts w:ascii="Times New Roman" w:hAnsi="Times New Roman"/>
          <w:color w:val="000000"/>
          <w:sz w:val="24"/>
          <w:szCs w:val="24"/>
        </w:rPr>
        <w:t>, 2006</w:t>
      </w:r>
      <w:r w:rsidRPr="008D7635">
        <w:rPr>
          <w:rFonts w:ascii="Times New Roman" w:hAnsi="Times New Roman"/>
          <w:color w:val="000000"/>
          <w:sz w:val="24"/>
          <w:szCs w:val="24"/>
        </w:rPr>
        <w:t xml:space="preserve">). </w:t>
      </w:r>
      <w:r w:rsidR="00994BDD" w:rsidRPr="008D7635">
        <w:rPr>
          <w:rFonts w:ascii="Times New Roman" w:hAnsi="Times New Roman"/>
          <w:color w:val="000000"/>
          <w:sz w:val="24"/>
          <w:szCs w:val="24"/>
        </w:rPr>
        <w:t>The answers obtained are used to construct numerical measures to rank SWB of individuals and societies. However, by having to aggregate the different values assigned to the different aspects of life into a single subjective well-being index, the final value may be subject to distortions generated by aggregation or score attributions (</w:t>
      </w:r>
      <w:proofErr w:type="spellStart"/>
      <w:r w:rsidR="00994BDD" w:rsidRPr="008D7635">
        <w:rPr>
          <w:rFonts w:ascii="Times New Roman" w:hAnsi="Times New Roman"/>
          <w:color w:val="000000"/>
          <w:sz w:val="24"/>
          <w:szCs w:val="24"/>
        </w:rPr>
        <w:t>Saltelli</w:t>
      </w:r>
      <w:proofErr w:type="spellEnd"/>
      <w:r w:rsidR="00994BDD" w:rsidRPr="008D7635">
        <w:rPr>
          <w:rFonts w:ascii="Times New Roman" w:hAnsi="Times New Roman"/>
          <w:color w:val="000000"/>
          <w:sz w:val="24"/>
          <w:szCs w:val="24"/>
        </w:rPr>
        <w:t xml:space="preserve"> et al., 2007).</w:t>
      </w:r>
      <w:r w:rsidR="00994BDD" w:rsidRPr="008D7635">
        <w:rPr>
          <w:rFonts w:ascii="Times New Roman" w:hAnsi="Times New Roman"/>
          <w:i/>
          <w:color w:val="000000"/>
          <w:sz w:val="24"/>
          <w:szCs w:val="24"/>
        </w:rPr>
        <w:t xml:space="preserve"> </w:t>
      </w:r>
      <w:r w:rsidR="00994BDD" w:rsidRPr="008D7635">
        <w:rPr>
          <w:rFonts w:ascii="Times New Roman" w:hAnsi="Times New Roman"/>
          <w:color w:val="000000"/>
          <w:sz w:val="24"/>
          <w:szCs w:val="24"/>
        </w:rPr>
        <w:t xml:space="preserve"> In spite of these limitations, however, a large number of studies have investigate</w:t>
      </w:r>
      <w:r w:rsidR="00255A4E" w:rsidRPr="008D7635">
        <w:rPr>
          <w:rFonts w:ascii="Times New Roman" w:hAnsi="Times New Roman"/>
          <w:color w:val="000000"/>
          <w:sz w:val="24"/>
          <w:szCs w:val="24"/>
        </w:rPr>
        <w:t>d</w:t>
      </w:r>
      <w:r w:rsidR="00994BDD" w:rsidRPr="008D7635">
        <w:rPr>
          <w:rFonts w:ascii="Times New Roman" w:hAnsi="Times New Roman"/>
          <w:color w:val="000000"/>
          <w:sz w:val="24"/>
          <w:szCs w:val="24"/>
        </w:rPr>
        <w:t xml:space="preserve"> SWB, spacing from individuals and local communities to large world regions. The "World Database of Happiness" (WDH), the "World Values Survey" and the "Satisfaction with Life Index" for example,</w:t>
      </w:r>
      <w:r w:rsidR="00994BDD" w:rsidRPr="008D7635">
        <w:rPr>
          <w:rFonts w:ascii="Times New Roman" w:hAnsi="Times New Roman"/>
          <w:sz w:val="24"/>
          <w:szCs w:val="24"/>
        </w:rPr>
        <w:t xml:space="preserve"> collect data, indicators and measures of happiness of nations, investigating also the main values that characterize well-being (</w:t>
      </w:r>
      <w:proofErr w:type="spellStart"/>
      <w:r w:rsidR="00994BDD" w:rsidRPr="008D7635">
        <w:rPr>
          <w:rFonts w:ascii="Times New Roman" w:hAnsi="Times New Roman"/>
          <w:sz w:val="24"/>
          <w:szCs w:val="24"/>
        </w:rPr>
        <w:t>Veenhoven</w:t>
      </w:r>
      <w:proofErr w:type="spellEnd"/>
      <w:r w:rsidR="00994BDD" w:rsidRPr="008D7635">
        <w:rPr>
          <w:rFonts w:ascii="Times New Roman" w:hAnsi="Times New Roman"/>
          <w:sz w:val="24"/>
          <w:szCs w:val="24"/>
        </w:rPr>
        <w:t>, 2008). In addition, a set of "National Indicators of Subjective Well-Being" have also been proposed to evaluate subjective well-being of nations (</w:t>
      </w:r>
      <w:proofErr w:type="spellStart"/>
      <w:r w:rsidR="00994BDD" w:rsidRPr="008D7635">
        <w:rPr>
          <w:rFonts w:ascii="Times New Roman" w:hAnsi="Times New Roman"/>
          <w:sz w:val="24"/>
          <w:szCs w:val="24"/>
        </w:rPr>
        <w:t>Diener</w:t>
      </w:r>
      <w:proofErr w:type="spellEnd"/>
      <w:r w:rsidR="00994BDD" w:rsidRPr="008D7635">
        <w:rPr>
          <w:rFonts w:ascii="Times New Roman" w:hAnsi="Times New Roman"/>
          <w:sz w:val="24"/>
          <w:szCs w:val="24"/>
        </w:rPr>
        <w:t xml:space="preserve">, 2005; </w:t>
      </w:r>
      <w:proofErr w:type="spellStart"/>
      <w:r w:rsidR="00994BDD" w:rsidRPr="008D7635">
        <w:rPr>
          <w:rFonts w:ascii="Times New Roman" w:hAnsi="Times New Roman"/>
          <w:sz w:val="24"/>
          <w:szCs w:val="24"/>
        </w:rPr>
        <w:t>Kahneman</w:t>
      </w:r>
      <w:proofErr w:type="spellEnd"/>
      <w:r w:rsidR="00994BDD" w:rsidRPr="008D7635">
        <w:rPr>
          <w:rFonts w:ascii="Times New Roman" w:hAnsi="Times New Roman"/>
          <w:sz w:val="24"/>
          <w:szCs w:val="24"/>
        </w:rPr>
        <w:t xml:space="preserve"> et al., 2004) and a plurality of measurement techniques have been elaborated to evaluate both the individual and social well-being. The </w:t>
      </w:r>
      <w:proofErr w:type="gramStart"/>
      <w:r w:rsidR="00994BDD" w:rsidRPr="008D7635">
        <w:rPr>
          <w:rFonts w:ascii="Times New Roman" w:hAnsi="Times New Roman"/>
          <w:sz w:val="24"/>
          <w:szCs w:val="24"/>
        </w:rPr>
        <w:t>experience Sampling Method, the Day Reconstruction Method, the U (</w:t>
      </w:r>
      <w:r w:rsidR="00255A4E" w:rsidRPr="008D7635">
        <w:rPr>
          <w:rFonts w:ascii="Times New Roman" w:hAnsi="Times New Roman"/>
          <w:sz w:val="24"/>
          <w:szCs w:val="24"/>
        </w:rPr>
        <w:t>unpleasant</w:t>
      </w:r>
      <w:r w:rsidR="00994BDD" w:rsidRPr="008D7635">
        <w:rPr>
          <w:rFonts w:ascii="Times New Roman" w:hAnsi="Times New Roman"/>
          <w:sz w:val="24"/>
          <w:szCs w:val="24"/>
        </w:rPr>
        <w:t>) - Index or the Brain Imaging are</w:t>
      </w:r>
      <w:proofErr w:type="gramEnd"/>
      <w:r w:rsidR="00994BDD" w:rsidRPr="008D7635">
        <w:rPr>
          <w:rFonts w:ascii="Times New Roman" w:hAnsi="Times New Roman"/>
          <w:sz w:val="24"/>
          <w:szCs w:val="24"/>
        </w:rPr>
        <w:t xml:space="preserve"> </w:t>
      </w:r>
      <w:r w:rsidR="00255A4E" w:rsidRPr="008D7635">
        <w:rPr>
          <w:rFonts w:ascii="Times New Roman" w:hAnsi="Times New Roman"/>
          <w:sz w:val="24"/>
          <w:szCs w:val="24"/>
        </w:rPr>
        <w:t>largely</w:t>
      </w:r>
      <w:r w:rsidR="00F00924" w:rsidRPr="008D7635">
        <w:rPr>
          <w:rFonts w:ascii="Times New Roman" w:hAnsi="Times New Roman"/>
          <w:sz w:val="24"/>
          <w:szCs w:val="24"/>
        </w:rPr>
        <w:t xml:space="preserve"> </w:t>
      </w:r>
      <w:r w:rsidR="00994BDD" w:rsidRPr="008D7635">
        <w:rPr>
          <w:rFonts w:ascii="Times New Roman" w:hAnsi="Times New Roman"/>
          <w:sz w:val="24"/>
          <w:szCs w:val="24"/>
        </w:rPr>
        <w:t xml:space="preserve">used </w:t>
      </w:r>
      <w:r w:rsidR="00255A4E" w:rsidRPr="008D7635">
        <w:rPr>
          <w:rFonts w:ascii="Times New Roman" w:hAnsi="Times New Roman"/>
          <w:sz w:val="24"/>
          <w:szCs w:val="24"/>
        </w:rPr>
        <w:t xml:space="preserve">methodologies </w:t>
      </w:r>
      <w:r w:rsidR="00994BDD" w:rsidRPr="008D7635">
        <w:rPr>
          <w:rFonts w:ascii="Times New Roman" w:hAnsi="Times New Roman"/>
          <w:sz w:val="24"/>
          <w:szCs w:val="24"/>
        </w:rPr>
        <w:t xml:space="preserve">(for a complete description and discussion see </w:t>
      </w:r>
      <w:proofErr w:type="spellStart"/>
      <w:r w:rsidR="00994BDD" w:rsidRPr="008D7635">
        <w:rPr>
          <w:rFonts w:ascii="Times New Roman" w:hAnsi="Times New Roman"/>
          <w:sz w:val="24"/>
          <w:szCs w:val="24"/>
        </w:rPr>
        <w:t>Kahnemann</w:t>
      </w:r>
      <w:proofErr w:type="spellEnd"/>
      <w:r w:rsidR="00994BDD" w:rsidRPr="008D7635">
        <w:rPr>
          <w:rFonts w:ascii="Times New Roman" w:hAnsi="Times New Roman"/>
          <w:sz w:val="24"/>
          <w:szCs w:val="24"/>
        </w:rPr>
        <w:t xml:space="preserve"> and Krueger, 2006). The main findings of these studies reveal the existences of some groups of factors influencing the level of </w:t>
      </w:r>
      <w:r w:rsidR="006E2868" w:rsidRPr="008D7635">
        <w:rPr>
          <w:rFonts w:ascii="Times New Roman" w:hAnsi="Times New Roman"/>
          <w:sz w:val="24"/>
          <w:szCs w:val="24"/>
        </w:rPr>
        <w:t>subjective well-being</w:t>
      </w:r>
      <w:r w:rsidR="00255A4E" w:rsidRPr="008D7635">
        <w:rPr>
          <w:rFonts w:ascii="Times New Roman" w:hAnsi="Times New Roman"/>
          <w:sz w:val="24"/>
          <w:szCs w:val="24"/>
        </w:rPr>
        <w:t>, e.g.</w:t>
      </w:r>
      <w:r w:rsidR="00994BDD" w:rsidRPr="008D7635">
        <w:rPr>
          <w:rFonts w:ascii="Times New Roman" w:hAnsi="Times New Roman"/>
          <w:sz w:val="24"/>
          <w:szCs w:val="24"/>
        </w:rPr>
        <w:t xml:space="preserve"> </w:t>
      </w:r>
      <w:r w:rsidR="00255A4E" w:rsidRPr="008D7635">
        <w:rPr>
          <w:rFonts w:ascii="Times New Roman" w:hAnsi="Times New Roman"/>
          <w:sz w:val="24"/>
          <w:szCs w:val="24"/>
        </w:rPr>
        <w:t>p</w:t>
      </w:r>
      <w:r w:rsidR="00994BDD" w:rsidRPr="008D7635">
        <w:rPr>
          <w:rFonts w:ascii="Times New Roman" w:hAnsi="Times New Roman"/>
          <w:sz w:val="24"/>
          <w:szCs w:val="24"/>
        </w:rPr>
        <w:t>ersonality, interpersonal relationships, demographic, institutional, environmental and economic factors.</w:t>
      </w:r>
      <w:r w:rsidR="006E2868" w:rsidRPr="008D7635">
        <w:rPr>
          <w:rFonts w:ascii="Times New Roman" w:hAnsi="Times New Roman"/>
          <w:color w:val="000000"/>
          <w:sz w:val="24"/>
          <w:szCs w:val="24"/>
        </w:rPr>
        <w:t xml:space="preserve"> The main advantage of the subjective well-being</w:t>
      </w:r>
      <w:r w:rsidR="00994BDD" w:rsidRPr="008D7635">
        <w:rPr>
          <w:rFonts w:ascii="Times New Roman" w:hAnsi="Times New Roman"/>
          <w:color w:val="000000"/>
          <w:sz w:val="24"/>
          <w:szCs w:val="24"/>
        </w:rPr>
        <w:t xml:space="preserve"> approach is </w:t>
      </w:r>
      <w:r w:rsidR="00255A4E" w:rsidRPr="008D7635">
        <w:rPr>
          <w:rFonts w:ascii="Times New Roman" w:hAnsi="Times New Roman"/>
          <w:color w:val="000000"/>
          <w:sz w:val="24"/>
          <w:szCs w:val="24"/>
        </w:rPr>
        <w:t>that it</w:t>
      </w:r>
      <w:r w:rsidR="00994BDD" w:rsidRPr="008D7635">
        <w:rPr>
          <w:rFonts w:ascii="Times New Roman" w:hAnsi="Times New Roman"/>
          <w:color w:val="000000"/>
          <w:sz w:val="24"/>
          <w:szCs w:val="24"/>
        </w:rPr>
        <w:t xml:space="preserve"> provide</w:t>
      </w:r>
      <w:r w:rsidR="00255A4E" w:rsidRPr="008D7635">
        <w:rPr>
          <w:rFonts w:ascii="Times New Roman" w:hAnsi="Times New Roman"/>
          <w:color w:val="000000"/>
          <w:sz w:val="24"/>
          <w:szCs w:val="24"/>
        </w:rPr>
        <w:t>s</w:t>
      </w:r>
      <w:r w:rsidR="00994BDD" w:rsidRPr="008D7635">
        <w:rPr>
          <w:rFonts w:ascii="Times New Roman" w:hAnsi="Times New Roman"/>
          <w:color w:val="000000"/>
          <w:sz w:val="24"/>
          <w:szCs w:val="24"/>
        </w:rPr>
        <w:t xml:space="preserve"> a </w:t>
      </w:r>
      <w:r w:rsidR="00255A4E" w:rsidRPr="008D7635">
        <w:rPr>
          <w:rFonts w:ascii="Times New Roman" w:hAnsi="Times New Roman"/>
          <w:color w:val="000000"/>
          <w:sz w:val="24"/>
          <w:szCs w:val="24"/>
        </w:rPr>
        <w:t>representation</w:t>
      </w:r>
      <w:r w:rsidR="00994BDD" w:rsidRPr="008D7635">
        <w:rPr>
          <w:rFonts w:ascii="Times New Roman" w:hAnsi="Times New Roman"/>
          <w:color w:val="000000"/>
          <w:sz w:val="24"/>
          <w:szCs w:val="24"/>
        </w:rPr>
        <w:t xml:space="preserve"> </w:t>
      </w:r>
      <w:r w:rsidR="00255A4E" w:rsidRPr="008D7635">
        <w:rPr>
          <w:rFonts w:ascii="Times New Roman" w:hAnsi="Times New Roman"/>
          <w:color w:val="000000"/>
          <w:sz w:val="24"/>
          <w:szCs w:val="24"/>
        </w:rPr>
        <w:t xml:space="preserve">of well-being </w:t>
      </w:r>
      <w:r w:rsidR="00994BDD" w:rsidRPr="008D7635">
        <w:rPr>
          <w:rFonts w:ascii="Times New Roman" w:hAnsi="Times New Roman"/>
          <w:color w:val="000000"/>
          <w:sz w:val="24"/>
          <w:szCs w:val="24"/>
        </w:rPr>
        <w:t xml:space="preserve">that </w:t>
      </w:r>
      <w:r w:rsidR="003D3BFB" w:rsidRPr="008D7635">
        <w:rPr>
          <w:rFonts w:ascii="Times New Roman" w:hAnsi="Times New Roman"/>
          <w:color w:val="000000"/>
          <w:sz w:val="24"/>
          <w:szCs w:val="24"/>
        </w:rPr>
        <w:t>closely</w:t>
      </w:r>
      <w:r w:rsidR="00994BDD" w:rsidRPr="008D7635">
        <w:rPr>
          <w:rFonts w:ascii="Times New Roman" w:hAnsi="Times New Roman"/>
          <w:color w:val="000000"/>
          <w:sz w:val="24"/>
          <w:szCs w:val="24"/>
        </w:rPr>
        <w:t xml:space="preserve"> reflects the feelings of individuals. Being based on self-reported experiences, </w:t>
      </w:r>
      <w:r w:rsidR="00255A4E" w:rsidRPr="008D7635">
        <w:rPr>
          <w:rFonts w:ascii="Times New Roman" w:hAnsi="Times New Roman"/>
          <w:color w:val="000000"/>
          <w:sz w:val="24"/>
          <w:szCs w:val="24"/>
        </w:rPr>
        <w:t>subjective well-being</w:t>
      </w:r>
      <w:r w:rsidR="00994BDD" w:rsidRPr="008D7635">
        <w:rPr>
          <w:rFonts w:ascii="Times New Roman" w:hAnsi="Times New Roman"/>
          <w:color w:val="000000"/>
          <w:sz w:val="24"/>
          <w:szCs w:val="24"/>
        </w:rPr>
        <w:t xml:space="preserve"> avoids approximation</w:t>
      </w:r>
      <w:r w:rsidR="00AB2AB1" w:rsidRPr="008D7635">
        <w:rPr>
          <w:rFonts w:ascii="Times New Roman" w:hAnsi="Times New Roman"/>
          <w:color w:val="000000"/>
          <w:sz w:val="24"/>
          <w:szCs w:val="24"/>
        </w:rPr>
        <w:t>s</w:t>
      </w:r>
      <w:r w:rsidR="00994BDD" w:rsidRPr="008D7635">
        <w:rPr>
          <w:rFonts w:ascii="Times New Roman" w:hAnsi="Times New Roman"/>
          <w:color w:val="000000"/>
          <w:sz w:val="24"/>
          <w:szCs w:val="24"/>
        </w:rPr>
        <w:t xml:space="preserve"> or interpretation</w:t>
      </w:r>
      <w:r w:rsidR="00AB2AB1" w:rsidRPr="008D7635">
        <w:rPr>
          <w:rFonts w:ascii="Times New Roman" w:hAnsi="Times New Roman"/>
          <w:color w:val="000000"/>
          <w:sz w:val="24"/>
          <w:szCs w:val="24"/>
        </w:rPr>
        <w:t>s</w:t>
      </w:r>
      <w:r w:rsidR="00994BDD" w:rsidRPr="008D7635">
        <w:rPr>
          <w:rFonts w:ascii="Times New Roman" w:hAnsi="Times New Roman"/>
          <w:color w:val="000000"/>
          <w:sz w:val="24"/>
          <w:szCs w:val="24"/>
        </w:rPr>
        <w:t xml:space="preserve"> </w:t>
      </w:r>
      <w:r w:rsidR="00255A4E" w:rsidRPr="008D7635">
        <w:rPr>
          <w:rFonts w:ascii="Times New Roman" w:hAnsi="Times New Roman"/>
          <w:color w:val="000000"/>
          <w:sz w:val="24"/>
          <w:szCs w:val="24"/>
        </w:rPr>
        <w:t xml:space="preserve">of </w:t>
      </w:r>
      <w:r w:rsidR="00994BDD" w:rsidRPr="008D7635">
        <w:rPr>
          <w:rFonts w:ascii="Times New Roman" w:hAnsi="Times New Roman"/>
          <w:color w:val="000000"/>
          <w:sz w:val="24"/>
          <w:szCs w:val="24"/>
        </w:rPr>
        <w:t>external observer</w:t>
      </w:r>
      <w:r w:rsidR="00255A4E" w:rsidRPr="008D7635">
        <w:rPr>
          <w:rFonts w:ascii="Times New Roman" w:hAnsi="Times New Roman"/>
          <w:color w:val="000000"/>
          <w:sz w:val="24"/>
          <w:szCs w:val="24"/>
        </w:rPr>
        <w:t>s</w:t>
      </w:r>
      <w:r w:rsidR="00994BDD" w:rsidRPr="008D7635">
        <w:rPr>
          <w:rFonts w:ascii="Times New Roman" w:hAnsi="Times New Roman"/>
          <w:color w:val="000000"/>
          <w:sz w:val="24"/>
          <w:szCs w:val="24"/>
        </w:rPr>
        <w:t xml:space="preserve">. </w:t>
      </w:r>
      <w:r w:rsidR="006E2868" w:rsidRPr="008D7635">
        <w:rPr>
          <w:rFonts w:ascii="Times New Roman" w:hAnsi="Times New Roman"/>
          <w:color w:val="000000"/>
          <w:sz w:val="24"/>
          <w:szCs w:val="24"/>
        </w:rPr>
        <w:t>H</w:t>
      </w:r>
      <w:r w:rsidR="00994BDD" w:rsidRPr="008D7635">
        <w:rPr>
          <w:rFonts w:ascii="Times New Roman" w:hAnsi="Times New Roman"/>
          <w:color w:val="000000"/>
          <w:sz w:val="24"/>
          <w:szCs w:val="24"/>
        </w:rPr>
        <w:t>owever, the need for individual interviews and self-reported evaluations generally make</w:t>
      </w:r>
      <w:r w:rsidR="004C3B1C" w:rsidRPr="008D7635">
        <w:rPr>
          <w:rFonts w:ascii="Times New Roman" w:hAnsi="Times New Roman"/>
          <w:color w:val="000000"/>
          <w:sz w:val="24"/>
          <w:szCs w:val="24"/>
        </w:rPr>
        <w:t>s</w:t>
      </w:r>
      <w:r w:rsidR="00994BDD" w:rsidRPr="008D7635">
        <w:rPr>
          <w:rFonts w:ascii="Times New Roman" w:hAnsi="Times New Roman"/>
          <w:color w:val="000000"/>
          <w:sz w:val="24"/>
          <w:szCs w:val="24"/>
        </w:rPr>
        <w:t xml:space="preserve"> data collection expensive both in terms of time and of resources.</w:t>
      </w:r>
      <w:r w:rsidR="00A44FD2" w:rsidRPr="008D7635">
        <w:rPr>
          <w:rFonts w:ascii="Times New Roman" w:hAnsi="Times New Roman"/>
          <w:color w:val="000000"/>
          <w:sz w:val="24"/>
          <w:szCs w:val="24"/>
        </w:rPr>
        <w:t xml:space="preserve"> </w:t>
      </w:r>
    </w:p>
    <w:p w14:paraId="5905C182" w14:textId="4414D6D1" w:rsidR="00110F19" w:rsidRPr="008D7635" w:rsidRDefault="00C66BB2" w:rsidP="005B30F6">
      <w:pPr>
        <w:autoSpaceDE w:val="0"/>
        <w:autoSpaceDN w:val="0"/>
        <w:adjustRightInd w:val="0"/>
        <w:spacing w:after="0" w:line="360" w:lineRule="auto"/>
        <w:jc w:val="both"/>
        <w:rPr>
          <w:rFonts w:ascii="Times New Roman" w:hAnsi="Times New Roman"/>
          <w:sz w:val="24"/>
          <w:szCs w:val="24"/>
        </w:rPr>
      </w:pPr>
      <w:r w:rsidRPr="008D7635">
        <w:rPr>
          <w:rFonts w:ascii="Times New Roman" w:hAnsi="Times New Roman"/>
          <w:sz w:val="24"/>
          <w:szCs w:val="24"/>
          <w:lang w:val="en-US"/>
        </w:rPr>
        <w:t>T</w:t>
      </w:r>
      <w:r w:rsidR="000E191C" w:rsidRPr="008D7635">
        <w:rPr>
          <w:rFonts w:ascii="Times New Roman" w:hAnsi="Times New Roman"/>
          <w:sz w:val="24"/>
          <w:szCs w:val="24"/>
          <w:lang w:val="en-US"/>
        </w:rPr>
        <w:t xml:space="preserve">he </w:t>
      </w:r>
      <w:r w:rsidR="000E191C" w:rsidRPr="008D7635">
        <w:rPr>
          <w:rFonts w:ascii="Times New Roman" w:hAnsi="Times New Roman"/>
          <w:i/>
          <w:sz w:val="24"/>
          <w:szCs w:val="24"/>
          <w:lang w:val="en-US"/>
        </w:rPr>
        <w:t>objective well-being approach</w:t>
      </w:r>
      <w:r w:rsidR="000E191C" w:rsidRPr="008D7635">
        <w:rPr>
          <w:rFonts w:ascii="Times New Roman" w:hAnsi="Times New Roman"/>
          <w:sz w:val="24"/>
          <w:szCs w:val="24"/>
          <w:lang w:val="en-US"/>
        </w:rPr>
        <w:t xml:space="preserve"> is </w:t>
      </w:r>
      <w:r w:rsidR="007510C8" w:rsidRPr="008D7635">
        <w:rPr>
          <w:rFonts w:ascii="Times New Roman" w:hAnsi="Times New Roman"/>
          <w:sz w:val="24"/>
          <w:szCs w:val="24"/>
          <w:lang w:val="en-US"/>
        </w:rPr>
        <w:t>based on the assumption</w:t>
      </w:r>
      <w:r w:rsidR="000E191C" w:rsidRPr="008D7635">
        <w:rPr>
          <w:rFonts w:ascii="Times New Roman" w:hAnsi="Times New Roman"/>
          <w:sz w:val="24"/>
          <w:szCs w:val="24"/>
          <w:lang w:val="en-US"/>
        </w:rPr>
        <w:t xml:space="preserve"> that observable facts can be used </w:t>
      </w:r>
      <w:r w:rsidR="00E01077" w:rsidRPr="008D7635">
        <w:rPr>
          <w:rFonts w:ascii="Times New Roman" w:hAnsi="Times New Roman"/>
          <w:sz w:val="24"/>
          <w:szCs w:val="24"/>
          <w:lang w:val="en-US"/>
        </w:rPr>
        <w:t>to approximate</w:t>
      </w:r>
      <w:r w:rsidR="000E191C" w:rsidRPr="008D7635">
        <w:rPr>
          <w:rFonts w:ascii="Times New Roman" w:hAnsi="Times New Roman"/>
          <w:sz w:val="24"/>
          <w:szCs w:val="24"/>
          <w:lang w:val="en-US"/>
        </w:rPr>
        <w:t xml:space="preserve"> well-being</w:t>
      </w:r>
      <w:r w:rsidR="00E01077" w:rsidRPr="008D7635">
        <w:rPr>
          <w:rFonts w:ascii="Times New Roman" w:hAnsi="Times New Roman"/>
          <w:sz w:val="24"/>
          <w:szCs w:val="24"/>
          <w:lang w:val="en-US"/>
        </w:rPr>
        <w:t xml:space="preserve"> of individuals and societies</w:t>
      </w:r>
      <w:r w:rsidR="007510C8" w:rsidRPr="008D7635">
        <w:rPr>
          <w:rFonts w:ascii="Times New Roman" w:hAnsi="Times New Roman"/>
          <w:sz w:val="24"/>
          <w:szCs w:val="24"/>
          <w:lang w:val="en-US"/>
        </w:rPr>
        <w:t xml:space="preserve">. </w:t>
      </w:r>
      <w:r w:rsidR="000E191C" w:rsidRPr="008D7635">
        <w:rPr>
          <w:rFonts w:ascii="Times New Roman" w:hAnsi="Times New Roman"/>
          <w:sz w:val="24"/>
          <w:szCs w:val="24"/>
          <w:lang w:val="en-US"/>
        </w:rPr>
        <w:t>Starting from the idea that</w:t>
      </w:r>
      <w:r w:rsidRPr="008D7635">
        <w:rPr>
          <w:rFonts w:ascii="Times New Roman" w:hAnsi="Times New Roman"/>
          <w:sz w:val="24"/>
          <w:szCs w:val="24"/>
          <w:lang w:val="en-US"/>
        </w:rPr>
        <w:t xml:space="preserve"> individuals derive well-being form the satisfaction of their </w:t>
      </w:r>
      <w:r w:rsidR="004C3B1C" w:rsidRPr="008D7635">
        <w:rPr>
          <w:rFonts w:ascii="Times New Roman" w:hAnsi="Times New Roman"/>
          <w:sz w:val="24"/>
          <w:szCs w:val="24"/>
          <w:lang w:val="en-US"/>
        </w:rPr>
        <w:t>needs</w:t>
      </w:r>
      <w:r w:rsidRPr="008D7635">
        <w:rPr>
          <w:rFonts w:ascii="Times New Roman" w:hAnsi="Times New Roman"/>
          <w:sz w:val="24"/>
          <w:szCs w:val="24"/>
          <w:lang w:val="en-US"/>
        </w:rPr>
        <w:t xml:space="preserve">, the objective approach </w:t>
      </w:r>
      <w:r w:rsidR="00E01077" w:rsidRPr="008D7635">
        <w:rPr>
          <w:rFonts w:ascii="Times New Roman" w:hAnsi="Times New Roman"/>
          <w:sz w:val="24"/>
          <w:szCs w:val="24"/>
          <w:lang w:val="en-US"/>
        </w:rPr>
        <w:t>use</w:t>
      </w:r>
      <w:r w:rsidR="000E7945" w:rsidRPr="008D7635">
        <w:rPr>
          <w:rFonts w:ascii="Times New Roman" w:hAnsi="Times New Roman"/>
          <w:sz w:val="24"/>
          <w:szCs w:val="24"/>
          <w:lang w:val="en-US"/>
        </w:rPr>
        <w:t>s</w:t>
      </w:r>
      <w:r w:rsidR="00E01077" w:rsidRPr="008D7635">
        <w:rPr>
          <w:rFonts w:ascii="Times New Roman" w:hAnsi="Times New Roman"/>
          <w:sz w:val="24"/>
          <w:szCs w:val="24"/>
          <w:lang w:val="en-US"/>
        </w:rPr>
        <w:t xml:space="preserve"> different kind of indicators</w:t>
      </w:r>
      <w:r w:rsidRPr="008D7635">
        <w:rPr>
          <w:rFonts w:ascii="Times New Roman" w:hAnsi="Times New Roman"/>
          <w:sz w:val="24"/>
          <w:szCs w:val="24"/>
          <w:lang w:val="en-US"/>
        </w:rPr>
        <w:t xml:space="preserve"> </w:t>
      </w:r>
      <w:r w:rsidR="00E01077" w:rsidRPr="008D7635">
        <w:rPr>
          <w:rFonts w:ascii="Times New Roman" w:hAnsi="Times New Roman"/>
          <w:sz w:val="24"/>
          <w:szCs w:val="24"/>
          <w:lang w:val="en-US"/>
        </w:rPr>
        <w:t xml:space="preserve">as proxies of </w:t>
      </w:r>
      <w:r w:rsidR="000E191C" w:rsidRPr="008D7635">
        <w:rPr>
          <w:rFonts w:ascii="Times New Roman" w:hAnsi="Times New Roman"/>
          <w:sz w:val="24"/>
          <w:szCs w:val="24"/>
          <w:lang w:val="en-US"/>
        </w:rPr>
        <w:t>well-being</w:t>
      </w:r>
      <w:r w:rsidR="00E14FE1" w:rsidRPr="008D7635">
        <w:rPr>
          <w:rFonts w:ascii="Times New Roman" w:hAnsi="Times New Roman"/>
          <w:sz w:val="24"/>
          <w:szCs w:val="24"/>
          <w:lang w:val="en-US"/>
        </w:rPr>
        <w:t xml:space="preserve"> (Prince and Prince, 2001; Cummins et al., 2006</w:t>
      </w:r>
      <w:r w:rsidR="00987BFB" w:rsidRPr="008D7635">
        <w:rPr>
          <w:rFonts w:ascii="Times New Roman" w:hAnsi="Times New Roman"/>
          <w:sz w:val="24"/>
          <w:szCs w:val="24"/>
          <w:lang w:val="en-US"/>
        </w:rPr>
        <w:t xml:space="preserve">; </w:t>
      </w:r>
      <w:proofErr w:type="spellStart"/>
      <w:r w:rsidR="00987BFB" w:rsidRPr="008D7635">
        <w:rPr>
          <w:rFonts w:ascii="Times New Roman" w:hAnsi="Times New Roman"/>
          <w:sz w:val="24"/>
          <w:szCs w:val="24"/>
          <w:lang w:val="en-US"/>
        </w:rPr>
        <w:t>Andreoni</w:t>
      </w:r>
      <w:proofErr w:type="spellEnd"/>
      <w:r w:rsidR="00987BFB" w:rsidRPr="008D7635">
        <w:rPr>
          <w:rFonts w:ascii="Times New Roman" w:hAnsi="Times New Roman"/>
          <w:sz w:val="24"/>
          <w:szCs w:val="24"/>
          <w:lang w:val="en-US"/>
        </w:rPr>
        <w:t xml:space="preserve"> and </w:t>
      </w:r>
      <w:proofErr w:type="spellStart"/>
      <w:r w:rsidR="00987BFB" w:rsidRPr="008D7635">
        <w:rPr>
          <w:rFonts w:ascii="Times New Roman" w:hAnsi="Times New Roman"/>
          <w:sz w:val="24"/>
          <w:szCs w:val="24"/>
          <w:lang w:val="en-US"/>
        </w:rPr>
        <w:t>Galmarini</w:t>
      </w:r>
      <w:proofErr w:type="spellEnd"/>
      <w:r w:rsidR="00987BFB" w:rsidRPr="008D7635">
        <w:rPr>
          <w:rFonts w:ascii="Times New Roman" w:hAnsi="Times New Roman"/>
          <w:sz w:val="24"/>
          <w:szCs w:val="24"/>
          <w:lang w:val="en-US"/>
        </w:rPr>
        <w:t>, 2014a</w:t>
      </w:r>
      <w:r w:rsidR="00E14FE1" w:rsidRPr="008D7635">
        <w:rPr>
          <w:rFonts w:ascii="Times New Roman" w:hAnsi="Times New Roman"/>
          <w:sz w:val="24"/>
          <w:szCs w:val="24"/>
          <w:lang w:val="en-US"/>
        </w:rPr>
        <w:t>)</w:t>
      </w:r>
      <w:r w:rsidR="00E01077" w:rsidRPr="008D7635">
        <w:rPr>
          <w:rFonts w:ascii="Times New Roman" w:hAnsi="Times New Roman"/>
          <w:sz w:val="24"/>
          <w:szCs w:val="24"/>
          <w:lang w:val="en-US"/>
        </w:rPr>
        <w:t xml:space="preserve">. </w:t>
      </w:r>
      <w:r w:rsidRPr="008D7635">
        <w:rPr>
          <w:rFonts w:ascii="Times New Roman" w:hAnsi="Times New Roman"/>
          <w:sz w:val="24"/>
          <w:szCs w:val="24"/>
          <w:lang w:val="en-US"/>
        </w:rPr>
        <w:t>Two main approaches have been generally identified in the definition of the objective well-being, namely the needs and the capital (or input) approaches. The first one</w:t>
      </w:r>
      <w:r w:rsidR="006E2868" w:rsidRPr="008D7635">
        <w:rPr>
          <w:rFonts w:ascii="Times New Roman" w:hAnsi="Times New Roman"/>
          <w:sz w:val="24"/>
          <w:szCs w:val="24"/>
          <w:lang w:val="en-US"/>
        </w:rPr>
        <w:t xml:space="preserve"> </w:t>
      </w:r>
      <w:r w:rsidRPr="008D7635">
        <w:rPr>
          <w:rFonts w:ascii="Times New Roman" w:hAnsi="Times New Roman"/>
          <w:sz w:val="24"/>
          <w:szCs w:val="24"/>
          <w:lang w:val="en-US"/>
        </w:rPr>
        <w:t xml:space="preserve">is valuated in terms of gap between the desires of an individual and his present consumption satisfaction (Maslow, 1954). The second one is intended as a resources related approach and it is based on the availability of the assets needed to generate well-being (Rawls, 1971). Both of them have been largely used to quantify well-being of </w:t>
      </w:r>
      <w:r w:rsidRPr="008D7635">
        <w:rPr>
          <w:rFonts w:ascii="Times New Roman" w:hAnsi="Times New Roman"/>
          <w:sz w:val="24"/>
          <w:szCs w:val="24"/>
          <w:lang w:val="en-US"/>
        </w:rPr>
        <w:lastRenderedPageBreak/>
        <w:t xml:space="preserve">individuals and societies and have been used in policy approaches </w:t>
      </w:r>
      <w:r w:rsidR="004C3B1C" w:rsidRPr="008D7635">
        <w:rPr>
          <w:rFonts w:ascii="Times New Roman" w:hAnsi="Times New Roman"/>
          <w:sz w:val="24"/>
          <w:szCs w:val="24"/>
          <w:lang w:val="en-US"/>
        </w:rPr>
        <w:t>for the promotion of</w:t>
      </w:r>
      <w:r w:rsidRPr="008D7635">
        <w:rPr>
          <w:rFonts w:ascii="Times New Roman" w:hAnsi="Times New Roman"/>
          <w:sz w:val="24"/>
          <w:szCs w:val="24"/>
          <w:lang w:val="en-US"/>
        </w:rPr>
        <w:t xml:space="preserve"> development and socio-economic growth. </w:t>
      </w:r>
      <w:r w:rsidR="00262A65" w:rsidRPr="008D7635">
        <w:rPr>
          <w:rFonts w:ascii="Times New Roman" w:hAnsi="Times New Roman"/>
          <w:sz w:val="24"/>
          <w:szCs w:val="24"/>
          <w:lang w:val="en-US"/>
        </w:rPr>
        <w:t xml:space="preserve">The traditional measures of objective well-being have been based </w:t>
      </w:r>
      <w:r w:rsidR="00F00924" w:rsidRPr="008D7635">
        <w:rPr>
          <w:rFonts w:ascii="Times New Roman" w:hAnsi="Times New Roman"/>
          <w:sz w:val="24"/>
          <w:szCs w:val="24"/>
          <w:lang w:val="en-US"/>
        </w:rPr>
        <w:t xml:space="preserve">on composite indicators that reduce different well-being elements (as environmental, economic or social variables) into a single numerical </w:t>
      </w:r>
      <w:r w:rsidR="002446B8" w:rsidRPr="008D7635">
        <w:rPr>
          <w:rFonts w:ascii="Times New Roman" w:hAnsi="Times New Roman"/>
          <w:sz w:val="24"/>
          <w:szCs w:val="24"/>
          <w:lang w:val="en-US"/>
        </w:rPr>
        <w:t xml:space="preserve">or monetary </w:t>
      </w:r>
      <w:r w:rsidR="00F00924" w:rsidRPr="008D7635">
        <w:rPr>
          <w:rFonts w:ascii="Times New Roman" w:hAnsi="Times New Roman"/>
          <w:sz w:val="24"/>
          <w:szCs w:val="24"/>
          <w:lang w:val="en-US"/>
        </w:rPr>
        <w:t xml:space="preserve">value. </w:t>
      </w:r>
      <w:r w:rsidR="00262A65" w:rsidRPr="008D7635">
        <w:rPr>
          <w:rFonts w:ascii="Times New Roman" w:hAnsi="Times New Roman"/>
          <w:color w:val="000000"/>
          <w:sz w:val="24"/>
          <w:szCs w:val="24"/>
        </w:rPr>
        <w:t>In spite of a large number of concerns have been raised on the problematic and difficult assumptions that have to be made to provide price and monetary evaluation to non-market factors, the number of monetary indicators used to quantify well-being largely increased in the last decades (</w:t>
      </w:r>
      <w:proofErr w:type="spellStart"/>
      <w:r w:rsidR="00262A65" w:rsidRPr="008D7635">
        <w:rPr>
          <w:rFonts w:ascii="Times New Roman" w:hAnsi="Times New Roman"/>
          <w:color w:val="000000"/>
          <w:sz w:val="24"/>
          <w:szCs w:val="24"/>
        </w:rPr>
        <w:t>Gadrey</w:t>
      </w:r>
      <w:proofErr w:type="spellEnd"/>
      <w:r w:rsidR="00262A65" w:rsidRPr="008D7635">
        <w:rPr>
          <w:rFonts w:ascii="Times New Roman" w:hAnsi="Times New Roman"/>
          <w:color w:val="000000"/>
          <w:sz w:val="24"/>
          <w:szCs w:val="24"/>
        </w:rPr>
        <w:t xml:space="preserve"> and </w:t>
      </w:r>
      <w:proofErr w:type="spellStart"/>
      <w:r w:rsidR="00262A65" w:rsidRPr="008D7635">
        <w:rPr>
          <w:rFonts w:ascii="Times New Roman" w:hAnsi="Times New Roman"/>
          <w:color w:val="000000"/>
          <w:sz w:val="24"/>
          <w:szCs w:val="24"/>
        </w:rPr>
        <w:t>Jany-Catrice</w:t>
      </w:r>
      <w:proofErr w:type="spellEnd"/>
      <w:r w:rsidR="00262A65" w:rsidRPr="008D7635">
        <w:rPr>
          <w:rFonts w:ascii="Times New Roman" w:hAnsi="Times New Roman"/>
          <w:color w:val="000000"/>
          <w:sz w:val="24"/>
          <w:szCs w:val="24"/>
        </w:rPr>
        <w:t xml:space="preserve">, 2007). The possibility to compare different levels of well-being and to rapidly evaluate trade-offs generated by different policy options, make monetary and other composite indicators particularly appreciated by </w:t>
      </w:r>
      <w:r w:rsidR="00F00924" w:rsidRPr="008D7635">
        <w:rPr>
          <w:rFonts w:ascii="Times New Roman" w:hAnsi="Times New Roman"/>
          <w:color w:val="000000"/>
          <w:sz w:val="24"/>
          <w:szCs w:val="24"/>
        </w:rPr>
        <w:t>politicians that</w:t>
      </w:r>
      <w:r w:rsidR="00262A65" w:rsidRPr="008D7635">
        <w:rPr>
          <w:rFonts w:ascii="Times New Roman" w:hAnsi="Times New Roman"/>
          <w:color w:val="000000"/>
          <w:sz w:val="24"/>
          <w:szCs w:val="24"/>
        </w:rPr>
        <w:t xml:space="preserve"> usually prefer a single value indicator </w:t>
      </w:r>
      <w:r w:rsidR="00110F19" w:rsidRPr="008D7635">
        <w:rPr>
          <w:rFonts w:ascii="Times New Roman" w:hAnsi="Times New Roman"/>
          <w:color w:val="000000"/>
          <w:sz w:val="24"/>
          <w:szCs w:val="24"/>
        </w:rPr>
        <w:t>as it is</w:t>
      </w:r>
      <w:r w:rsidR="00262A65" w:rsidRPr="008D7635">
        <w:rPr>
          <w:rFonts w:ascii="Times New Roman" w:hAnsi="Times New Roman"/>
          <w:color w:val="000000"/>
          <w:sz w:val="24"/>
          <w:szCs w:val="24"/>
        </w:rPr>
        <w:t xml:space="preserve"> eas</w:t>
      </w:r>
      <w:r w:rsidR="00110F19" w:rsidRPr="008D7635">
        <w:rPr>
          <w:rFonts w:ascii="Times New Roman" w:hAnsi="Times New Roman"/>
          <w:color w:val="000000"/>
          <w:sz w:val="24"/>
          <w:szCs w:val="24"/>
        </w:rPr>
        <w:t>ier</w:t>
      </w:r>
      <w:r w:rsidR="00262A65" w:rsidRPr="008D7635">
        <w:rPr>
          <w:rFonts w:ascii="Times New Roman" w:hAnsi="Times New Roman"/>
          <w:color w:val="000000"/>
          <w:sz w:val="24"/>
          <w:szCs w:val="24"/>
        </w:rPr>
        <w:t xml:space="preserve"> to use and with a large</w:t>
      </w:r>
      <w:r w:rsidR="00110F19" w:rsidRPr="008D7635">
        <w:rPr>
          <w:rFonts w:ascii="Times New Roman" w:hAnsi="Times New Roman"/>
          <w:color w:val="000000"/>
          <w:sz w:val="24"/>
          <w:szCs w:val="24"/>
        </w:rPr>
        <w:t>r</w:t>
      </w:r>
      <w:r w:rsidR="00262A65" w:rsidRPr="008D7635">
        <w:rPr>
          <w:rFonts w:ascii="Times New Roman" w:hAnsi="Times New Roman"/>
          <w:color w:val="000000"/>
          <w:sz w:val="24"/>
          <w:szCs w:val="24"/>
        </w:rPr>
        <w:t xml:space="preserve"> </w:t>
      </w:r>
      <w:r w:rsidR="00110F19" w:rsidRPr="008D7635">
        <w:rPr>
          <w:rFonts w:ascii="Times New Roman" w:hAnsi="Times New Roman"/>
          <w:color w:val="000000"/>
          <w:sz w:val="24"/>
          <w:szCs w:val="24"/>
        </w:rPr>
        <w:t>communication</w:t>
      </w:r>
      <w:r w:rsidR="00262A65" w:rsidRPr="008D7635">
        <w:rPr>
          <w:rFonts w:ascii="Times New Roman" w:hAnsi="Times New Roman"/>
          <w:color w:val="000000"/>
          <w:sz w:val="24"/>
          <w:szCs w:val="24"/>
        </w:rPr>
        <w:t xml:space="preserve"> power</w:t>
      </w:r>
      <w:r w:rsidR="00262A65" w:rsidRPr="008D7635">
        <w:rPr>
          <w:rFonts w:ascii="Times New Roman" w:hAnsi="Times New Roman"/>
          <w:i/>
          <w:color w:val="000000"/>
          <w:sz w:val="24"/>
          <w:szCs w:val="24"/>
        </w:rPr>
        <w:t>.</w:t>
      </w:r>
      <w:r w:rsidR="00262A65" w:rsidRPr="008D7635">
        <w:rPr>
          <w:rFonts w:ascii="Times New Roman" w:hAnsi="Times New Roman"/>
          <w:color w:val="000000"/>
          <w:sz w:val="24"/>
          <w:szCs w:val="24"/>
        </w:rPr>
        <w:t xml:space="preserve"> </w:t>
      </w:r>
      <w:r w:rsidR="006E2868" w:rsidRPr="008D7635">
        <w:rPr>
          <w:rFonts w:ascii="Times New Roman" w:hAnsi="Times New Roman"/>
          <w:color w:val="000000"/>
          <w:sz w:val="24"/>
          <w:szCs w:val="24"/>
        </w:rPr>
        <w:t xml:space="preserve">In addition, </w:t>
      </w:r>
      <w:r w:rsidR="006E2868" w:rsidRPr="008D7635">
        <w:rPr>
          <w:rFonts w:ascii="Times New Roman" w:hAnsi="Times New Roman"/>
          <w:sz w:val="24"/>
          <w:szCs w:val="24"/>
          <w:lang w:val="en-US"/>
        </w:rPr>
        <w:t>t</w:t>
      </w:r>
      <w:r w:rsidR="00262A65" w:rsidRPr="008D7635">
        <w:rPr>
          <w:rFonts w:ascii="Times New Roman" w:hAnsi="Times New Roman"/>
          <w:sz w:val="24"/>
          <w:szCs w:val="24"/>
          <w:lang w:val="en-US"/>
        </w:rPr>
        <w:t xml:space="preserve">he possibility to rank well-being of individuals and societies on the base of indicators provides a useful tool for comparisons or progress accounts. </w:t>
      </w:r>
      <w:r w:rsidR="00262A65" w:rsidRPr="008D7635">
        <w:rPr>
          <w:rFonts w:ascii="Times New Roman" w:hAnsi="Times New Roman"/>
          <w:color w:val="000000"/>
          <w:sz w:val="24"/>
          <w:szCs w:val="24"/>
        </w:rPr>
        <w:t xml:space="preserve">For these reasons, a large variety of </w:t>
      </w:r>
      <w:r w:rsidR="00262A65" w:rsidRPr="008D7635">
        <w:rPr>
          <w:rFonts w:ascii="Times New Roman" w:hAnsi="Times New Roman"/>
          <w:sz w:val="24"/>
          <w:szCs w:val="24"/>
          <w:lang w:val="en-US"/>
        </w:rPr>
        <w:t>composite indicators of well-being have been used both in policy and economic analysis.</w:t>
      </w:r>
      <w:r w:rsidR="00262A65" w:rsidRPr="008D7635">
        <w:rPr>
          <w:rFonts w:ascii="Times New Roman" w:hAnsi="Times New Roman"/>
          <w:color w:val="000000"/>
          <w:sz w:val="24"/>
          <w:szCs w:val="24"/>
        </w:rPr>
        <w:t xml:space="preserve"> In recent times, the use and construction of composite indicators has been largely criticized by the fact that indicators simplify the complexity and the multidimensionality of well-being evaluation. Having to </w:t>
      </w:r>
      <w:r w:rsidR="00262A65" w:rsidRPr="008D7635">
        <w:rPr>
          <w:rFonts w:ascii="Times New Roman" w:hAnsi="Times New Roman"/>
          <w:sz w:val="24"/>
          <w:szCs w:val="24"/>
          <w:lang w:val="en-US"/>
        </w:rPr>
        <w:t>reduce and combine different dimensions, measured on different scales, and having to take decisions on weighting and aggregation factors, the use and the construction of indicators could generate an oversimplification of well-being, making the final ranking largely influenced by perception and values of the peoples that participate into the indicator construction process (</w:t>
      </w:r>
      <w:r w:rsidR="0076769C" w:rsidRPr="008D7635">
        <w:rPr>
          <w:rFonts w:ascii="Times New Roman" w:hAnsi="Times New Roman"/>
          <w:sz w:val="24"/>
          <w:szCs w:val="24"/>
          <w:lang w:val="en-US"/>
        </w:rPr>
        <w:t>Martinez-</w:t>
      </w:r>
      <w:proofErr w:type="spellStart"/>
      <w:r w:rsidR="0076769C" w:rsidRPr="008D7635">
        <w:rPr>
          <w:rFonts w:ascii="Times New Roman" w:hAnsi="Times New Roman"/>
          <w:sz w:val="24"/>
          <w:szCs w:val="24"/>
          <w:lang w:val="en-US"/>
        </w:rPr>
        <w:t>Alier</w:t>
      </w:r>
      <w:proofErr w:type="spellEnd"/>
      <w:r w:rsidR="0076769C" w:rsidRPr="008D7635">
        <w:rPr>
          <w:rFonts w:ascii="Times New Roman" w:hAnsi="Times New Roman"/>
          <w:sz w:val="24"/>
          <w:szCs w:val="24"/>
          <w:lang w:val="en-US"/>
        </w:rPr>
        <w:t xml:space="preserve"> et al., 1998; </w:t>
      </w:r>
      <w:proofErr w:type="spellStart"/>
      <w:r w:rsidR="00262A65" w:rsidRPr="008D7635">
        <w:rPr>
          <w:rFonts w:ascii="Times New Roman" w:hAnsi="Times New Roman"/>
          <w:sz w:val="24"/>
          <w:szCs w:val="24"/>
          <w:lang w:val="en-US"/>
        </w:rPr>
        <w:t>Ivanova</w:t>
      </w:r>
      <w:proofErr w:type="spellEnd"/>
      <w:r w:rsidR="00262A65" w:rsidRPr="008D7635">
        <w:rPr>
          <w:rFonts w:ascii="Times New Roman" w:hAnsi="Times New Roman"/>
          <w:sz w:val="24"/>
          <w:szCs w:val="24"/>
          <w:lang w:val="en-US"/>
        </w:rPr>
        <w:t xml:space="preserve"> et al., 1999; </w:t>
      </w:r>
      <w:proofErr w:type="spellStart"/>
      <w:r w:rsidR="00262A65" w:rsidRPr="008D7635">
        <w:rPr>
          <w:rFonts w:ascii="Times New Roman" w:hAnsi="Times New Roman"/>
          <w:sz w:val="24"/>
          <w:szCs w:val="24"/>
          <w:lang w:val="en-US"/>
        </w:rPr>
        <w:t>Ogwand</w:t>
      </w:r>
      <w:proofErr w:type="spellEnd"/>
      <w:r w:rsidR="00262A65" w:rsidRPr="008D7635">
        <w:rPr>
          <w:rFonts w:ascii="Times New Roman" w:hAnsi="Times New Roman"/>
          <w:sz w:val="24"/>
          <w:szCs w:val="24"/>
          <w:lang w:val="en-US"/>
        </w:rPr>
        <w:t xml:space="preserve"> and </w:t>
      </w:r>
      <w:proofErr w:type="spellStart"/>
      <w:r w:rsidR="00262A65" w:rsidRPr="008D7635">
        <w:rPr>
          <w:rFonts w:ascii="Times New Roman" w:hAnsi="Times New Roman"/>
          <w:sz w:val="24"/>
          <w:szCs w:val="24"/>
          <w:lang w:val="en-US"/>
        </w:rPr>
        <w:t>Abdou</w:t>
      </w:r>
      <w:proofErr w:type="spellEnd"/>
      <w:r w:rsidR="00262A65" w:rsidRPr="008D7635">
        <w:rPr>
          <w:rFonts w:ascii="Times New Roman" w:hAnsi="Times New Roman"/>
          <w:sz w:val="24"/>
          <w:szCs w:val="24"/>
          <w:lang w:val="en-US"/>
        </w:rPr>
        <w:t xml:space="preserve">, 2003; </w:t>
      </w:r>
      <w:proofErr w:type="spellStart"/>
      <w:r w:rsidR="00262A65" w:rsidRPr="008D7635">
        <w:rPr>
          <w:rFonts w:ascii="Times New Roman" w:hAnsi="Times New Roman"/>
          <w:sz w:val="24"/>
          <w:szCs w:val="24"/>
          <w:lang w:val="en-US"/>
        </w:rPr>
        <w:t>Qizalbash</w:t>
      </w:r>
      <w:proofErr w:type="spellEnd"/>
      <w:r w:rsidR="00262A65" w:rsidRPr="008D7635">
        <w:rPr>
          <w:rFonts w:ascii="Times New Roman" w:hAnsi="Times New Roman"/>
          <w:sz w:val="24"/>
          <w:szCs w:val="24"/>
          <w:lang w:val="en-US"/>
        </w:rPr>
        <w:t xml:space="preserve">, 2004). In addition, the largest parts of indicators generally assume that certain issues are valuable to society but </w:t>
      </w:r>
      <w:r w:rsidR="00110F19" w:rsidRPr="008D7635">
        <w:rPr>
          <w:rFonts w:ascii="Times New Roman" w:hAnsi="Times New Roman"/>
          <w:sz w:val="24"/>
          <w:szCs w:val="24"/>
          <w:lang w:val="en-US"/>
        </w:rPr>
        <w:t xml:space="preserve">do </w:t>
      </w:r>
      <w:r w:rsidR="00262A65" w:rsidRPr="008D7635">
        <w:rPr>
          <w:rFonts w:ascii="Times New Roman" w:hAnsi="Times New Roman"/>
          <w:sz w:val="24"/>
          <w:szCs w:val="24"/>
          <w:lang w:val="en-US"/>
        </w:rPr>
        <w:t xml:space="preserve">not explain why something is valuable or not, making the process of indicator construction not </w:t>
      </w:r>
      <w:r w:rsidR="00110F19" w:rsidRPr="008D7635">
        <w:rPr>
          <w:rFonts w:ascii="Times New Roman" w:hAnsi="Times New Roman"/>
          <w:sz w:val="24"/>
          <w:szCs w:val="24"/>
          <w:lang w:val="en-US"/>
        </w:rPr>
        <w:t xml:space="preserve">particularly </w:t>
      </w:r>
      <w:r w:rsidR="00262A65" w:rsidRPr="008D7635">
        <w:rPr>
          <w:rFonts w:ascii="Times New Roman" w:hAnsi="Times New Roman"/>
          <w:sz w:val="24"/>
          <w:szCs w:val="24"/>
          <w:lang w:val="en-US"/>
        </w:rPr>
        <w:t>transparent (</w:t>
      </w:r>
      <w:proofErr w:type="spellStart"/>
      <w:r w:rsidR="00262A65" w:rsidRPr="008D7635">
        <w:rPr>
          <w:rFonts w:ascii="Times New Roman" w:hAnsi="Times New Roman"/>
          <w:sz w:val="24"/>
          <w:szCs w:val="24"/>
          <w:lang w:val="en-US"/>
        </w:rPr>
        <w:t>Nardo</w:t>
      </w:r>
      <w:proofErr w:type="spellEnd"/>
      <w:r w:rsidR="00262A65" w:rsidRPr="008D7635">
        <w:rPr>
          <w:rFonts w:ascii="Times New Roman" w:hAnsi="Times New Roman"/>
          <w:sz w:val="24"/>
          <w:szCs w:val="24"/>
          <w:lang w:val="en-US"/>
        </w:rPr>
        <w:t xml:space="preserve"> et al., 2005</w:t>
      </w:r>
      <w:r w:rsidR="00A96553" w:rsidRPr="008D7635">
        <w:rPr>
          <w:rFonts w:ascii="Times New Roman" w:hAnsi="Times New Roman"/>
          <w:sz w:val="24"/>
          <w:szCs w:val="24"/>
          <w:lang w:val="en-US"/>
        </w:rPr>
        <w:t xml:space="preserve">; </w:t>
      </w:r>
      <w:proofErr w:type="spellStart"/>
      <w:r w:rsidR="00A96553" w:rsidRPr="008D7635">
        <w:rPr>
          <w:rFonts w:ascii="Times New Roman" w:hAnsi="Times New Roman"/>
          <w:sz w:val="24"/>
          <w:szCs w:val="24"/>
          <w:lang w:val="en-US"/>
        </w:rPr>
        <w:t>Satelli</w:t>
      </w:r>
      <w:proofErr w:type="spellEnd"/>
      <w:r w:rsidR="00A96553" w:rsidRPr="008D7635">
        <w:rPr>
          <w:rFonts w:ascii="Times New Roman" w:hAnsi="Times New Roman"/>
          <w:sz w:val="24"/>
          <w:szCs w:val="24"/>
          <w:lang w:val="en-US"/>
        </w:rPr>
        <w:t>, 2007</w:t>
      </w:r>
      <w:r w:rsidR="00A86249" w:rsidRPr="008D7635">
        <w:rPr>
          <w:rFonts w:ascii="Times New Roman" w:hAnsi="Times New Roman"/>
          <w:sz w:val="24"/>
          <w:szCs w:val="24"/>
          <w:lang w:val="en-US"/>
        </w:rPr>
        <w:t xml:space="preserve">; </w:t>
      </w:r>
      <w:proofErr w:type="spellStart"/>
      <w:r w:rsidR="00A86249" w:rsidRPr="008D7635">
        <w:rPr>
          <w:rFonts w:ascii="Times New Roman" w:hAnsi="Times New Roman"/>
          <w:sz w:val="24"/>
          <w:szCs w:val="24"/>
          <w:lang w:val="en-US"/>
        </w:rPr>
        <w:t>Costanza</w:t>
      </w:r>
      <w:proofErr w:type="spellEnd"/>
      <w:r w:rsidR="00A86249" w:rsidRPr="008D7635">
        <w:rPr>
          <w:rFonts w:ascii="Times New Roman" w:hAnsi="Times New Roman"/>
          <w:sz w:val="24"/>
          <w:szCs w:val="24"/>
          <w:lang w:val="en-US"/>
        </w:rPr>
        <w:t xml:space="preserve"> et al., 2007</w:t>
      </w:r>
      <w:r w:rsidR="00262A65" w:rsidRPr="008D7635">
        <w:rPr>
          <w:rFonts w:ascii="Times New Roman" w:hAnsi="Times New Roman"/>
          <w:sz w:val="24"/>
          <w:szCs w:val="24"/>
          <w:lang w:val="en-US"/>
        </w:rPr>
        <w:t>).</w:t>
      </w:r>
      <w:r w:rsidR="00262A65" w:rsidRPr="008D7635">
        <w:rPr>
          <w:rFonts w:ascii="Times New Roman" w:hAnsi="Times New Roman"/>
          <w:sz w:val="24"/>
          <w:szCs w:val="24"/>
        </w:rPr>
        <w:t xml:space="preserve"> For these reason</w:t>
      </w:r>
      <w:r w:rsidR="00110F19" w:rsidRPr="008D7635">
        <w:rPr>
          <w:rFonts w:ascii="Times New Roman" w:hAnsi="Times New Roman"/>
          <w:sz w:val="24"/>
          <w:szCs w:val="24"/>
        </w:rPr>
        <w:t>s</w:t>
      </w:r>
      <w:r w:rsidR="00262A65" w:rsidRPr="008D7635">
        <w:rPr>
          <w:rFonts w:ascii="Times New Roman" w:hAnsi="Times New Roman"/>
          <w:sz w:val="24"/>
          <w:szCs w:val="24"/>
        </w:rPr>
        <w:t xml:space="preserve">, </w:t>
      </w:r>
      <w:r w:rsidR="00262A65" w:rsidRPr="008D7635">
        <w:rPr>
          <w:rFonts w:ascii="Times New Roman" w:hAnsi="Times New Roman"/>
          <w:sz w:val="24"/>
          <w:szCs w:val="24"/>
          <w:lang w:val="en-US"/>
        </w:rPr>
        <w:t>an ever larger body of literature suggest</w:t>
      </w:r>
      <w:r w:rsidR="00110F19" w:rsidRPr="008D7635">
        <w:rPr>
          <w:rFonts w:ascii="Times New Roman" w:hAnsi="Times New Roman"/>
          <w:sz w:val="24"/>
          <w:szCs w:val="24"/>
          <w:lang w:val="en-US"/>
        </w:rPr>
        <w:t>s</w:t>
      </w:r>
      <w:r w:rsidR="00262A65" w:rsidRPr="008D7635">
        <w:rPr>
          <w:rFonts w:ascii="Times New Roman" w:hAnsi="Times New Roman"/>
          <w:sz w:val="24"/>
          <w:szCs w:val="24"/>
          <w:lang w:val="en-US"/>
        </w:rPr>
        <w:t xml:space="preserve"> to avoid the simplification generated by the use of aggregated indicators and to move toward an integrated description of well-being. The</w:t>
      </w:r>
      <w:r w:rsidR="00262A65" w:rsidRPr="008D7635">
        <w:rPr>
          <w:rFonts w:ascii="Times New Roman" w:hAnsi="Times New Roman"/>
          <w:sz w:val="24"/>
          <w:szCs w:val="24"/>
        </w:rPr>
        <w:t xml:space="preserve"> fuzzy sets theory approach or the </w:t>
      </w:r>
      <w:proofErr w:type="spellStart"/>
      <w:r w:rsidR="00262A65" w:rsidRPr="008D7635">
        <w:rPr>
          <w:rFonts w:ascii="Times New Roman" w:hAnsi="Times New Roman"/>
          <w:sz w:val="24"/>
          <w:szCs w:val="24"/>
        </w:rPr>
        <w:t>multicriteria</w:t>
      </w:r>
      <w:proofErr w:type="spellEnd"/>
      <w:r w:rsidR="00262A65" w:rsidRPr="008D7635">
        <w:rPr>
          <w:rFonts w:ascii="Times New Roman" w:hAnsi="Times New Roman"/>
          <w:sz w:val="24"/>
          <w:szCs w:val="24"/>
        </w:rPr>
        <w:t xml:space="preserve"> methods are example of recent developments oriented to</w:t>
      </w:r>
      <w:r w:rsidR="007E2F9F" w:rsidRPr="008D7635">
        <w:rPr>
          <w:rFonts w:ascii="Times New Roman" w:hAnsi="Times New Roman"/>
          <w:sz w:val="24"/>
          <w:szCs w:val="24"/>
        </w:rPr>
        <w:t xml:space="preserve"> consider the incommensurability of the different dimensions of well-being and to</w:t>
      </w:r>
      <w:r w:rsidR="00262A65" w:rsidRPr="008D7635">
        <w:rPr>
          <w:rFonts w:ascii="Times New Roman" w:hAnsi="Times New Roman"/>
          <w:sz w:val="24"/>
          <w:szCs w:val="24"/>
        </w:rPr>
        <w:t xml:space="preserve"> move from a compensation and linear simplification approach to a combined analysis of</w:t>
      </w:r>
      <w:r w:rsidR="00262A65" w:rsidRPr="008D7635">
        <w:rPr>
          <w:rFonts w:ascii="Times New Roman" w:hAnsi="Times New Roman"/>
          <w:sz w:val="24"/>
          <w:szCs w:val="24"/>
          <w:lang w:val="en-US"/>
        </w:rPr>
        <w:t xml:space="preserve"> the objective and subjective well-being dimensions</w:t>
      </w:r>
      <w:r w:rsidR="007E2F9F" w:rsidRPr="008D7635">
        <w:rPr>
          <w:rFonts w:ascii="Times New Roman" w:hAnsi="Times New Roman"/>
          <w:sz w:val="24"/>
          <w:szCs w:val="24"/>
          <w:lang w:val="en-US"/>
        </w:rPr>
        <w:t xml:space="preserve"> </w:t>
      </w:r>
      <w:r w:rsidR="00262A65" w:rsidRPr="008D7635">
        <w:rPr>
          <w:rFonts w:ascii="Times New Roman" w:hAnsi="Times New Roman"/>
          <w:sz w:val="24"/>
          <w:szCs w:val="24"/>
        </w:rPr>
        <w:t>(</w:t>
      </w:r>
      <w:proofErr w:type="spellStart"/>
      <w:r w:rsidR="00262A65" w:rsidRPr="008D7635">
        <w:rPr>
          <w:rFonts w:ascii="Times New Roman" w:hAnsi="Times New Roman"/>
          <w:sz w:val="24"/>
          <w:szCs w:val="24"/>
        </w:rPr>
        <w:t>Munda</w:t>
      </w:r>
      <w:proofErr w:type="spellEnd"/>
      <w:r w:rsidR="00262A65" w:rsidRPr="008D7635">
        <w:rPr>
          <w:rFonts w:ascii="Times New Roman" w:hAnsi="Times New Roman"/>
          <w:sz w:val="24"/>
          <w:szCs w:val="24"/>
        </w:rPr>
        <w:t xml:space="preserve">, 2005; </w:t>
      </w:r>
      <w:proofErr w:type="spellStart"/>
      <w:r w:rsidR="00262A65" w:rsidRPr="008D7635">
        <w:rPr>
          <w:rFonts w:ascii="Times New Roman" w:hAnsi="Times New Roman"/>
          <w:sz w:val="24"/>
          <w:szCs w:val="24"/>
        </w:rPr>
        <w:t>Munda</w:t>
      </w:r>
      <w:proofErr w:type="spellEnd"/>
      <w:r w:rsidR="00262A65" w:rsidRPr="008D7635">
        <w:rPr>
          <w:rFonts w:ascii="Times New Roman" w:hAnsi="Times New Roman"/>
          <w:sz w:val="24"/>
          <w:szCs w:val="24"/>
        </w:rPr>
        <w:t xml:space="preserve"> and </w:t>
      </w:r>
      <w:proofErr w:type="spellStart"/>
      <w:r w:rsidR="00262A65" w:rsidRPr="008D7635">
        <w:rPr>
          <w:rFonts w:ascii="Times New Roman" w:hAnsi="Times New Roman"/>
          <w:sz w:val="24"/>
          <w:szCs w:val="24"/>
        </w:rPr>
        <w:t>Nardo</w:t>
      </w:r>
      <w:proofErr w:type="spellEnd"/>
      <w:r w:rsidR="00262A65" w:rsidRPr="008D7635">
        <w:rPr>
          <w:rFonts w:ascii="Times New Roman" w:hAnsi="Times New Roman"/>
          <w:sz w:val="24"/>
          <w:szCs w:val="24"/>
        </w:rPr>
        <w:t xml:space="preserve">, 2009). </w:t>
      </w:r>
    </w:p>
    <w:p w14:paraId="4CDD867C" w14:textId="61829CFA" w:rsidR="00D4092E" w:rsidRPr="008D7635" w:rsidRDefault="00110F19" w:rsidP="005B30F6">
      <w:pPr>
        <w:autoSpaceDE w:val="0"/>
        <w:autoSpaceDN w:val="0"/>
        <w:adjustRightInd w:val="0"/>
        <w:spacing w:after="0" w:line="360" w:lineRule="auto"/>
        <w:jc w:val="both"/>
        <w:rPr>
          <w:rFonts w:ascii="Times New Roman" w:hAnsi="Times New Roman"/>
          <w:sz w:val="24"/>
          <w:szCs w:val="24"/>
          <w:lang w:val="en-US"/>
        </w:rPr>
      </w:pPr>
      <w:r w:rsidRPr="008D7635">
        <w:rPr>
          <w:rFonts w:ascii="Times New Roman" w:hAnsi="Times New Roman"/>
          <w:sz w:val="24"/>
          <w:szCs w:val="24"/>
        </w:rPr>
        <w:t xml:space="preserve">Starting from </w:t>
      </w:r>
      <w:r w:rsidR="00262A65" w:rsidRPr="008D7635">
        <w:rPr>
          <w:rFonts w:ascii="Times New Roman" w:hAnsi="Times New Roman"/>
          <w:sz w:val="24"/>
          <w:szCs w:val="24"/>
        </w:rPr>
        <w:t>th</w:t>
      </w:r>
      <w:r w:rsidR="007E2F9F" w:rsidRPr="008D7635">
        <w:rPr>
          <w:rFonts w:ascii="Times New Roman" w:hAnsi="Times New Roman"/>
          <w:sz w:val="24"/>
          <w:szCs w:val="24"/>
        </w:rPr>
        <w:t xml:space="preserve">is </w:t>
      </w:r>
      <w:r w:rsidRPr="008D7635">
        <w:rPr>
          <w:rFonts w:ascii="Times New Roman" w:hAnsi="Times New Roman"/>
          <w:sz w:val="24"/>
          <w:szCs w:val="24"/>
        </w:rPr>
        <w:t xml:space="preserve">last </w:t>
      </w:r>
      <w:r w:rsidR="007E2F9F" w:rsidRPr="008D7635">
        <w:rPr>
          <w:rFonts w:ascii="Times New Roman" w:hAnsi="Times New Roman"/>
          <w:sz w:val="24"/>
          <w:szCs w:val="24"/>
        </w:rPr>
        <w:t xml:space="preserve">approach, the present paper provides a multidimensional well-being description and proposes a model to combine objective indicators of well-being together with </w:t>
      </w:r>
      <w:r w:rsidR="007E2F9F" w:rsidRPr="008D7635">
        <w:rPr>
          <w:rFonts w:ascii="Times New Roman" w:hAnsi="Times New Roman"/>
          <w:sz w:val="24"/>
          <w:szCs w:val="24"/>
        </w:rPr>
        <w:lastRenderedPageBreak/>
        <w:t xml:space="preserve">subjective evaluations. </w:t>
      </w:r>
      <w:r w:rsidR="007E2F9F" w:rsidRPr="008D7635">
        <w:rPr>
          <w:rFonts w:ascii="Times New Roman" w:hAnsi="Times New Roman"/>
          <w:sz w:val="24"/>
          <w:szCs w:val="24"/>
          <w:lang w:val="en-US"/>
        </w:rPr>
        <w:t>By</w:t>
      </w:r>
      <w:r w:rsidR="00DA000E" w:rsidRPr="008D7635">
        <w:rPr>
          <w:rFonts w:ascii="Times New Roman" w:hAnsi="Times New Roman"/>
          <w:sz w:val="24"/>
          <w:szCs w:val="24"/>
          <w:lang w:val="en-US"/>
        </w:rPr>
        <w:t xml:space="preserve"> using different socio</w:t>
      </w:r>
      <w:r w:rsidR="00586454" w:rsidRPr="008D7635">
        <w:rPr>
          <w:rFonts w:ascii="Times New Roman" w:hAnsi="Times New Roman"/>
          <w:sz w:val="24"/>
          <w:szCs w:val="24"/>
          <w:lang w:val="en-US"/>
        </w:rPr>
        <w:t>-</w:t>
      </w:r>
      <w:r w:rsidR="00417C96" w:rsidRPr="008D7635">
        <w:rPr>
          <w:rFonts w:ascii="Times New Roman" w:hAnsi="Times New Roman"/>
          <w:sz w:val="24"/>
          <w:szCs w:val="24"/>
          <w:lang w:val="en-US"/>
        </w:rPr>
        <w:t>economic</w:t>
      </w:r>
      <w:r w:rsidR="007E2F9F" w:rsidRPr="008D7635">
        <w:rPr>
          <w:rFonts w:ascii="Times New Roman" w:hAnsi="Times New Roman"/>
          <w:sz w:val="24"/>
          <w:szCs w:val="24"/>
          <w:lang w:val="en-US"/>
        </w:rPr>
        <w:t>, environmental and health</w:t>
      </w:r>
      <w:r w:rsidR="00DA000E" w:rsidRPr="008D7635">
        <w:rPr>
          <w:rFonts w:ascii="Times New Roman" w:hAnsi="Times New Roman"/>
          <w:sz w:val="24"/>
          <w:szCs w:val="24"/>
          <w:lang w:val="en-US"/>
        </w:rPr>
        <w:t xml:space="preserve"> indicators</w:t>
      </w:r>
      <w:r w:rsidR="007E2F9F" w:rsidRPr="008D7635">
        <w:rPr>
          <w:rFonts w:ascii="Times New Roman" w:hAnsi="Times New Roman"/>
          <w:sz w:val="24"/>
          <w:szCs w:val="24"/>
          <w:lang w:val="en-US"/>
        </w:rPr>
        <w:t xml:space="preserve"> </w:t>
      </w:r>
      <w:r w:rsidR="00417C96" w:rsidRPr="008D7635">
        <w:rPr>
          <w:rFonts w:ascii="Times New Roman" w:hAnsi="Times New Roman"/>
          <w:sz w:val="24"/>
          <w:szCs w:val="24"/>
          <w:lang w:val="en-US"/>
        </w:rPr>
        <w:t>provided by Eurostat, an int</w:t>
      </w:r>
      <w:r w:rsidR="00A22C4F" w:rsidRPr="008D7635">
        <w:rPr>
          <w:rFonts w:ascii="Times New Roman" w:hAnsi="Times New Roman"/>
          <w:sz w:val="24"/>
          <w:szCs w:val="24"/>
          <w:lang w:val="en-US"/>
        </w:rPr>
        <w:t>egrated and transparent methodology</w:t>
      </w:r>
      <w:r w:rsidR="00417C96" w:rsidRPr="008D7635">
        <w:rPr>
          <w:rFonts w:ascii="Times New Roman" w:hAnsi="Times New Roman"/>
          <w:sz w:val="24"/>
          <w:szCs w:val="24"/>
          <w:lang w:val="en-US"/>
        </w:rPr>
        <w:t xml:space="preserve"> is </w:t>
      </w:r>
      <w:r w:rsidR="007E2F9F" w:rsidRPr="008D7635">
        <w:rPr>
          <w:rFonts w:ascii="Times New Roman" w:hAnsi="Times New Roman"/>
          <w:sz w:val="24"/>
          <w:szCs w:val="24"/>
          <w:lang w:val="en-US"/>
        </w:rPr>
        <w:t xml:space="preserve">proposed </w:t>
      </w:r>
      <w:r w:rsidR="00417C96" w:rsidRPr="008D7635">
        <w:rPr>
          <w:rFonts w:ascii="Times New Roman" w:hAnsi="Times New Roman"/>
          <w:sz w:val="24"/>
          <w:szCs w:val="24"/>
          <w:lang w:val="en-US"/>
        </w:rPr>
        <w:t>to summarize</w:t>
      </w:r>
      <w:r w:rsidR="00417C96" w:rsidRPr="008D7635">
        <w:rPr>
          <w:rFonts w:ascii="Times New Roman" w:hAnsi="Times New Roman"/>
          <w:sz w:val="24"/>
          <w:szCs w:val="24"/>
        </w:rPr>
        <w:t xml:space="preserve"> the beyond-national border distribution of well-being</w:t>
      </w:r>
      <w:r w:rsidR="007E2F9F" w:rsidRPr="008D7635">
        <w:rPr>
          <w:rFonts w:ascii="Times New Roman" w:hAnsi="Times New Roman"/>
          <w:sz w:val="24"/>
          <w:szCs w:val="24"/>
        </w:rPr>
        <w:t xml:space="preserve"> across EU regions</w:t>
      </w:r>
      <w:r w:rsidR="005E5A6C" w:rsidRPr="008D7635">
        <w:rPr>
          <w:rFonts w:ascii="Times New Roman" w:hAnsi="Times New Roman"/>
          <w:sz w:val="24"/>
          <w:szCs w:val="24"/>
          <w:lang w:val="en-US"/>
        </w:rPr>
        <w:t>. In addition, being based in a</w:t>
      </w:r>
      <w:r w:rsidR="00417C96" w:rsidRPr="008D7635">
        <w:rPr>
          <w:rFonts w:ascii="Times New Roman" w:hAnsi="Times New Roman"/>
          <w:sz w:val="24"/>
          <w:szCs w:val="24"/>
          <w:lang w:val="en-US"/>
        </w:rPr>
        <w:t xml:space="preserve"> non-compensatory approach, the present study can be complemented with subjective preferences and values, making the proposed methodology suitable to combine objective and subjective evaluation and to </w:t>
      </w:r>
      <w:proofErr w:type="spellStart"/>
      <w:r w:rsidR="00417C96" w:rsidRPr="008D7635">
        <w:rPr>
          <w:rFonts w:ascii="Times New Roman" w:hAnsi="Times New Roman"/>
          <w:sz w:val="24"/>
          <w:szCs w:val="24"/>
          <w:lang w:val="en-US"/>
        </w:rPr>
        <w:t>analyse</w:t>
      </w:r>
      <w:proofErr w:type="spellEnd"/>
      <w:r w:rsidR="00417C96" w:rsidRPr="008D7635">
        <w:rPr>
          <w:rFonts w:ascii="Times New Roman" w:hAnsi="Times New Roman"/>
          <w:sz w:val="24"/>
          <w:szCs w:val="24"/>
          <w:lang w:val="en-US"/>
        </w:rPr>
        <w:t xml:space="preserve"> well-being in a national, regional or individual scale.</w:t>
      </w:r>
      <w:r w:rsidR="00D4092E" w:rsidRPr="008D7635">
        <w:rPr>
          <w:rFonts w:ascii="Times New Roman" w:hAnsi="Times New Roman"/>
          <w:sz w:val="24"/>
          <w:szCs w:val="24"/>
          <w:lang w:val="en-US"/>
        </w:rPr>
        <w:t xml:space="preserve"> </w:t>
      </w:r>
      <w:r w:rsidR="00355355" w:rsidRPr="008D7635">
        <w:rPr>
          <w:rFonts w:ascii="Times New Roman" w:hAnsi="Times New Roman"/>
          <w:sz w:val="24"/>
          <w:szCs w:val="24"/>
          <w:lang w:val="en-US"/>
        </w:rPr>
        <w:t>T</w:t>
      </w:r>
      <w:r w:rsidR="00D4092E" w:rsidRPr="008D7635">
        <w:rPr>
          <w:rFonts w:ascii="Times New Roman" w:hAnsi="Times New Roman"/>
          <w:sz w:val="24"/>
          <w:szCs w:val="24"/>
          <w:lang w:val="en-US"/>
        </w:rPr>
        <w:t>hree</w:t>
      </w:r>
      <w:r w:rsidR="00A22C4F" w:rsidRPr="008D7635">
        <w:rPr>
          <w:rFonts w:ascii="Times New Roman" w:hAnsi="Times New Roman"/>
          <w:sz w:val="24"/>
          <w:szCs w:val="24"/>
          <w:lang w:val="en-US"/>
        </w:rPr>
        <w:t xml:space="preserve"> main analyses have been performed: </w:t>
      </w:r>
    </w:p>
    <w:p w14:paraId="697D1491" w14:textId="77777777" w:rsidR="00D4092E" w:rsidRPr="008D7635" w:rsidRDefault="00A22C4F" w:rsidP="00D4092E">
      <w:pPr>
        <w:spacing w:after="0" w:line="360" w:lineRule="auto"/>
        <w:ind w:left="567" w:hanging="425"/>
        <w:jc w:val="both"/>
        <w:rPr>
          <w:rFonts w:ascii="Times New Roman" w:hAnsi="Times New Roman"/>
          <w:i/>
          <w:sz w:val="24"/>
          <w:szCs w:val="24"/>
          <w:lang w:val="en-US"/>
        </w:rPr>
      </w:pPr>
      <w:r w:rsidRPr="008D7635">
        <w:rPr>
          <w:rFonts w:ascii="Times New Roman" w:hAnsi="Times New Roman"/>
          <w:sz w:val="24"/>
          <w:szCs w:val="24"/>
          <w:lang w:val="en-US"/>
        </w:rPr>
        <w:t xml:space="preserve">(1) The “ideal point” technique has been used to identify: </w:t>
      </w:r>
      <w:r w:rsidRPr="008D7635">
        <w:rPr>
          <w:rFonts w:ascii="Times New Roman" w:hAnsi="Times New Roman"/>
          <w:i/>
          <w:sz w:val="24"/>
          <w:szCs w:val="24"/>
          <w:lang w:val="en-US"/>
        </w:rPr>
        <w:t>(i)</w:t>
      </w:r>
      <w:r w:rsidRPr="008D7635">
        <w:rPr>
          <w:rFonts w:ascii="Times New Roman" w:hAnsi="Times New Roman"/>
          <w:sz w:val="24"/>
          <w:szCs w:val="24"/>
          <w:lang w:val="en-US"/>
        </w:rPr>
        <w:t xml:space="preserve"> the best EU performances; </w:t>
      </w:r>
      <w:r w:rsidRPr="008D7635">
        <w:rPr>
          <w:rFonts w:ascii="Times New Roman" w:hAnsi="Times New Roman"/>
          <w:i/>
          <w:sz w:val="24"/>
          <w:szCs w:val="24"/>
          <w:lang w:val="en-US"/>
        </w:rPr>
        <w:t>(ii)</w:t>
      </w:r>
      <w:r w:rsidRPr="008D7635">
        <w:rPr>
          <w:rFonts w:ascii="Times New Roman" w:hAnsi="Times New Roman"/>
          <w:sz w:val="24"/>
          <w:szCs w:val="24"/>
          <w:lang w:val="en-US"/>
        </w:rPr>
        <w:t xml:space="preserve"> the number and type of indicators that needs to be improved in every EU regions</w:t>
      </w:r>
      <w:r w:rsidR="00D4092E" w:rsidRPr="008D7635">
        <w:rPr>
          <w:rFonts w:ascii="Times New Roman" w:hAnsi="Times New Roman"/>
          <w:i/>
          <w:sz w:val="24"/>
          <w:szCs w:val="24"/>
          <w:lang w:val="en-US"/>
        </w:rPr>
        <w:t>;</w:t>
      </w:r>
    </w:p>
    <w:p w14:paraId="7E8AF07D" w14:textId="6ACD0B58" w:rsidR="00D4092E" w:rsidRPr="008D7635" w:rsidRDefault="00A22C4F" w:rsidP="00D4092E">
      <w:pPr>
        <w:spacing w:after="0" w:line="360" w:lineRule="auto"/>
        <w:ind w:left="567" w:hanging="425"/>
        <w:jc w:val="both"/>
        <w:rPr>
          <w:rFonts w:ascii="Times New Roman" w:hAnsi="Times New Roman"/>
          <w:sz w:val="24"/>
          <w:szCs w:val="24"/>
          <w:lang w:val="en-US"/>
        </w:rPr>
      </w:pPr>
      <w:r w:rsidRPr="008D7635">
        <w:rPr>
          <w:rFonts w:ascii="Times New Roman" w:hAnsi="Times New Roman"/>
          <w:sz w:val="24"/>
          <w:szCs w:val="24"/>
          <w:lang w:val="en-US"/>
        </w:rPr>
        <w:t>(2) A map of regional well-being has been elaborated to provide a summarizing</w:t>
      </w:r>
      <w:r w:rsidR="00355355" w:rsidRPr="008D7635">
        <w:rPr>
          <w:rFonts w:ascii="Times New Roman" w:hAnsi="Times New Roman"/>
          <w:sz w:val="24"/>
          <w:szCs w:val="24"/>
          <w:lang w:val="en-US"/>
        </w:rPr>
        <w:t xml:space="preserve"> representation of</w:t>
      </w:r>
      <w:r w:rsidRPr="008D7635">
        <w:rPr>
          <w:rFonts w:ascii="Times New Roman" w:hAnsi="Times New Roman"/>
          <w:sz w:val="24"/>
          <w:szCs w:val="24"/>
          <w:lang w:val="en-US"/>
        </w:rPr>
        <w:t xml:space="preserve"> the regional performance in comp</w:t>
      </w:r>
      <w:r w:rsidR="00D4092E" w:rsidRPr="008D7635">
        <w:rPr>
          <w:rFonts w:ascii="Times New Roman" w:hAnsi="Times New Roman"/>
          <w:sz w:val="24"/>
          <w:szCs w:val="24"/>
          <w:lang w:val="en-US"/>
        </w:rPr>
        <w:t>arison to the European average</w:t>
      </w:r>
    </w:p>
    <w:p w14:paraId="3338E83E" w14:textId="77777777" w:rsidR="00A22C4F" w:rsidRPr="008D7635" w:rsidRDefault="00A22C4F" w:rsidP="00D4092E">
      <w:pPr>
        <w:spacing w:after="0" w:line="360" w:lineRule="auto"/>
        <w:ind w:left="567" w:hanging="425"/>
        <w:jc w:val="both"/>
        <w:rPr>
          <w:rFonts w:ascii="Times New Roman" w:hAnsi="Times New Roman"/>
          <w:sz w:val="24"/>
          <w:szCs w:val="24"/>
          <w:lang w:val="en-US"/>
        </w:rPr>
      </w:pPr>
      <w:r w:rsidRPr="008D7635">
        <w:rPr>
          <w:rFonts w:ascii="Times New Roman" w:hAnsi="Times New Roman"/>
          <w:sz w:val="24"/>
          <w:szCs w:val="24"/>
          <w:lang w:val="en-US"/>
        </w:rPr>
        <w:t xml:space="preserve">(3) </w:t>
      </w:r>
      <w:r w:rsidR="005E5A6C" w:rsidRPr="008D7635">
        <w:rPr>
          <w:rFonts w:ascii="Times New Roman" w:hAnsi="Times New Roman"/>
          <w:sz w:val="24"/>
          <w:szCs w:val="24"/>
          <w:lang w:val="en-US"/>
        </w:rPr>
        <w:t xml:space="preserve">A </w:t>
      </w:r>
      <w:proofErr w:type="spellStart"/>
      <w:r w:rsidRPr="008D7635">
        <w:rPr>
          <w:rFonts w:ascii="Times New Roman" w:hAnsi="Times New Roman"/>
          <w:sz w:val="24"/>
          <w:szCs w:val="24"/>
          <w:lang w:val="en-US"/>
        </w:rPr>
        <w:t>Gini</w:t>
      </w:r>
      <w:proofErr w:type="spellEnd"/>
      <w:r w:rsidRPr="008D7635">
        <w:rPr>
          <w:rFonts w:ascii="Times New Roman" w:hAnsi="Times New Roman"/>
          <w:sz w:val="24"/>
          <w:szCs w:val="24"/>
          <w:lang w:val="en-US"/>
        </w:rPr>
        <w:t xml:space="preserve"> coefficient has been calculated to identify the indicators performing the largest inequalities across EU.</w:t>
      </w:r>
    </w:p>
    <w:p w14:paraId="5CD9AED0" w14:textId="77777777" w:rsidR="00F00924" w:rsidRPr="008D7635" w:rsidRDefault="00F00924" w:rsidP="00D4092E">
      <w:pPr>
        <w:spacing w:after="0" w:line="360" w:lineRule="auto"/>
        <w:ind w:left="567" w:hanging="425"/>
        <w:jc w:val="both"/>
        <w:rPr>
          <w:rFonts w:ascii="Times New Roman" w:hAnsi="Times New Roman"/>
          <w:sz w:val="24"/>
          <w:szCs w:val="24"/>
          <w:lang w:val="en-US"/>
        </w:rPr>
      </w:pPr>
    </w:p>
    <w:p w14:paraId="0C4096CF" w14:textId="0010B122" w:rsidR="000E191C" w:rsidRPr="008D7635" w:rsidRDefault="00D4092E" w:rsidP="00203D96">
      <w:pPr>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regional level has been selected as a minimum domain of </w:t>
      </w:r>
      <w:r w:rsidR="00803C44" w:rsidRPr="008D7635">
        <w:rPr>
          <w:rFonts w:ascii="Times New Roman" w:hAnsi="Times New Roman"/>
          <w:sz w:val="24"/>
          <w:szCs w:val="24"/>
          <w:lang w:val="en-US"/>
        </w:rPr>
        <w:t>reference</w:t>
      </w:r>
      <w:r w:rsidR="002446B8" w:rsidRPr="008D7635">
        <w:rPr>
          <w:rFonts w:ascii="Times New Roman" w:hAnsi="Times New Roman"/>
          <w:sz w:val="24"/>
          <w:szCs w:val="24"/>
          <w:lang w:val="en-US"/>
        </w:rPr>
        <w:t>.</w:t>
      </w:r>
      <w:r w:rsidR="00803C44" w:rsidRPr="008D7635">
        <w:rPr>
          <w:rFonts w:ascii="Times New Roman" w:hAnsi="Times New Roman"/>
          <w:sz w:val="24"/>
          <w:szCs w:val="24"/>
          <w:lang w:val="en-US"/>
        </w:rPr>
        <w:t xml:space="preserve"> </w:t>
      </w:r>
      <w:r w:rsidR="002446B8" w:rsidRPr="008D7635">
        <w:rPr>
          <w:rFonts w:ascii="Times New Roman" w:hAnsi="Times New Roman"/>
          <w:sz w:val="24"/>
          <w:szCs w:val="24"/>
          <w:lang w:val="en-US"/>
        </w:rPr>
        <w:t>S</w:t>
      </w:r>
      <w:r w:rsidRPr="008D7635">
        <w:rPr>
          <w:rFonts w:ascii="Times New Roman" w:hAnsi="Times New Roman"/>
          <w:sz w:val="24"/>
          <w:szCs w:val="24"/>
          <w:lang w:val="en-US"/>
        </w:rPr>
        <w:t xml:space="preserve">ince </w:t>
      </w:r>
      <w:r w:rsidR="000E7945" w:rsidRPr="008D7635">
        <w:rPr>
          <w:rFonts w:ascii="Times New Roman" w:hAnsi="Times New Roman"/>
          <w:sz w:val="24"/>
          <w:szCs w:val="24"/>
          <w:lang w:val="en-US"/>
        </w:rPr>
        <w:t xml:space="preserve">well-being pertains to individuals </w:t>
      </w:r>
      <w:r w:rsidR="005E5A6C" w:rsidRPr="008D7635">
        <w:rPr>
          <w:rFonts w:ascii="Times New Roman" w:hAnsi="Times New Roman"/>
          <w:sz w:val="24"/>
          <w:szCs w:val="24"/>
          <w:lang w:val="en-US"/>
        </w:rPr>
        <w:t>and communities</w:t>
      </w:r>
      <w:r w:rsidR="00355355" w:rsidRPr="008D7635">
        <w:rPr>
          <w:rFonts w:ascii="Times New Roman" w:hAnsi="Times New Roman"/>
          <w:sz w:val="24"/>
          <w:szCs w:val="24"/>
          <w:lang w:val="en-US"/>
        </w:rPr>
        <w:t xml:space="preserve"> we have selected data available at the smallest possible scale where homogenous information across Europe could be found. The smaller the scale the more we hope to capture aspects of well-being that relate to the communities and to the individuals. The sub-national representation provides also an opportunity to verify to what extend well-being extends beyond national borders that being shares by communities in</w:t>
      </w:r>
      <w:r w:rsidR="00A63BFE" w:rsidRPr="008D7635">
        <w:rPr>
          <w:rFonts w:ascii="Times New Roman" w:hAnsi="Times New Roman"/>
          <w:sz w:val="24"/>
          <w:szCs w:val="24"/>
          <w:lang w:val="en-US"/>
        </w:rPr>
        <w:t xml:space="preserve"> </w:t>
      </w:r>
      <w:r w:rsidR="00355355" w:rsidRPr="008D7635">
        <w:rPr>
          <w:rFonts w:ascii="Times New Roman" w:hAnsi="Times New Roman"/>
          <w:sz w:val="24"/>
          <w:szCs w:val="24"/>
          <w:lang w:val="en-US"/>
        </w:rPr>
        <w:t>spite of the admi</w:t>
      </w:r>
      <w:r w:rsidR="00A63BFE" w:rsidRPr="008D7635">
        <w:rPr>
          <w:rFonts w:ascii="Times New Roman" w:hAnsi="Times New Roman"/>
          <w:sz w:val="24"/>
          <w:szCs w:val="24"/>
          <w:lang w:val="en-US"/>
        </w:rPr>
        <w:t>ni</w:t>
      </w:r>
      <w:r w:rsidR="00355355" w:rsidRPr="008D7635">
        <w:rPr>
          <w:rFonts w:ascii="Times New Roman" w:hAnsi="Times New Roman"/>
          <w:sz w:val="24"/>
          <w:szCs w:val="24"/>
          <w:lang w:val="en-US"/>
        </w:rPr>
        <w:t xml:space="preserve">strative separation and as result of also historical, cultural differences. </w:t>
      </w:r>
      <w:r w:rsidR="00824AB7" w:rsidRPr="008D7635">
        <w:rPr>
          <w:rFonts w:ascii="Times New Roman" w:hAnsi="Times New Roman"/>
          <w:sz w:val="24"/>
          <w:szCs w:val="24"/>
          <w:lang w:val="en-US"/>
        </w:rPr>
        <w:t xml:space="preserve">The methodology proposed in this paper, together with the main finding of our analysis can be useful to reduce the existing gap between subjective and objective </w:t>
      </w:r>
      <w:r w:rsidR="00BA29AE" w:rsidRPr="008D7635">
        <w:rPr>
          <w:rFonts w:ascii="Times New Roman" w:hAnsi="Times New Roman"/>
          <w:sz w:val="24"/>
          <w:szCs w:val="24"/>
          <w:lang w:val="en-US"/>
        </w:rPr>
        <w:t xml:space="preserve">well-being </w:t>
      </w:r>
      <w:r w:rsidR="00824AB7" w:rsidRPr="008D7635">
        <w:rPr>
          <w:rFonts w:ascii="Times New Roman" w:hAnsi="Times New Roman"/>
          <w:sz w:val="24"/>
          <w:szCs w:val="24"/>
          <w:lang w:val="en-US"/>
        </w:rPr>
        <w:t>measure</w:t>
      </w:r>
      <w:r w:rsidR="00BA29AE" w:rsidRPr="008D7635">
        <w:rPr>
          <w:rFonts w:ascii="Times New Roman" w:hAnsi="Times New Roman"/>
          <w:sz w:val="24"/>
          <w:szCs w:val="24"/>
          <w:lang w:val="en-US"/>
        </w:rPr>
        <w:t>s</w:t>
      </w:r>
      <w:r w:rsidR="00824AB7" w:rsidRPr="008D7635">
        <w:rPr>
          <w:rFonts w:ascii="Times New Roman" w:hAnsi="Times New Roman"/>
          <w:sz w:val="24"/>
          <w:szCs w:val="24"/>
          <w:lang w:val="en-US"/>
        </w:rPr>
        <w:t xml:space="preserve"> </w:t>
      </w:r>
      <w:r w:rsidR="00BA29AE" w:rsidRPr="008D7635">
        <w:rPr>
          <w:rFonts w:ascii="Times New Roman" w:hAnsi="Times New Roman"/>
          <w:sz w:val="24"/>
          <w:szCs w:val="24"/>
          <w:lang w:val="en-US"/>
        </w:rPr>
        <w:t xml:space="preserve">and to </w:t>
      </w:r>
      <w:r w:rsidR="006E5B5A" w:rsidRPr="008D7635">
        <w:rPr>
          <w:rFonts w:ascii="Times New Roman" w:hAnsi="Times New Roman"/>
          <w:sz w:val="24"/>
          <w:szCs w:val="24"/>
          <w:lang w:val="en-US"/>
        </w:rPr>
        <w:t xml:space="preserve">evaluate policy efficacy. In particular, by providing an overview of the level of well-being across EU regions, the results of this paper can be used to investigate the effectiveness of previous EU policies and to support researches and EU institutions in the design of future well-being strategies. </w:t>
      </w:r>
      <w:r w:rsidR="00C75AF1" w:rsidRPr="008D7635">
        <w:rPr>
          <w:rFonts w:ascii="Times New Roman" w:hAnsi="Times New Roman"/>
          <w:sz w:val="24"/>
          <w:szCs w:val="24"/>
          <w:lang w:val="en-US"/>
        </w:rPr>
        <w:t xml:space="preserve">The paper is structured as follows: section 2 summarizes the Eurostat data used in this study. Section 3 presents the adopted methodology. In section 4 the main results are reported. Section 5 identifies the main limitations and the future research developments. Section 6 concludes </w:t>
      </w:r>
    </w:p>
    <w:p w14:paraId="24E63853" w14:textId="77777777" w:rsidR="00417C96" w:rsidRPr="008D7635" w:rsidRDefault="00417C96" w:rsidP="000E191C">
      <w:pPr>
        <w:spacing w:line="360" w:lineRule="auto"/>
        <w:jc w:val="both"/>
        <w:rPr>
          <w:rFonts w:ascii="Times New Roman" w:hAnsi="Times New Roman"/>
          <w:sz w:val="24"/>
          <w:szCs w:val="24"/>
          <w:lang w:val="en-US"/>
        </w:rPr>
      </w:pPr>
    </w:p>
    <w:p w14:paraId="2F0B99AD" w14:textId="77777777" w:rsidR="000E191C" w:rsidRPr="008D7635" w:rsidRDefault="000E191C" w:rsidP="000E191C">
      <w:pPr>
        <w:spacing w:line="360" w:lineRule="auto"/>
        <w:jc w:val="both"/>
        <w:rPr>
          <w:rFonts w:ascii="Times New Roman" w:hAnsi="Times New Roman"/>
          <w:b/>
          <w:sz w:val="24"/>
          <w:szCs w:val="24"/>
          <w:lang w:val="en-US"/>
        </w:rPr>
      </w:pPr>
      <w:r w:rsidRPr="008D7635">
        <w:rPr>
          <w:rFonts w:ascii="Times New Roman" w:hAnsi="Times New Roman"/>
          <w:b/>
          <w:sz w:val="24"/>
          <w:szCs w:val="24"/>
        </w:rPr>
        <w:t>2</w:t>
      </w:r>
      <w:r w:rsidRPr="008D7635">
        <w:rPr>
          <w:rFonts w:ascii="Times New Roman" w:hAnsi="Times New Roman"/>
          <w:b/>
          <w:sz w:val="24"/>
          <w:szCs w:val="24"/>
          <w:lang w:val="en-US"/>
        </w:rPr>
        <w:t xml:space="preserve">. </w:t>
      </w:r>
      <w:r w:rsidRPr="008D7635">
        <w:rPr>
          <w:rFonts w:ascii="Times New Roman" w:hAnsi="Times New Roman"/>
          <w:b/>
          <w:sz w:val="24"/>
          <w:szCs w:val="24"/>
          <w:lang w:val="en-US"/>
        </w:rPr>
        <w:tab/>
        <w:t xml:space="preserve">Data </w:t>
      </w:r>
    </w:p>
    <w:p w14:paraId="6B134D4C" w14:textId="77777777" w:rsidR="000E191C" w:rsidRPr="008D7635" w:rsidRDefault="000E191C" w:rsidP="000E191C">
      <w:pPr>
        <w:spacing w:line="360" w:lineRule="auto"/>
        <w:jc w:val="both"/>
        <w:rPr>
          <w:rFonts w:ascii="Times New Roman" w:hAnsi="Times New Roman"/>
          <w:b/>
          <w:sz w:val="24"/>
          <w:szCs w:val="24"/>
          <w:lang w:val="en-US"/>
        </w:rPr>
      </w:pPr>
      <w:r w:rsidRPr="008D7635">
        <w:rPr>
          <w:rFonts w:ascii="Times New Roman" w:hAnsi="Times New Roman"/>
          <w:sz w:val="24"/>
          <w:szCs w:val="24"/>
          <w:lang w:val="en-US"/>
        </w:rPr>
        <w:lastRenderedPageBreak/>
        <w:t>Regional data provided by Eurostat have been used in this study to describe well-being across Europe. Based on NUTS 2 classification 266 European regions have been considered across the 27-MS (</w:t>
      </w:r>
      <w:r w:rsidR="000A5C83" w:rsidRPr="008D7635">
        <w:rPr>
          <w:rFonts w:ascii="Times New Roman" w:hAnsi="Times New Roman"/>
          <w:sz w:val="24"/>
          <w:szCs w:val="24"/>
          <w:lang w:val="en-US"/>
        </w:rPr>
        <w:t xml:space="preserve">for a </w:t>
      </w:r>
      <w:r w:rsidRPr="008D7635">
        <w:rPr>
          <w:rFonts w:ascii="Times New Roman" w:hAnsi="Times New Roman"/>
          <w:sz w:val="24"/>
          <w:szCs w:val="24"/>
          <w:lang w:val="en-US"/>
        </w:rPr>
        <w:t>detailed list of countries and regions</w:t>
      </w:r>
      <w:r w:rsidR="000A5C83" w:rsidRPr="008D7635">
        <w:rPr>
          <w:rFonts w:ascii="Times New Roman" w:hAnsi="Times New Roman"/>
          <w:sz w:val="24"/>
          <w:szCs w:val="24"/>
          <w:lang w:val="en-US"/>
        </w:rPr>
        <w:t xml:space="preserve"> see </w:t>
      </w:r>
      <w:proofErr w:type="spellStart"/>
      <w:r w:rsidR="000A5C83" w:rsidRPr="008D7635">
        <w:rPr>
          <w:rFonts w:ascii="Times New Roman" w:hAnsi="Times New Roman"/>
          <w:sz w:val="24"/>
          <w:szCs w:val="24"/>
          <w:lang w:val="en-US"/>
        </w:rPr>
        <w:t>Andreoni</w:t>
      </w:r>
      <w:proofErr w:type="spellEnd"/>
      <w:r w:rsidR="000A5C83" w:rsidRPr="008D7635">
        <w:rPr>
          <w:rFonts w:ascii="Times New Roman" w:hAnsi="Times New Roman"/>
          <w:sz w:val="24"/>
          <w:szCs w:val="24"/>
          <w:lang w:val="en-US"/>
        </w:rPr>
        <w:t xml:space="preserve"> and </w:t>
      </w:r>
      <w:proofErr w:type="spellStart"/>
      <w:r w:rsidR="000A5C83" w:rsidRPr="008D7635">
        <w:rPr>
          <w:rFonts w:ascii="Times New Roman" w:hAnsi="Times New Roman"/>
          <w:sz w:val="24"/>
          <w:szCs w:val="24"/>
          <w:lang w:val="en-US"/>
        </w:rPr>
        <w:t>Galmarini</w:t>
      </w:r>
      <w:proofErr w:type="spellEnd"/>
      <w:r w:rsidR="000A5C83" w:rsidRPr="008D7635">
        <w:rPr>
          <w:rFonts w:ascii="Times New Roman" w:hAnsi="Times New Roman"/>
          <w:sz w:val="24"/>
          <w:szCs w:val="24"/>
          <w:lang w:val="en-US"/>
        </w:rPr>
        <w:t>, 2014</w:t>
      </w:r>
      <w:r w:rsidRPr="008D7635">
        <w:rPr>
          <w:rFonts w:ascii="Times New Roman" w:hAnsi="Times New Roman"/>
          <w:sz w:val="24"/>
          <w:szCs w:val="24"/>
          <w:lang w:val="en-US"/>
        </w:rPr>
        <w:t>). For each region the available indicators describing the economic, the social, the health and the environmental situation have been used. In particular, between the different indicators available on the Eurostat regional database only those that included at least the 95% of data over the 266 European regions have been considered. As a general rules</w:t>
      </w:r>
      <w:r w:rsidR="005E5A6C" w:rsidRPr="008D7635">
        <w:rPr>
          <w:rFonts w:ascii="Times New Roman" w:hAnsi="Times New Roman"/>
          <w:sz w:val="24"/>
          <w:szCs w:val="24"/>
          <w:lang w:val="en-US"/>
        </w:rPr>
        <w:t>, the national average value has been</w:t>
      </w:r>
      <w:r w:rsidRPr="008D7635">
        <w:rPr>
          <w:rFonts w:ascii="Times New Roman" w:hAnsi="Times New Roman"/>
          <w:sz w:val="24"/>
          <w:szCs w:val="24"/>
          <w:lang w:val="en-US"/>
        </w:rPr>
        <w:t xml:space="preserve"> used in this study to approximate the missing data. According to that operational principle, a total number of 12 indicators have been identified on the Eurostat regional database. In order to avoid an unequal weight distribution between the different dimensions and according to the </w:t>
      </w:r>
      <w:proofErr w:type="spellStart"/>
      <w:r w:rsidRPr="008D7635">
        <w:rPr>
          <w:rFonts w:ascii="Times New Roman" w:hAnsi="Times New Roman"/>
          <w:sz w:val="24"/>
          <w:szCs w:val="24"/>
          <w:lang w:val="en-US"/>
        </w:rPr>
        <w:t>multicriteria</w:t>
      </w:r>
      <w:proofErr w:type="spellEnd"/>
      <w:r w:rsidRPr="008D7635">
        <w:rPr>
          <w:rFonts w:ascii="Times New Roman" w:hAnsi="Times New Roman"/>
          <w:sz w:val="24"/>
          <w:szCs w:val="24"/>
          <w:lang w:val="en-US"/>
        </w:rPr>
        <w:t xml:space="preserve"> practice (</w:t>
      </w:r>
      <w:proofErr w:type="spellStart"/>
      <w:r w:rsidRPr="008D7635">
        <w:rPr>
          <w:rFonts w:ascii="Times New Roman" w:hAnsi="Times New Roman"/>
          <w:sz w:val="24"/>
          <w:szCs w:val="24"/>
          <w:lang w:val="en-US"/>
        </w:rPr>
        <w:t>Munda</w:t>
      </w:r>
      <w:proofErr w:type="spellEnd"/>
      <w:r w:rsidRPr="008D7635">
        <w:rPr>
          <w:rFonts w:ascii="Times New Roman" w:hAnsi="Times New Roman"/>
          <w:sz w:val="24"/>
          <w:szCs w:val="24"/>
          <w:lang w:val="en-US"/>
        </w:rPr>
        <w:t>, 2008) 3 indicators have been selected for every one of the four dim</w:t>
      </w:r>
      <w:r w:rsidR="000A5C83" w:rsidRPr="008D7635">
        <w:rPr>
          <w:rFonts w:ascii="Times New Roman" w:hAnsi="Times New Roman"/>
          <w:sz w:val="24"/>
          <w:szCs w:val="24"/>
          <w:lang w:val="en-US"/>
        </w:rPr>
        <w:t>ensions considered in this paper</w:t>
      </w:r>
      <w:r w:rsidRPr="008D7635">
        <w:rPr>
          <w:rFonts w:ascii="Times New Roman" w:hAnsi="Times New Roman"/>
          <w:sz w:val="24"/>
          <w:szCs w:val="24"/>
          <w:lang w:val="en-US"/>
        </w:rPr>
        <w:t>, namely:</w:t>
      </w:r>
      <w:r w:rsidRPr="008D7635">
        <w:rPr>
          <w:rFonts w:ascii="Times New Roman" w:hAnsi="Times New Roman"/>
          <w:b/>
          <w:sz w:val="24"/>
          <w:szCs w:val="24"/>
          <w:lang w:val="en-US"/>
        </w:rPr>
        <w:t xml:space="preserve"> </w:t>
      </w:r>
    </w:p>
    <w:p w14:paraId="5E895970" w14:textId="77777777" w:rsidR="000E191C" w:rsidRPr="008D7635" w:rsidRDefault="000E191C" w:rsidP="000E191C">
      <w:pPr>
        <w:spacing w:line="360" w:lineRule="auto"/>
        <w:ind w:firstLine="360"/>
        <w:jc w:val="both"/>
        <w:rPr>
          <w:rFonts w:ascii="Times New Roman" w:hAnsi="Times New Roman"/>
          <w:b/>
          <w:sz w:val="24"/>
          <w:szCs w:val="24"/>
          <w:lang w:val="en-US"/>
        </w:rPr>
      </w:pPr>
      <w:r w:rsidRPr="008D7635">
        <w:rPr>
          <w:rFonts w:ascii="Times New Roman" w:hAnsi="Times New Roman"/>
          <w:b/>
          <w:sz w:val="24"/>
          <w:szCs w:val="24"/>
          <w:lang w:val="en-US"/>
        </w:rPr>
        <w:t>1. Economic Dimension:</w:t>
      </w:r>
    </w:p>
    <w:p w14:paraId="56390F34" w14:textId="77777777" w:rsidR="000E191C" w:rsidRPr="008D7635" w:rsidRDefault="000E191C" w:rsidP="000E191C">
      <w:pPr>
        <w:numPr>
          <w:ilvl w:val="0"/>
          <w:numId w:val="4"/>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Gross Domestic Product</w:t>
      </w:r>
      <w:r w:rsidRPr="008D7635">
        <w:rPr>
          <w:rFonts w:ascii="Times New Roman" w:hAnsi="Times New Roman"/>
          <w:sz w:val="24"/>
          <w:szCs w:val="24"/>
          <w:lang w:val="en-US"/>
        </w:rPr>
        <w:t xml:space="preserve"> (GDP) – Euro per inhabitant: Calculated by Eurostat according to an expenditure approach (GDP = consumption + investments + exports – imports) the GDP is the largest used indicator to describe the economic situation of a region and to summarize the economic dimension of well-being (Eurostat website – Headline indicators).</w:t>
      </w:r>
    </w:p>
    <w:p w14:paraId="66091ED9" w14:textId="77777777" w:rsidR="000E191C" w:rsidRPr="008D7635" w:rsidRDefault="000E191C" w:rsidP="000E191C">
      <w:pPr>
        <w:numPr>
          <w:ilvl w:val="0"/>
          <w:numId w:val="4"/>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Long-Term Unemployment Rate</w:t>
      </w:r>
      <w:r w:rsidRPr="008D7635">
        <w:rPr>
          <w:rFonts w:ascii="Times New Roman" w:hAnsi="Times New Roman"/>
          <w:sz w:val="24"/>
          <w:szCs w:val="24"/>
          <w:lang w:val="en-US"/>
        </w:rPr>
        <w:t xml:space="preserve"> (12 months or more): is defined as the rate of people aged between 15-74 (in UK, IS and NO between 16 and 74) who were without work during the reference period bu</w:t>
      </w:r>
      <w:r w:rsidR="005E5A6C" w:rsidRPr="008D7635">
        <w:rPr>
          <w:rFonts w:ascii="Times New Roman" w:hAnsi="Times New Roman"/>
          <w:sz w:val="24"/>
          <w:szCs w:val="24"/>
          <w:lang w:val="en-US"/>
        </w:rPr>
        <w:t>t currently available for work.</w:t>
      </w:r>
      <w:r w:rsidRPr="008D7635">
        <w:rPr>
          <w:rFonts w:ascii="Times New Roman" w:hAnsi="Times New Roman"/>
          <w:sz w:val="24"/>
          <w:szCs w:val="24"/>
          <w:lang w:val="en-US"/>
        </w:rPr>
        <w:t xml:space="preserve"> Since the long-term unemployment rate is mainly determined by economic variables, an increasing rate of this indicator summarizes a decreasing trend in the economic dimension of well-being (Di </w:t>
      </w:r>
      <w:proofErr w:type="spellStart"/>
      <w:r w:rsidRPr="008D7635">
        <w:rPr>
          <w:rFonts w:ascii="Times New Roman" w:hAnsi="Times New Roman"/>
          <w:sz w:val="24"/>
          <w:szCs w:val="24"/>
          <w:lang w:val="en-US"/>
        </w:rPr>
        <w:t>Tella</w:t>
      </w:r>
      <w:proofErr w:type="spellEnd"/>
      <w:r w:rsidRPr="008D7635">
        <w:rPr>
          <w:rFonts w:ascii="Times New Roman" w:hAnsi="Times New Roman"/>
          <w:sz w:val="24"/>
          <w:szCs w:val="24"/>
          <w:lang w:val="en-US"/>
        </w:rPr>
        <w:t xml:space="preserve"> et al., 2001; Frey and </w:t>
      </w:r>
      <w:proofErr w:type="spellStart"/>
      <w:r w:rsidRPr="008D7635">
        <w:rPr>
          <w:rFonts w:ascii="Times New Roman" w:hAnsi="Times New Roman"/>
          <w:sz w:val="24"/>
          <w:szCs w:val="24"/>
          <w:lang w:val="en-US"/>
        </w:rPr>
        <w:t>Stutzer</w:t>
      </w:r>
      <w:proofErr w:type="spellEnd"/>
      <w:r w:rsidRPr="008D7635">
        <w:rPr>
          <w:rFonts w:ascii="Times New Roman" w:hAnsi="Times New Roman"/>
          <w:sz w:val="24"/>
          <w:szCs w:val="24"/>
          <w:lang w:val="en-US"/>
        </w:rPr>
        <w:t>, 2002)</w:t>
      </w:r>
    </w:p>
    <w:p w14:paraId="06F14653" w14:textId="77777777" w:rsidR="000E191C" w:rsidRPr="008D7635" w:rsidRDefault="000E191C" w:rsidP="000E191C">
      <w:pPr>
        <w:numPr>
          <w:ilvl w:val="0"/>
          <w:numId w:val="4"/>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R&amp;D Expenditure</w:t>
      </w:r>
      <w:r w:rsidRPr="008D7635">
        <w:rPr>
          <w:rFonts w:ascii="Times New Roman" w:hAnsi="Times New Roman"/>
          <w:sz w:val="24"/>
          <w:szCs w:val="24"/>
          <w:lang w:val="en-US"/>
        </w:rPr>
        <w:t xml:space="preserve"> – Euro per inhabitant: Eurostat’s statistics on R&amp;D expenditure are compiled based on </w:t>
      </w:r>
      <w:r w:rsidR="005B4937" w:rsidRPr="008D7635">
        <w:rPr>
          <w:rFonts w:ascii="Times New Roman" w:hAnsi="Times New Roman"/>
          <w:sz w:val="24"/>
          <w:szCs w:val="24"/>
          <w:lang w:val="en-US"/>
        </w:rPr>
        <w:t>OECD guidelines (OECD</w:t>
      </w:r>
      <w:r w:rsidRPr="008D7635">
        <w:rPr>
          <w:rFonts w:ascii="Times New Roman" w:hAnsi="Times New Roman"/>
          <w:sz w:val="24"/>
          <w:szCs w:val="24"/>
          <w:lang w:val="en-US"/>
        </w:rPr>
        <w:t>, 2002). They summarize the expenditures for research and development performed in the considered region. Since the promotion of science, technology and innovation are considered as important drivers for the Europe 2020 growth strategy, increasing rate of R&amp;D expenditure are assumed to have a positive impact on the economic dimension of well-being and in particular the medium term economic development possibilities.</w:t>
      </w:r>
    </w:p>
    <w:p w14:paraId="7123894F" w14:textId="77777777" w:rsidR="000E191C" w:rsidRPr="008D7635" w:rsidRDefault="000E191C" w:rsidP="000E191C">
      <w:pPr>
        <w:spacing w:line="360" w:lineRule="auto"/>
        <w:ind w:firstLine="360"/>
        <w:jc w:val="both"/>
        <w:rPr>
          <w:rFonts w:ascii="Times New Roman" w:hAnsi="Times New Roman"/>
          <w:b/>
          <w:sz w:val="24"/>
          <w:szCs w:val="24"/>
          <w:lang w:val="en-US"/>
        </w:rPr>
      </w:pPr>
      <w:r w:rsidRPr="008D7635">
        <w:rPr>
          <w:rFonts w:ascii="Times New Roman" w:hAnsi="Times New Roman"/>
          <w:b/>
          <w:sz w:val="24"/>
          <w:szCs w:val="24"/>
          <w:lang w:val="en-US"/>
        </w:rPr>
        <w:lastRenderedPageBreak/>
        <w:t>2. Social Dimension:</w:t>
      </w:r>
    </w:p>
    <w:p w14:paraId="7B578D83" w14:textId="77777777" w:rsidR="000E191C" w:rsidRPr="008D7635" w:rsidRDefault="000E191C" w:rsidP="000E191C">
      <w:pPr>
        <w:numPr>
          <w:ilvl w:val="0"/>
          <w:numId w:val="5"/>
        </w:numPr>
        <w:spacing w:line="360" w:lineRule="auto"/>
        <w:jc w:val="both"/>
        <w:rPr>
          <w:rFonts w:ascii="Times New Roman" w:hAnsi="Times New Roman"/>
          <w:sz w:val="24"/>
          <w:szCs w:val="24"/>
        </w:rPr>
      </w:pPr>
      <w:r w:rsidRPr="008D7635">
        <w:rPr>
          <w:rFonts w:ascii="Times New Roman" w:hAnsi="Times New Roman"/>
          <w:b/>
          <w:i/>
          <w:sz w:val="24"/>
          <w:szCs w:val="24"/>
          <w:lang w:val="en-US"/>
        </w:rPr>
        <w:t xml:space="preserve">Fertility Rate </w:t>
      </w:r>
      <w:r w:rsidRPr="008D7635">
        <w:rPr>
          <w:rFonts w:ascii="Times New Roman" w:hAnsi="Times New Roman"/>
          <w:sz w:val="24"/>
          <w:szCs w:val="24"/>
          <w:lang w:val="en-US"/>
        </w:rPr>
        <w:t>– Children per woman: quantifying the average number of children per woman, the fertility rate can be considered, in developed countries, as an indicator of prosperity, confidence in the future from the socio-economic view point, sense of self security and support from institutions</w:t>
      </w:r>
      <w:r w:rsidRPr="008D7635">
        <w:rPr>
          <w:rFonts w:ascii="Times New Roman" w:hAnsi="Times New Roman"/>
          <w:sz w:val="24"/>
          <w:szCs w:val="24"/>
        </w:rPr>
        <w:t xml:space="preserve"> (Eurostat website – Headline indicators).</w:t>
      </w:r>
    </w:p>
    <w:p w14:paraId="68DCD77E" w14:textId="77777777" w:rsidR="000E191C" w:rsidRPr="008D7635" w:rsidRDefault="000E191C" w:rsidP="000E191C">
      <w:pPr>
        <w:numPr>
          <w:ilvl w:val="0"/>
          <w:numId w:val="5"/>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Tertiary Education</w:t>
      </w:r>
      <w:r w:rsidRPr="008D7635">
        <w:rPr>
          <w:rFonts w:ascii="Times New Roman" w:hAnsi="Times New Roman"/>
          <w:sz w:val="24"/>
          <w:szCs w:val="24"/>
          <w:lang w:val="en-US"/>
        </w:rPr>
        <w:t xml:space="preserve"> - % of population: indicates the percentage of population having attended a tertiary education level. Summarizing the possibilities offered by families, society and by the system of welfare state of having a high education level, and being one of the Europe 2020 headline, tertiary education is positively related to the level of social dimension of well-being. (European Commission, 2010; </w:t>
      </w:r>
      <w:proofErr w:type="spellStart"/>
      <w:r w:rsidRPr="008D7635">
        <w:rPr>
          <w:rFonts w:ascii="Times New Roman" w:hAnsi="Times New Roman"/>
          <w:sz w:val="24"/>
          <w:szCs w:val="24"/>
          <w:lang w:val="en-US"/>
        </w:rPr>
        <w:t>Stutzer</w:t>
      </w:r>
      <w:proofErr w:type="spellEnd"/>
      <w:r w:rsidRPr="008D7635">
        <w:rPr>
          <w:rFonts w:ascii="Times New Roman" w:hAnsi="Times New Roman"/>
          <w:sz w:val="24"/>
          <w:szCs w:val="24"/>
          <w:lang w:val="en-US"/>
        </w:rPr>
        <w:t xml:space="preserve"> and Frey, 2008)</w:t>
      </w:r>
    </w:p>
    <w:p w14:paraId="7B43F52E" w14:textId="77777777" w:rsidR="000E191C" w:rsidRPr="008D7635" w:rsidRDefault="000E191C" w:rsidP="000E191C">
      <w:pPr>
        <w:numPr>
          <w:ilvl w:val="0"/>
          <w:numId w:val="5"/>
        </w:numPr>
        <w:spacing w:line="360" w:lineRule="auto"/>
        <w:jc w:val="both"/>
        <w:rPr>
          <w:rFonts w:ascii="Times New Roman" w:hAnsi="Times New Roman"/>
          <w:b/>
          <w:sz w:val="24"/>
          <w:szCs w:val="24"/>
          <w:lang w:val="en-US"/>
        </w:rPr>
      </w:pPr>
      <w:r w:rsidRPr="008D7635">
        <w:rPr>
          <w:rFonts w:ascii="Times New Roman" w:hAnsi="Times New Roman"/>
          <w:b/>
          <w:i/>
          <w:sz w:val="24"/>
          <w:szCs w:val="24"/>
          <w:lang w:val="en-US"/>
        </w:rPr>
        <w:t xml:space="preserve">Intentional self-harm </w:t>
      </w:r>
      <w:r w:rsidRPr="008D7635">
        <w:rPr>
          <w:rFonts w:ascii="Times New Roman" w:hAnsi="Times New Roman"/>
          <w:sz w:val="24"/>
          <w:szCs w:val="24"/>
          <w:lang w:val="en-US"/>
        </w:rPr>
        <w:t>– per 100,000 inhabitants: since the number of suicide is largely influenced by depression, hopelessness, drugs or alcohol abuse and social isolation, the intentional self-harm is here considered as an indicator to summarize the social dimension of well-being (Eurostat, 2009)</w:t>
      </w:r>
      <w:r w:rsidRPr="008D7635">
        <w:rPr>
          <w:rFonts w:ascii="Times New Roman" w:hAnsi="Times New Roman"/>
          <w:b/>
          <w:sz w:val="24"/>
          <w:szCs w:val="24"/>
          <w:lang w:val="en-US"/>
        </w:rPr>
        <w:t xml:space="preserve"> </w:t>
      </w:r>
    </w:p>
    <w:p w14:paraId="7921E1F0" w14:textId="77777777" w:rsidR="000E191C" w:rsidRPr="008D7635" w:rsidRDefault="000E191C" w:rsidP="000E191C">
      <w:pPr>
        <w:spacing w:line="360" w:lineRule="auto"/>
        <w:ind w:firstLine="360"/>
        <w:jc w:val="both"/>
        <w:rPr>
          <w:rFonts w:ascii="Times New Roman" w:hAnsi="Times New Roman"/>
          <w:b/>
          <w:sz w:val="24"/>
          <w:szCs w:val="24"/>
          <w:lang w:val="en-US"/>
        </w:rPr>
      </w:pPr>
      <w:r w:rsidRPr="008D7635">
        <w:rPr>
          <w:rFonts w:ascii="Times New Roman" w:hAnsi="Times New Roman"/>
          <w:b/>
          <w:sz w:val="24"/>
          <w:szCs w:val="24"/>
          <w:lang w:val="en-US"/>
        </w:rPr>
        <w:t>3. Health dimension:</w:t>
      </w:r>
    </w:p>
    <w:p w14:paraId="23E5BAB0" w14:textId="77777777" w:rsidR="000E191C" w:rsidRPr="008D7635" w:rsidRDefault="000E191C" w:rsidP="000E191C">
      <w:pPr>
        <w:numPr>
          <w:ilvl w:val="0"/>
          <w:numId w:val="6"/>
        </w:numPr>
        <w:spacing w:line="360" w:lineRule="auto"/>
        <w:jc w:val="both"/>
        <w:rPr>
          <w:rFonts w:ascii="Times New Roman" w:hAnsi="Times New Roman"/>
          <w:b/>
          <w:i/>
          <w:sz w:val="24"/>
          <w:szCs w:val="24"/>
          <w:lang w:val="en-US"/>
        </w:rPr>
      </w:pPr>
      <w:r w:rsidRPr="008D7635">
        <w:rPr>
          <w:rFonts w:ascii="Times New Roman" w:hAnsi="Times New Roman"/>
          <w:b/>
          <w:i/>
          <w:sz w:val="24"/>
          <w:szCs w:val="24"/>
          <w:lang w:val="en-US"/>
        </w:rPr>
        <w:t xml:space="preserve">Infant mortality rate </w:t>
      </w:r>
      <w:r w:rsidRPr="008D7635">
        <w:rPr>
          <w:rFonts w:ascii="Times New Roman" w:hAnsi="Times New Roman"/>
          <w:sz w:val="24"/>
          <w:szCs w:val="24"/>
          <w:lang w:val="en-US"/>
        </w:rPr>
        <w:t>– per 1,000 live births: It describes mortality during the first year of live and it is calculates as the ration of the number of deaths of children under one year of age during the year to the number of live births in the considered year describes mortality during the first year of life. Infant mortality rate is universally considered representative of a country’s level of health, development, quality of governance and well-being. (Eurostat, 2009)</w:t>
      </w:r>
    </w:p>
    <w:p w14:paraId="3F37A736" w14:textId="77777777" w:rsidR="000E191C" w:rsidRPr="008D7635" w:rsidRDefault="000E191C" w:rsidP="000E191C">
      <w:pPr>
        <w:numPr>
          <w:ilvl w:val="0"/>
          <w:numId w:val="6"/>
        </w:numPr>
        <w:spacing w:line="360" w:lineRule="auto"/>
        <w:jc w:val="both"/>
        <w:rPr>
          <w:rFonts w:ascii="Times New Roman" w:hAnsi="Times New Roman"/>
          <w:b/>
          <w:i/>
          <w:sz w:val="24"/>
          <w:szCs w:val="24"/>
          <w:lang w:val="en-US"/>
        </w:rPr>
      </w:pPr>
      <w:r w:rsidRPr="008D7635">
        <w:rPr>
          <w:rFonts w:ascii="Times New Roman" w:hAnsi="Times New Roman"/>
          <w:b/>
          <w:i/>
          <w:sz w:val="24"/>
          <w:szCs w:val="24"/>
          <w:lang w:val="en-US"/>
        </w:rPr>
        <w:t xml:space="preserve">Life expectancy </w:t>
      </w:r>
      <w:r w:rsidRPr="008D7635">
        <w:rPr>
          <w:rFonts w:ascii="Times New Roman" w:hAnsi="Times New Roman"/>
          <w:i/>
          <w:sz w:val="24"/>
          <w:szCs w:val="24"/>
          <w:lang w:val="en-US"/>
        </w:rPr>
        <w:t>at given exact age (1 year)</w:t>
      </w:r>
      <w:r w:rsidRPr="008D7635">
        <w:rPr>
          <w:rFonts w:ascii="Times New Roman" w:hAnsi="Times New Roman"/>
          <w:sz w:val="24"/>
          <w:szCs w:val="24"/>
          <w:lang w:val="en-US"/>
        </w:rPr>
        <w:t>: refers to the number of years still to be lived by a person if subjected throughout the rest of his live to the current mortality conditions. Since health care is recognized as one of the most important factor influencing life expectancy, this indicator can be used to describe the health dimension of well-being (Eurostat, 2009)</w:t>
      </w:r>
    </w:p>
    <w:p w14:paraId="5516A213" w14:textId="77777777" w:rsidR="000E191C" w:rsidRPr="008D7635" w:rsidRDefault="000E191C" w:rsidP="000E191C">
      <w:pPr>
        <w:numPr>
          <w:ilvl w:val="0"/>
          <w:numId w:val="6"/>
        </w:numPr>
        <w:spacing w:line="360" w:lineRule="auto"/>
        <w:jc w:val="both"/>
        <w:rPr>
          <w:rFonts w:ascii="Times New Roman" w:hAnsi="Times New Roman"/>
          <w:b/>
          <w:i/>
          <w:sz w:val="24"/>
          <w:szCs w:val="24"/>
          <w:lang w:val="en-US"/>
        </w:rPr>
      </w:pPr>
      <w:r w:rsidRPr="008D7635">
        <w:rPr>
          <w:rFonts w:ascii="Times New Roman" w:hAnsi="Times New Roman"/>
          <w:b/>
          <w:i/>
          <w:sz w:val="24"/>
          <w:szCs w:val="24"/>
          <w:lang w:val="en-US"/>
        </w:rPr>
        <w:t>Malignant neoplasms</w:t>
      </w:r>
      <w:r w:rsidRPr="008D7635">
        <w:rPr>
          <w:rFonts w:ascii="Times New Roman" w:hAnsi="Times New Roman"/>
          <w:sz w:val="24"/>
          <w:szCs w:val="24"/>
          <w:lang w:val="en-US"/>
        </w:rPr>
        <w:t xml:space="preserve"> – per 100,000 inhabitants:</w:t>
      </w:r>
      <w:r w:rsidRPr="008D7635">
        <w:rPr>
          <w:rFonts w:ascii="Times New Roman" w:hAnsi="Times New Roman"/>
          <w:b/>
          <w:i/>
          <w:sz w:val="24"/>
          <w:szCs w:val="24"/>
          <w:lang w:val="en-US"/>
        </w:rPr>
        <w:t xml:space="preserve"> </w:t>
      </w:r>
      <w:r w:rsidRPr="008D7635">
        <w:rPr>
          <w:rFonts w:ascii="Times New Roman" w:hAnsi="Times New Roman"/>
          <w:sz w:val="24"/>
          <w:szCs w:val="24"/>
          <w:lang w:val="en-US"/>
        </w:rPr>
        <w:t xml:space="preserve">the malignant neoplasms are a diverse group of cause of death including all the different cancer statistics collected by Eurostat. Since the environmental quality is today recognized as an important </w:t>
      </w:r>
      <w:r w:rsidRPr="008D7635">
        <w:rPr>
          <w:rFonts w:ascii="Times New Roman" w:hAnsi="Times New Roman"/>
          <w:sz w:val="24"/>
          <w:szCs w:val="24"/>
          <w:lang w:val="en-US"/>
        </w:rPr>
        <w:lastRenderedPageBreak/>
        <w:t>contributory factor  of the different recognized cause of cancer (e.g. smoking-related cancers, obesity or occupational hazard)  the number of malignant neoplasms is considered in this study as a negative indicator of environmental well-being (Eurostat, 2009)</w:t>
      </w:r>
    </w:p>
    <w:p w14:paraId="60549C7A" w14:textId="77777777" w:rsidR="000E191C" w:rsidRPr="008D7635" w:rsidRDefault="000E191C" w:rsidP="000E191C">
      <w:pPr>
        <w:spacing w:line="360" w:lineRule="auto"/>
        <w:ind w:firstLine="360"/>
        <w:jc w:val="both"/>
        <w:rPr>
          <w:rFonts w:ascii="Times New Roman" w:hAnsi="Times New Roman"/>
          <w:b/>
          <w:sz w:val="24"/>
          <w:szCs w:val="24"/>
          <w:lang w:val="en-US"/>
        </w:rPr>
      </w:pPr>
      <w:r w:rsidRPr="008D7635">
        <w:rPr>
          <w:rFonts w:ascii="Times New Roman" w:hAnsi="Times New Roman"/>
          <w:b/>
          <w:sz w:val="24"/>
          <w:szCs w:val="24"/>
          <w:lang w:val="en-US"/>
        </w:rPr>
        <w:t>4. Environmental dimension:</w:t>
      </w:r>
    </w:p>
    <w:p w14:paraId="2903CB8A" w14:textId="77777777" w:rsidR="000E191C" w:rsidRPr="008D7635" w:rsidRDefault="000E191C" w:rsidP="000E191C">
      <w:pPr>
        <w:numPr>
          <w:ilvl w:val="0"/>
          <w:numId w:val="7"/>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 xml:space="preserve">Generation of municipal waste </w:t>
      </w:r>
      <w:r w:rsidRPr="008D7635">
        <w:rPr>
          <w:rFonts w:ascii="Times New Roman" w:hAnsi="Times New Roman"/>
          <w:sz w:val="24"/>
          <w:szCs w:val="24"/>
          <w:lang w:val="en-US"/>
        </w:rPr>
        <w:t>– kg per capita: according to Eurostat definition, ‘municipal waste generation’ denotes the waste from consumption of household, commerce offices and public institutions. Since the EU Sustainable Development Strategies and the waste frame directive sets the target of ‘avoiding the generation of waste and enhancing efficient use of natural resources by applying the concept of life-cycle thinking and promoting reuse and recycling’, the quantity of municipal waste generated is a relevant indicator to summarize the efficiency of resources use and the potential impacts of waste generation and treatment on the pollution of air, groundwater and soil. For these reason, generation of municipal waste is here considered as an indicator the environmental dimension of well-being (Eurostat website – Headline indicators).</w:t>
      </w:r>
    </w:p>
    <w:p w14:paraId="11A43119" w14:textId="77777777" w:rsidR="000E191C" w:rsidRPr="008D7635" w:rsidRDefault="000E191C" w:rsidP="000E191C">
      <w:pPr>
        <w:numPr>
          <w:ilvl w:val="0"/>
          <w:numId w:val="7"/>
        </w:numPr>
        <w:spacing w:line="360" w:lineRule="auto"/>
        <w:jc w:val="both"/>
        <w:rPr>
          <w:rFonts w:ascii="Times New Roman" w:hAnsi="Times New Roman"/>
          <w:sz w:val="24"/>
          <w:szCs w:val="24"/>
          <w:lang w:val="en-US"/>
        </w:rPr>
      </w:pPr>
      <w:r w:rsidRPr="008D7635">
        <w:rPr>
          <w:rFonts w:ascii="Times New Roman" w:hAnsi="Times New Roman"/>
          <w:b/>
          <w:i/>
          <w:sz w:val="24"/>
          <w:szCs w:val="24"/>
          <w:lang w:val="en-US"/>
        </w:rPr>
        <w:t xml:space="preserve">Organic crop </w:t>
      </w:r>
      <w:r w:rsidRPr="008D7635">
        <w:rPr>
          <w:rFonts w:ascii="Times New Roman" w:hAnsi="Times New Roman"/>
          <w:sz w:val="24"/>
          <w:szCs w:val="24"/>
          <w:lang w:val="en-US"/>
        </w:rPr>
        <w:t>- % of total used agricultural area (ha): since organic agriculture is oriented to sustains the health of soil, to maintain ecosystems services, to protect biodiversity and to reduce the overall impacts on environment, the percentage of organic crop over the total used agricultural area is here considered as an indicator of environmental well-being (IFOAM website)</w:t>
      </w:r>
    </w:p>
    <w:p w14:paraId="62FC35E4" w14:textId="77777777" w:rsidR="000E191C" w:rsidRPr="008D7635" w:rsidRDefault="000E191C" w:rsidP="000E191C">
      <w:pPr>
        <w:numPr>
          <w:ilvl w:val="0"/>
          <w:numId w:val="7"/>
        </w:numPr>
        <w:spacing w:line="360" w:lineRule="auto"/>
        <w:jc w:val="both"/>
        <w:rPr>
          <w:rFonts w:ascii="Times New Roman" w:hAnsi="Times New Roman"/>
          <w:b/>
          <w:sz w:val="24"/>
          <w:szCs w:val="24"/>
          <w:lang w:val="en-US"/>
        </w:rPr>
      </w:pPr>
      <w:r w:rsidRPr="008D7635">
        <w:rPr>
          <w:rFonts w:ascii="Times New Roman" w:hAnsi="Times New Roman"/>
          <w:b/>
          <w:i/>
          <w:sz w:val="24"/>
          <w:szCs w:val="24"/>
          <w:lang w:val="en-US"/>
        </w:rPr>
        <w:t>Total nights spent by tourist</w:t>
      </w:r>
      <w:r w:rsidRPr="008D7635">
        <w:rPr>
          <w:rFonts w:ascii="Times New Roman" w:hAnsi="Times New Roman"/>
          <w:sz w:val="24"/>
          <w:szCs w:val="24"/>
          <w:lang w:val="en-US"/>
        </w:rPr>
        <w:t xml:space="preserve">: Since tourism is higher in the areas with historical patrimony, environmental quality, landscape, art and cultural heritage, the total nights spent by tourist this statistics is considered also as an indicator of environmental quality (Eurostat website – Headline indicators). Ultimately even if the motivations for the touristic visit could go from leisure to culture, the environmental quality is a fundamental aspect normally considered by any tourist. It is only marginally so since for example not all tourist resort facility </w:t>
      </w:r>
      <w:proofErr w:type="gramStart"/>
      <w:r w:rsidRPr="008D7635">
        <w:rPr>
          <w:rFonts w:ascii="Times New Roman" w:hAnsi="Times New Roman"/>
          <w:sz w:val="24"/>
          <w:szCs w:val="24"/>
          <w:lang w:val="en-US"/>
        </w:rPr>
        <w:t>are</w:t>
      </w:r>
      <w:proofErr w:type="gramEnd"/>
      <w:r w:rsidRPr="008D7635">
        <w:rPr>
          <w:rFonts w:ascii="Times New Roman" w:hAnsi="Times New Roman"/>
          <w:sz w:val="24"/>
          <w:szCs w:val="24"/>
          <w:lang w:val="en-US"/>
        </w:rPr>
        <w:t xml:space="preserve"> environmentally friendly, most of the time they seem so but finally they are not. In any case we start form the consideration that in the long term a certain level of environmental sustainability has to guarantee to preserve the environment.</w:t>
      </w:r>
    </w:p>
    <w:p w14:paraId="00AC534F" w14:textId="77777777" w:rsidR="000E191C"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lastRenderedPageBreak/>
        <w:t>The year considered is 2009, that is the most recent year for which t</w:t>
      </w:r>
      <w:r w:rsidR="00A11966" w:rsidRPr="008D7635">
        <w:rPr>
          <w:rFonts w:ascii="Times New Roman" w:hAnsi="Times New Roman"/>
          <w:sz w:val="24"/>
          <w:szCs w:val="24"/>
          <w:lang w:val="en-US"/>
        </w:rPr>
        <w:t>he largest quantity of data is</w:t>
      </w:r>
      <w:r w:rsidRPr="008D7635">
        <w:rPr>
          <w:rFonts w:ascii="Times New Roman" w:hAnsi="Times New Roman"/>
          <w:sz w:val="24"/>
          <w:szCs w:val="24"/>
          <w:lang w:val="en-US"/>
        </w:rPr>
        <w:t xml:space="preserve"> available</w:t>
      </w:r>
    </w:p>
    <w:p w14:paraId="6E04AB41" w14:textId="77777777" w:rsidR="000A5C83" w:rsidRPr="008D7635" w:rsidRDefault="000A5C83" w:rsidP="000E191C">
      <w:pPr>
        <w:spacing w:line="360" w:lineRule="auto"/>
        <w:rPr>
          <w:rFonts w:ascii="Times New Roman" w:hAnsi="Times New Roman"/>
          <w:b/>
          <w:sz w:val="24"/>
          <w:szCs w:val="24"/>
          <w:lang w:val="en-US"/>
        </w:rPr>
      </w:pPr>
    </w:p>
    <w:p w14:paraId="442AC73D" w14:textId="77777777" w:rsidR="000E191C" w:rsidRPr="008D7635" w:rsidRDefault="000E191C" w:rsidP="000E191C">
      <w:pPr>
        <w:spacing w:line="360" w:lineRule="auto"/>
        <w:rPr>
          <w:rFonts w:ascii="Times New Roman" w:hAnsi="Times New Roman"/>
          <w:b/>
          <w:sz w:val="24"/>
          <w:szCs w:val="24"/>
          <w:lang w:val="en-US"/>
        </w:rPr>
      </w:pPr>
      <w:r w:rsidRPr="008D7635">
        <w:rPr>
          <w:rFonts w:ascii="Times New Roman" w:hAnsi="Times New Roman"/>
          <w:b/>
          <w:sz w:val="24"/>
          <w:szCs w:val="24"/>
          <w:lang w:val="en-US"/>
        </w:rPr>
        <w:t xml:space="preserve">3. </w:t>
      </w:r>
      <w:r w:rsidRPr="008D7635">
        <w:rPr>
          <w:rFonts w:ascii="Times New Roman" w:hAnsi="Times New Roman"/>
          <w:b/>
          <w:sz w:val="24"/>
          <w:szCs w:val="24"/>
          <w:lang w:val="en-US"/>
        </w:rPr>
        <w:tab/>
        <w:t>Methodology</w:t>
      </w:r>
    </w:p>
    <w:p w14:paraId="382A4075" w14:textId="1B81267E" w:rsidR="000E191C" w:rsidRPr="008D7635" w:rsidRDefault="00B36B25"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As explained </w:t>
      </w:r>
      <w:r w:rsidR="002B5A59" w:rsidRPr="008D7635">
        <w:rPr>
          <w:rFonts w:ascii="Times New Roman" w:hAnsi="Times New Roman"/>
          <w:sz w:val="24"/>
          <w:szCs w:val="24"/>
          <w:lang w:val="en-US"/>
        </w:rPr>
        <w:t>earlier</w:t>
      </w:r>
      <w:r w:rsidRPr="008D7635">
        <w:rPr>
          <w:rFonts w:ascii="Times New Roman" w:hAnsi="Times New Roman"/>
          <w:sz w:val="24"/>
          <w:szCs w:val="24"/>
          <w:lang w:val="en-US"/>
        </w:rPr>
        <w:t xml:space="preserve">, the main objective of this paper is to provide an </w:t>
      </w:r>
      <w:r w:rsidR="000E191C" w:rsidRPr="008D7635">
        <w:rPr>
          <w:rFonts w:ascii="Times New Roman" w:hAnsi="Times New Roman"/>
          <w:sz w:val="24"/>
          <w:szCs w:val="24"/>
          <w:lang w:val="en-US"/>
        </w:rPr>
        <w:t>integrated</w:t>
      </w:r>
      <w:r w:rsidRPr="008D7635">
        <w:rPr>
          <w:rFonts w:ascii="Times New Roman" w:hAnsi="Times New Roman"/>
          <w:sz w:val="24"/>
          <w:szCs w:val="24"/>
          <w:lang w:val="en-US"/>
        </w:rPr>
        <w:t xml:space="preserve"> and non-compensatory description of well-being across European region</w:t>
      </w:r>
      <w:r w:rsidR="00A11966" w:rsidRPr="008D7635">
        <w:rPr>
          <w:rFonts w:ascii="Times New Roman" w:hAnsi="Times New Roman"/>
          <w:sz w:val="24"/>
          <w:szCs w:val="24"/>
          <w:lang w:val="en-US"/>
        </w:rPr>
        <w:t>s</w:t>
      </w:r>
      <w:r w:rsidRPr="008D7635">
        <w:rPr>
          <w:rFonts w:ascii="Times New Roman" w:hAnsi="Times New Roman"/>
          <w:sz w:val="24"/>
          <w:szCs w:val="24"/>
          <w:lang w:val="en-US"/>
        </w:rPr>
        <w:t xml:space="preserve">. In order to do that, </w:t>
      </w:r>
      <w:r w:rsidR="00694B4F" w:rsidRPr="008D7635">
        <w:rPr>
          <w:rFonts w:ascii="Times New Roman" w:hAnsi="Times New Roman"/>
          <w:sz w:val="24"/>
          <w:szCs w:val="24"/>
          <w:lang w:val="en-US"/>
        </w:rPr>
        <w:t xml:space="preserve">three </w:t>
      </w:r>
      <w:r w:rsidRPr="008D7635">
        <w:rPr>
          <w:rFonts w:ascii="Times New Roman" w:hAnsi="Times New Roman"/>
          <w:sz w:val="24"/>
          <w:szCs w:val="24"/>
          <w:lang w:val="en-US"/>
        </w:rPr>
        <w:t>ma</w:t>
      </w:r>
      <w:r w:rsidR="004555F5" w:rsidRPr="008D7635">
        <w:rPr>
          <w:rFonts w:ascii="Times New Roman" w:hAnsi="Times New Roman"/>
          <w:sz w:val="24"/>
          <w:szCs w:val="24"/>
          <w:lang w:val="en-US"/>
        </w:rPr>
        <w:t xml:space="preserve">in </w:t>
      </w:r>
      <w:proofErr w:type="gramStart"/>
      <w:r w:rsidR="004555F5" w:rsidRPr="008D7635">
        <w:rPr>
          <w:rFonts w:ascii="Times New Roman" w:hAnsi="Times New Roman"/>
          <w:sz w:val="24"/>
          <w:szCs w:val="24"/>
          <w:lang w:val="en-US"/>
        </w:rPr>
        <w:t>analysis</w:t>
      </w:r>
      <w:proofErr w:type="gramEnd"/>
      <w:r w:rsidR="004555F5" w:rsidRPr="008D7635">
        <w:rPr>
          <w:rFonts w:ascii="Times New Roman" w:hAnsi="Times New Roman"/>
          <w:sz w:val="24"/>
          <w:szCs w:val="24"/>
          <w:lang w:val="en-US"/>
        </w:rPr>
        <w:t xml:space="preserve"> have been performed</w:t>
      </w:r>
      <w:r w:rsidR="000E191C" w:rsidRPr="008D7635">
        <w:rPr>
          <w:rFonts w:ascii="Times New Roman" w:hAnsi="Times New Roman"/>
          <w:sz w:val="24"/>
          <w:szCs w:val="24"/>
          <w:lang w:val="en-US"/>
        </w:rPr>
        <w:t>:</w:t>
      </w:r>
    </w:p>
    <w:p w14:paraId="47F7A56A" w14:textId="5DBFA06B" w:rsidR="002D2246" w:rsidRPr="008D7635" w:rsidRDefault="000E191C" w:rsidP="002D2246">
      <w:pPr>
        <w:pStyle w:val="ListParagraph"/>
        <w:numPr>
          <w:ilvl w:val="0"/>
          <w:numId w:val="12"/>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According to a well-established technique in multi-criteria evaluation (</w:t>
      </w:r>
      <w:proofErr w:type="spellStart"/>
      <w:r w:rsidRPr="008D7635">
        <w:rPr>
          <w:rFonts w:ascii="Times New Roman" w:hAnsi="Times New Roman"/>
          <w:sz w:val="24"/>
          <w:szCs w:val="24"/>
          <w:lang w:val="en-US"/>
        </w:rPr>
        <w:t>Zeleny</w:t>
      </w:r>
      <w:proofErr w:type="spellEnd"/>
      <w:r w:rsidRPr="008D7635">
        <w:rPr>
          <w:rFonts w:ascii="Times New Roman" w:hAnsi="Times New Roman"/>
          <w:sz w:val="24"/>
          <w:szCs w:val="24"/>
          <w:lang w:val="en-US"/>
        </w:rPr>
        <w:t>, 1982</w:t>
      </w:r>
      <w:r w:rsidR="00625A7B" w:rsidRPr="008D7635">
        <w:rPr>
          <w:rFonts w:ascii="Times New Roman" w:hAnsi="Times New Roman"/>
          <w:sz w:val="24"/>
          <w:szCs w:val="24"/>
          <w:lang w:val="en-US"/>
        </w:rPr>
        <w:t>; Yu, 1985</w:t>
      </w:r>
      <w:r w:rsidRPr="008D7635">
        <w:rPr>
          <w:rFonts w:ascii="Times New Roman" w:hAnsi="Times New Roman"/>
          <w:sz w:val="24"/>
          <w:szCs w:val="24"/>
          <w:lang w:val="en-US"/>
        </w:rPr>
        <w:t xml:space="preserve">), the best values reached </w:t>
      </w:r>
      <w:r w:rsidR="004555F5" w:rsidRPr="008D7635">
        <w:rPr>
          <w:rFonts w:ascii="Times New Roman" w:hAnsi="Times New Roman"/>
          <w:sz w:val="24"/>
          <w:szCs w:val="24"/>
          <w:lang w:val="en-US"/>
        </w:rPr>
        <w:t>within the 266 EU regions in every</w:t>
      </w:r>
      <w:r w:rsidRPr="008D7635">
        <w:rPr>
          <w:rFonts w:ascii="Times New Roman" w:hAnsi="Times New Roman"/>
          <w:sz w:val="24"/>
          <w:szCs w:val="24"/>
          <w:lang w:val="en-US"/>
        </w:rPr>
        <w:t xml:space="preserve"> one of the 12 indicators considered in this study have been identified in order to get a set of reference values. These values have been used as an "ideal point" to compare the specific values performed in</w:t>
      </w:r>
      <w:r w:rsidR="000A5C83" w:rsidRPr="008D7635">
        <w:rPr>
          <w:rFonts w:ascii="Times New Roman" w:hAnsi="Times New Roman"/>
          <w:sz w:val="24"/>
          <w:szCs w:val="24"/>
          <w:lang w:val="en-US"/>
        </w:rPr>
        <w:t xml:space="preserve"> every</w:t>
      </w:r>
      <w:r w:rsidRPr="008D7635">
        <w:rPr>
          <w:rFonts w:ascii="Times New Roman" w:hAnsi="Times New Roman"/>
          <w:sz w:val="24"/>
          <w:szCs w:val="24"/>
          <w:lang w:val="en-US"/>
        </w:rPr>
        <w:t xml:space="preserve"> region and the best values performed across Europe. </w:t>
      </w:r>
      <w:r w:rsidR="002D2246" w:rsidRPr="008D7635">
        <w:rPr>
          <w:rFonts w:ascii="Times New Roman" w:hAnsi="Times New Roman"/>
          <w:sz w:val="24"/>
          <w:szCs w:val="24"/>
          <w:lang w:val="en-US"/>
        </w:rPr>
        <w:t xml:space="preserve">A detailed graphic-radar representation summarizing the distance between </w:t>
      </w:r>
      <w:r w:rsidR="002B5A59" w:rsidRPr="008D7635">
        <w:rPr>
          <w:rFonts w:ascii="Times New Roman" w:hAnsi="Times New Roman"/>
          <w:sz w:val="24"/>
          <w:szCs w:val="24"/>
          <w:lang w:val="en-US"/>
        </w:rPr>
        <w:t xml:space="preserve">all </w:t>
      </w:r>
      <w:r w:rsidR="002D2246" w:rsidRPr="008D7635">
        <w:rPr>
          <w:rFonts w:ascii="Times New Roman" w:hAnsi="Times New Roman"/>
          <w:sz w:val="24"/>
          <w:szCs w:val="24"/>
          <w:lang w:val="en-US"/>
        </w:rPr>
        <w:t xml:space="preserve">the considered indicators and the “ideal point” is available </w:t>
      </w:r>
      <w:r w:rsidR="004555F5" w:rsidRPr="008D7635">
        <w:rPr>
          <w:rFonts w:ascii="Times New Roman" w:hAnsi="Times New Roman"/>
          <w:sz w:val="24"/>
          <w:szCs w:val="24"/>
          <w:lang w:val="en-US"/>
        </w:rPr>
        <w:t xml:space="preserve">for </w:t>
      </w:r>
      <w:r w:rsidR="002B5A59" w:rsidRPr="008D7635">
        <w:rPr>
          <w:rFonts w:ascii="Times New Roman" w:hAnsi="Times New Roman"/>
          <w:sz w:val="24"/>
          <w:szCs w:val="24"/>
          <w:lang w:val="en-US"/>
        </w:rPr>
        <w:t>all</w:t>
      </w:r>
      <w:r w:rsidR="004555F5" w:rsidRPr="008D7635">
        <w:rPr>
          <w:rFonts w:ascii="Times New Roman" w:hAnsi="Times New Roman"/>
          <w:sz w:val="24"/>
          <w:szCs w:val="24"/>
          <w:lang w:val="en-US"/>
        </w:rPr>
        <w:t xml:space="preserve"> of the considered regions </w:t>
      </w:r>
      <w:r w:rsidR="002D2246" w:rsidRPr="008D7635">
        <w:rPr>
          <w:rFonts w:ascii="Times New Roman" w:hAnsi="Times New Roman"/>
          <w:sz w:val="24"/>
          <w:szCs w:val="24"/>
          <w:lang w:val="en-US"/>
        </w:rPr>
        <w:t xml:space="preserve">in </w:t>
      </w:r>
      <w:proofErr w:type="spellStart"/>
      <w:r w:rsidR="002D2246" w:rsidRPr="008D7635">
        <w:rPr>
          <w:rFonts w:ascii="Times New Roman" w:hAnsi="Times New Roman"/>
          <w:sz w:val="24"/>
          <w:szCs w:val="24"/>
          <w:lang w:val="en-US"/>
        </w:rPr>
        <w:t>Andreoni</w:t>
      </w:r>
      <w:proofErr w:type="spellEnd"/>
      <w:r w:rsidR="002D2246" w:rsidRPr="008D7635">
        <w:rPr>
          <w:rFonts w:ascii="Times New Roman" w:hAnsi="Times New Roman"/>
          <w:sz w:val="24"/>
          <w:szCs w:val="24"/>
          <w:lang w:val="en-US"/>
        </w:rPr>
        <w:t xml:space="preserve"> and </w:t>
      </w:r>
      <w:proofErr w:type="spellStart"/>
      <w:r w:rsidR="002D2246" w:rsidRPr="008D7635">
        <w:rPr>
          <w:rFonts w:ascii="Times New Roman" w:hAnsi="Times New Roman"/>
          <w:sz w:val="24"/>
          <w:szCs w:val="24"/>
          <w:lang w:val="en-US"/>
        </w:rPr>
        <w:t>Galmarini</w:t>
      </w:r>
      <w:proofErr w:type="spellEnd"/>
      <w:r w:rsidR="002D2246" w:rsidRPr="008D7635">
        <w:rPr>
          <w:rFonts w:ascii="Times New Roman" w:hAnsi="Times New Roman"/>
          <w:sz w:val="24"/>
          <w:szCs w:val="24"/>
          <w:lang w:val="en-US"/>
        </w:rPr>
        <w:t xml:space="preserve"> (2014)</w:t>
      </w:r>
      <w:r w:rsidR="004555F5" w:rsidRPr="008D7635">
        <w:rPr>
          <w:rFonts w:ascii="Times New Roman" w:hAnsi="Times New Roman"/>
          <w:sz w:val="24"/>
          <w:szCs w:val="24"/>
          <w:lang w:val="en-US"/>
        </w:rPr>
        <w:t xml:space="preserve">. The main objectives are: </w:t>
      </w:r>
      <w:r w:rsidR="004555F5" w:rsidRPr="008D7635">
        <w:rPr>
          <w:rFonts w:ascii="Times New Roman" w:hAnsi="Times New Roman"/>
          <w:i/>
          <w:sz w:val="24"/>
          <w:szCs w:val="24"/>
          <w:lang w:val="en-US"/>
        </w:rPr>
        <w:t xml:space="preserve">(i) </w:t>
      </w:r>
      <w:r w:rsidR="002D2246" w:rsidRPr="008D7635">
        <w:rPr>
          <w:rFonts w:ascii="Times New Roman" w:hAnsi="Times New Roman"/>
          <w:sz w:val="24"/>
          <w:szCs w:val="24"/>
          <w:lang w:val="en-US"/>
        </w:rPr>
        <w:t>to identify the best performance that could be hypothetically reach</w:t>
      </w:r>
      <w:r w:rsidR="004555F5" w:rsidRPr="008D7635">
        <w:rPr>
          <w:rFonts w:ascii="Times New Roman" w:hAnsi="Times New Roman"/>
          <w:sz w:val="24"/>
          <w:szCs w:val="24"/>
          <w:lang w:val="en-US"/>
        </w:rPr>
        <w:t xml:space="preserve">ed by every European region; </w:t>
      </w:r>
      <w:r w:rsidR="004555F5" w:rsidRPr="008D7635">
        <w:rPr>
          <w:rFonts w:ascii="Times New Roman" w:hAnsi="Times New Roman"/>
          <w:i/>
          <w:sz w:val="24"/>
          <w:szCs w:val="24"/>
          <w:lang w:val="en-US"/>
        </w:rPr>
        <w:t xml:space="preserve">(ii) </w:t>
      </w:r>
      <w:r w:rsidR="002D2246" w:rsidRPr="008D7635">
        <w:rPr>
          <w:rFonts w:ascii="Times New Roman" w:hAnsi="Times New Roman"/>
          <w:sz w:val="24"/>
          <w:szCs w:val="24"/>
          <w:lang w:val="en-US"/>
        </w:rPr>
        <w:t xml:space="preserve">to identify the number and the type of indicators that needs to be improved. A sum of the main results is reported in the following section. </w:t>
      </w:r>
    </w:p>
    <w:p w14:paraId="0291B658" w14:textId="77777777" w:rsidR="002D2246" w:rsidRPr="008D7635" w:rsidRDefault="002D2246" w:rsidP="002D2246">
      <w:pPr>
        <w:pStyle w:val="ListParagraph"/>
        <w:spacing w:line="360" w:lineRule="auto"/>
        <w:jc w:val="both"/>
        <w:rPr>
          <w:rFonts w:ascii="Times New Roman" w:hAnsi="Times New Roman"/>
          <w:sz w:val="24"/>
          <w:szCs w:val="24"/>
          <w:lang w:val="en-US"/>
        </w:rPr>
      </w:pPr>
    </w:p>
    <w:p w14:paraId="2B0CF17D" w14:textId="1B7A20AF" w:rsidR="000E191C" w:rsidRPr="008D7635" w:rsidRDefault="000E191C" w:rsidP="002D2246">
      <w:pPr>
        <w:pStyle w:val="ListParagraph"/>
        <w:numPr>
          <w:ilvl w:val="0"/>
          <w:numId w:val="12"/>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For each one of the 12 indicators, the average European value has been calculated. The main objective is to have a term of reference to identify for which and for how many indicators every region is performing over, below or equally </w:t>
      </w:r>
      <w:r w:rsidR="002B5A59" w:rsidRPr="008D7635">
        <w:rPr>
          <w:rFonts w:ascii="Times New Roman" w:hAnsi="Times New Roman"/>
          <w:sz w:val="24"/>
          <w:szCs w:val="24"/>
          <w:lang w:val="en-US"/>
        </w:rPr>
        <w:t xml:space="preserve">to </w:t>
      </w:r>
      <w:r w:rsidRPr="008D7635">
        <w:rPr>
          <w:rFonts w:ascii="Times New Roman" w:hAnsi="Times New Roman"/>
          <w:sz w:val="24"/>
          <w:szCs w:val="24"/>
          <w:lang w:val="en-US"/>
        </w:rPr>
        <w:t xml:space="preserve">the average European level. These data have been used </w:t>
      </w:r>
      <w:r w:rsidR="002B5A59" w:rsidRPr="008D7635">
        <w:rPr>
          <w:rFonts w:ascii="Times New Roman" w:hAnsi="Times New Roman"/>
          <w:sz w:val="24"/>
          <w:szCs w:val="24"/>
          <w:lang w:val="en-US"/>
        </w:rPr>
        <w:t xml:space="preserve">subsequently </w:t>
      </w:r>
      <w:r w:rsidRPr="008D7635">
        <w:rPr>
          <w:rFonts w:ascii="Times New Roman" w:hAnsi="Times New Roman"/>
          <w:sz w:val="24"/>
          <w:szCs w:val="24"/>
          <w:lang w:val="en-US"/>
        </w:rPr>
        <w:t xml:space="preserve">to elaborate </w:t>
      </w:r>
      <w:r w:rsidR="00A11966" w:rsidRPr="008D7635">
        <w:rPr>
          <w:rFonts w:ascii="Times New Roman" w:hAnsi="Times New Roman"/>
          <w:sz w:val="24"/>
          <w:szCs w:val="24"/>
          <w:lang w:val="en-US"/>
        </w:rPr>
        <w:t xml:space="preserve">a </w:t>
      </w:r>
      <w:r w:rsidRPr="008D7635">
        <w:rPr>
          <w:rFonts w:ascii="Times New Roman" w:hAnsi="Times New Roman"/>
          <w:sz w:val="24"/>
          <w:szCs w:val="24"/>
          <w:lang w:val="en-US"/>
        </w:rPr>
        <w:t>map summarizing well-being across European regions</w:t>
      </w:r>
      <w:r w:rsidR="00A11966" w:rsidRPr="008D7635">
        <w:rPr>
          <w:rFonts w:ascii="Times New Roman" w:hAnsi="Times New Roman"/>
          <w:sz w:val="24"/>
          <w:szCs w:val="24"/>
          <w:lang w:val="en-US"/>
        </w:rPr>
        <w:t>, as</w:t>
      </w:r>
      <w:r w:rsidRPr="008D7635">
        <w:rPr>
          <w:rFonts w:ascii="Times New Roman" w:hAnsi="Times New Roman"/>
          <w:sz w:val="24"/>
          <w:szCs w:val="24"/>
          <w:lang w:val="en-US"/>
        </w:rPr>
        <w:t xml:space="preserve"> reported in figure 1.</w:t>
      </w:r>
    </w:p>
    <w:p w14:paraId="2A98FFA3" w14:textId="77777777" w:rsidR="00715C69" w:rsidRPr="008D7635" w:rsidRDefault="00715C69" w:rsidP="00715C69">
      <w:pPr>
        <w:pStyle w:val="ListParagraph"/>
        <w:spacing w:line="360" w:lineRule="auto"/>
        <w:jc w:val="both"/>
        <w:rPr>
          <w:rFonts w:ascii="Times New Roman" w:hAnsi="Times New Roman"/>
          <w:sz w:val="24"/>
          <w:szCs w:val="24"/>
          <w:lang w:val="en-US"/>
        </w:rPr>
      </w:pPr>
    </w:p>
    <w:p w14:paraId="4A93D5AC" w14:textId="37449E0F" w:rsidR="000E191C" w:rsidRPr="008D7635" w:rsidRDefault="000E191C" w:rsidP="00B314A6">
      <w:pPr>
        <w:pStyle w:val="ListParagraph"/>
        <w:numPr>
          <w:ilvl w:val="0"/>
          <w:numId w:val="10"/>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A </w:t>
      </w:r>
      <w:proofErr w:type="spellStart"/>
      <w:r w:rsidRPr="008D7635">
        <w:rPr>
          <w:rFonts w:ascii="Times New Roman" w:hAnsi="Times New Roman"/>
          <w:sz w:val="24"/>
          <w:szCs w:val="24"/>
          <w:lang w:val="en-US"/>
        </w:rPr>
        <w:t>Gini</w:t>
      </w:r>
      <w:proofErr w:type="spellEnd"/>
      <w:r w:rsidRPr="008D7635">
        <w:rPr>
          <w:rFonts w:ascii="Times New Roman" w:hAnsi="Times New Roman"/>
          <w:sz w:val="24"/>
          <w:szCs w:val="24"/>
          <w:lang w:val="en-US"/>
        </w:rPr>
        <w:t xml:space="preserve"> coefficient has been calculated in order to identify the indicators </w:t>
      </w:r>
      <w:r w:rsidR="002B5A59" w:rsidRPr="008D7635">
        <w:rPr>
          <w:rFonts w:ascii="Times New Roman" w:hAnsi="Times New Roman"/>
          <w:sz w:val="24"/>
          <w:szCs w:val="24"/>
          <w:lang w:val="en-US"/>
        </w:rPr>
        <w:t xml:space="preserve">that show </w:t>
      </w:r>
      <w:r w:rsidRPr="008D7635">
        <w:rPr>
          <w:rFonts w:ascii="Times New Roman" w:hAnsi="Times New Roman"/>
          <w:sz w:val="24"/>
          <w:szCs w:val="24"/>
          <w:lang w:val="en-US"/>
        </w:rPr>
        <w:t xml:space="preserve">the largest inequalities across Europe. The formula used is that proposed by Angus Deaton (1997): </w:t>
      </w:r>
    </w:p>
    <w:p w14:paraId="24790FF0" w14:textId="77777777" w:rsidR="000E191C" w:rsidRPr="008D7635" w:rsidRDefault="000E191C" w:rsidP="000E191C">
      <w:pPr>
        <w:spacing w:line="360" w:lineRule="auto"/>
        <w:ind w:left="720"/>
        <w:contextualSpacing/>
        <w:jc w:val="both"/>
        <w:rPr>
          <w:rFonts w:ascii="Times New Roman" w:hAnsi="Times New Roman"/>
          <w:sz w:val="24"/>
          <w:szCs w:val="24"/>
          <w:lang w:val="en-US"/>
        </w:rPr>
      </w:pPr>
    </w:p>
    <w:p w14:paraId="5365259B" w14:textId="77777777" w:rsidR="000E191C" w:rsidRPr="008D7635" w:rsidRDefault="000E191C" w:rsidP="000E191C">
      <w:pPr>
        <w:spacing w:line="360" w:lineRule="auto"/>
        <w:ind w:left="720"/>
        <w:contextualSpacing/>
        <w:jc w:val="both"/>
        <w:rPr>
          <w:rFonts w:ascii="Times New Roman" w:hAnsi="Times New Roman"/>
          <w:sz w:val="24"/>
          <w:szCs w:val="24"/>
          <w:lang w:val="en-US"/>
        </w:rPr>
      </w:pPr>
      <w:r w:rsidRPr="008D7635">
        <w:rPr>
          <w:rFonts w:ascii="Times New Roman" w:hAnsi="Times New Roman"/>
          <w:noProof/>
          <w:sz w:val="24"/>
          <w:szCs w:val="24"/>
          <w:lang w:eastAsia="en-GB"/>
        </w:rPr>
        <w:drawing>
          <wp:inline distT="0" distB="0" distL="0" distR="0" wp14:anchorId="144FA75D" wp14:editId="4ED463B1">
            <wp:extent cx="3021330" cy="438785"/>
            <wp:effectExtent l="0" t="0" r="7620" b="0"/>
            <wp:docPr id="1" name="Picture 1" descr="G = \frac{N+1}{N-1}-\frac{2}{N(N-1)u}(\Sigma_{i=1}^n \; P_iX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 = \frac{N+1}{N-1}-\frac{2}{N(N-1)u}(\Sigma_{i=1}^n \; P_iX_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1330" cy="438785"/>
                    </a:xfrm>
                    <a:prstGeom prst="rect">
                      <a:avLst/>
                    </a:prstGeom>
                    <a:noFill/>
                    <a:ln>
                      <a:noFill/>
                    </a:ln>
                  </pic:spPr>
                </pic:pic>
              </a:graphicData>
            </a:graphic>
          </wp:inline>
        </w:drawing>
      </w:r>
    </w:p>
    <w:p w14:paraId="6A6086B8" w14:textId="77777777" w:rsidR="000E191C" w:rsidRPr="008D7635" w:rsidRDefault="000E191C" w:rsidP="000E191C">
      <w:pPr>
        <w:spacing w:line="360" w:lineRule="auto"/>
        <w:jc w:val="both"/>
        <w:rPr>
          <w:rFonts w:ascii="Times New Roman" w:hAnsi="Times New Roman"/>
          <w:sz w:val="24"/>
          <w:szCs w:val="24"/>
          <w:lang w:val="en-US"/>
        </w:rPr>
      </w:pPr>
    </w:p>
    <w:p w14:paraId="141D31C4" w14:textId="431842E2" w:rsidR="000E191C" w:rsidRPr="008D7635" w:rsidRDefault="000E191C" w:rsidP="000E191C">
      <w:pPr>
        <w:spacing w:line="360" w:lineRule="auto"/>
        <w:ind w:left="709"/>
        <w:jc w:val="both"/>
        <w:rPr>
          <w:rFonts w:ascii="Times New Roman" w:hAnsi="Times New Roman"/>
          <w:sz w:val="24"/>
          <w:szCs w:val="24"/>
        </w:rPr>
      </w:pPr>
      <w:r w:rsidRPr="008D7635">
        <w:rPr>
          <w:rFonts w:ascii="Times New Roman" w:hAnsi="Times New Roman"/>
          <w:sz w:val="24"/>
          <w:szCs w:val="24"/>
          <w:lang w:val="en-US"/>
        </w:rPr>
        <w:t xml:space="preserve">After having ranked the different regions based on decreasing values of the considered indicator, the </w:t>
      </w:r>
      <w:proofErr w:type="spellStart"/>
      <w:r w:rsidRPr="008D7635">
        <w:rPr>
          <w:rFonts w:ascii="Times New Roman" w:hAnsi="Times New Roman"/>
          <w:sz w:val="24"/>
          <w:szCs w:val="24"/>
          <w:lang w:val="en-US"/>
        </w:rPr>
        <w:t>Gini</w:t>
      </w:r>
      <w:proofErr w:type="spellEnd"/>
      <w:r w:rsidRPr="008D7635">
        <w:rPr>
          <w:rFonts w:ascii="Times New Roman" w:hAnsi="Times New Roman"/>
          <w:sz w:val="24"/>
          <w:szCs w:val="24"/>
          <w:lang w:val="en-US"/>
        </w:rPr>
        <w:t xml:space="preserve"> coefficient has been calculated by considering that </w:t>
      </w:r>
      <w:r w:rsidRPr="008D7635">
        <w:rPr>
          <w:rFonts w:ascii="Times New Roman" w:hAnsi="Times New Roman"/>
          <w:i/>
          <w:sz w:val="24"/>
          <w:szCs w:val="24"/>
          <w:lang w:val="en-US"/>
        </w:rPr>
        <w:t>u</w:t>
      </w:r>
      <w:r w:rsidRPr="008D7635">
        <w:rPr>
          <w:rFonts w:ascii="Times New Roman" w:hAnsi="Times New Roman"/>
          <w:sz w:val="24"/>
          <w:szCs w:val="24"/>
          <w:lang w:val="en-US"/>
        </w:rPr>
        <w:t xml:space="preserve"> is the average European value </w:t>
      </w:r>
      <w:r w:rsidR="000E7945" w:rsidRPr="008D7635">
        <w:rPr>
          <w:rFonts w:ascii="Times New Roman" w:hAnsi="Times New Roman"/>
          <w:sz w:val="24"/>
          <w:szCs w:val="24"/>
          <w:lang w:val="en-US"/>
        </w:rPr>
        <w:t>of the</w:t>
      </w:r>
      <w:r w:rsidRPr="008D7635">
        <w:rPr>
          <w:rFonts w:ascii="Times New Roman" w:hAnsi="Times New Roman"/>
          <w:sz w:val="24"/>
          <w:szCs w:val="24"/>
          <w:lang w:val="en-US"/>
        </w:rPr>
        <w:t xml:space="preserve"> considered indicator and </w:t>
      </w:r>
      <w:r w:rsidRPr="008D7635">
        <w:rPr>
          <w:rFonts w:ascii="Times New Roman" w:hAnsi="Times New Roman"/>
          <w:i/>
          <w:sz w:val="24"/>
          <w:szCs w:val="24"/>
          <w:lang w:val="en-US"/>
        </w:rPr>
        <w:t>P</w:t>
      </w:r>
      <w:r w:rsidRPr="008D7635">
        <w:rPr>
          <w:rFonts w:ascii="Times New Roman" w:hAnsi="Times New Roman"/>
          <w:i/>
          <w:sz w:val="24"/>
          <w:szCs w:val="24"/>
          <w:vertAlign w:val="subscript"/>
          <w:lang w:val="en-US"/>
        </w:rPr>
        <w:t>i</w:t>
      </w:r>
      <w:r w:rsidRPr="008D7635">
        <w:rPr>
          <w:rFonts w:ascii="Times New Roman" w:hAnsi="Times New Roman"/>
          <w:sz w:val="24"/>
          <w:szCs w:val="24"/>
          <w:vertAlign w:val="subscript"/>
          <w:lang w:val="en-US"/>
        </w:rPr>
        <w:t xml:space="preserve"> </w:t>
      </w:r>
      <w:r w:rsidRPr="008D7635">
        <w:rPr>
          <w:rFonts w:ascii="Times New Roman" w:hAnsi="Times New Roman"/>
          <w:sz w:val="24"/>
          <w:szCs w:val="24"/>
          <w:lang w:val="en-US"/>
        </w:rPr>
        <w:t xml:space="preserve">is the value </w:t>
      </w:r>
      <w:r w:rsidR="002B5A59" w:rsidRPr="008D7635">
        <w:rPr>
          <w:rFonts w:ascii="Times New Roman" w:hAnsi="Times New Roman"/>
          <w:sz w:val="24"/>
          <w:szCs w:val="24"/>
          <w:lang w:val="en-US"/>
        </w:rPr>
        <w:t xml:space="preserve">obtained for </w:t>
      </w:r>
      <w:r w:rsidRPr="008D7635">
        <w:rPr>
          <w:rFonts w:ascii="Times New Roman" w:hAnsi="Times New Roman"/>
          <w:sz w:val="24"/>
          <w:szCs w:val="24"/>
          <w:lang w:val="en-US"/>
        </w:rPr>
        <w:t xml:space="preserve">the indicator of region </w:t>
      </w:r>
      <w:r w:rsidRPr="008D7635">
        <w:rPr>
          <w:rFonts w:ascii="Times New Roman" w:hAnsi="Times New Roman"/>
          <w:i/>
          <w:sz w:val="24"/>
          <w:szCs w:val="24"/>
          <w:lang w:val="en-US"/>
        </w:rPr>
        <w:t>i</w:t>
      </w:r>
      <w:r w:rsidRPr="008D7635">
        <w:rPr>
          <w:rFonts w:ascii="Times New Roman" w:hAnsi="Times New Roman"/>
          <w:sz w:val="24"/>
          <w:szCs w:val="24"/>
          <w:lang w:val="en-US"/>
        </w:rPr>
        <w:t xml:space="preserve"> that occupies position </w:t>
      </w:r>
      <w:r w:rsidRPr="008D7635">
        <w:rPr>
          <w:rFonts w:ascii="Times New Roman" w:hAnsi="Times New Roman"/>
          <w:i/>
          <w:sz w:val="24"/>
          <w:szCs w:val="24"/>
          <w:lang w:val="en-US"/>
        </w:rPr>
        <w:t>P</w:t>
      </w:r>
      <w:r w:rsidRPr="008D7635">
        <w:rPr>
          <w:rFonts w:ascii="Times New Roman" w:hAnsi="Times New Roman"/>
          <w:sz w:val="24"/>
          <w:szCs w:val="24"/>
          <w:lang w:val="en-US"/>
        </w:rPr>
        <w:t xml:space="preserve"> in the ranking.</w:t>
      </w:r>
      <w:r w:rsidRPr="008D7635">
        <w:rPr>
          <w:rFonts w:ascii="Times New Roman" w:hAnsi="Times New Roman"/>
          <w:sz w:val="24"/>
          <w:szCs w:val="24"/>
        </w:rPr>
        <w:t xml:space="preserve"> The </w:t>
      </w:r>
      <w:proofErr w:type="spellStart"/>
      <w:r w:rsidRPr="008D7635">
        <w:rPr>
          <w:rFonts w:ascii="Times New Roman" w:hAnsi="Times New Roman"/>
          <w:sz w:val="24"/>
          <w:szCs w:val="24"/>
        </w:rPr>
        <w:t>Gini</w:t>
      </w:r>
      <w:proofErr w:type="spellEnd"/>
      <w:r w:rsidRPr="008D7635">
        <w:rPr>
          <w:rFonts w:ascii="Times New Roman" w:hAnsi="Times New Roman"/>
          <w:sz w:val="24"/>
          <w:szCs w:val="24"/>
        </w:rPr>
        <w:t xml:space="preserve"> coefficient is used in this study to identify for which indicators the largest discrepancies across European regions exist.</w:t>
      </w:r>
    </w:p>
    <w:p w14:paraId="3F0AD56A" w14:textId="77777777" w:rsidR="000E191C" w:rsidRPr="008D7635" w:rsidRDefault="004555F5" w:rsidP="004555F5">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An integrated analysis of the results provided by the three </w:t>
      </w:r>
      <w:r w:rsidR="0006388E" w:rsidRPr="008D7635">
        <w:rPr>
          <w:rFonts w:ascii="Times New Roman" w:hAnsi="Times New Roman"/>
          <w:sz w:val="24"/>
          <w:szCs w:val="24"/>
          <w:lang w:val="en-US"/>
        </w:rPr>
        <w:t>studies</w:t>
      </w:r>
      <w:r w:rsidRPr="008D7635">
        <w:rPr>
          <w:rFonts w:ascii="Times New Roman" w:hAnsi="Times New Roman"/>
          <w:sz w:val="24"/>
          <w:szCs w:val="24"/>
          <w:lang w:val="en-US"/>
        </w:rPr>
        <w:t xml:space="preserve"> performed in this paper is able to provide both an overview of the well-being distribution as well as a detailed picture of the existing differences between regions and indicators.</w:t>
      </w:r>
    </w:p>
    <w:p w14:paraId="1DAA199A" w14:textId="77777777" w:rsidR="004555F5" w:rsidRPr="008D7635" w:rsidRDefault="004555F5" w:rsidP="004555F5">
      <w:pPr>
        <w:spacing w:line="360" w:lineRule="auto"/>
        <w:jc w:val="both"/>
        <w:rPr>
          <w:rFonts w:ascii="Times New Roman" w:hAnsi="Times New Roman"/>
          <w:b/>
          <w:sz w:val="24"/>
          <w:szCs w:val="24"/>
          <w:lang w:val="en-US"/>
        </w:rPr>
      </w:pPr>
    </w:p>
    <w:p w14:paraId="21A4F779" w14:textId="77777777" w:rsidR="000E191C" w:rsidRPr="008D7635" w:rsidRDefault="000E191C" w:rsidP="000E191C">
      <w:pPr>
        <w:spacing w:line="360" w:lineRule="auto"/>
        <w:rPr>
          <w:rFonts w:ascii="Times New Roman" w:hAnsi="Times New Roman"/>
          <w:b/>
          <w:sz w:val="24"/>
          <w:szCs w:val="24"/>
          <w:lang w:val="en-US"/>
        </w:rPr>
      </w:pPr>
      <w:r w:rsidRPr="008D7635">
        <w:rPr>
          <w:rFonts w:ascii="Times New Roman" w:hAnsi="Times New Roman"/>
          <w:b/>
          <w:sz w:val="24"/>
          <w:szCs w:val="24"/>
          <w:lang w:val="en-US"/>
        </w:rPr>
        <w:t xml:space="preserve">4. </w:t>
      </w:r>
      <w:r w:rsidRPr="008D7635">
        <w:rPr>
          <w:rFonts w:ascii="Times New Roman" w:hAnsi="Times New Roman"/>
          <w:b/>
          <w:sz w:val="24"/>
          <w:szCs w:val="24"/>
          <w:lang w:val="en-US"/>
        </w:rPr>
        <w:tab/>
        <w:t>Results</w:t>
      </w:r>
    </w:p>
    <w:p w14:paraId="50B69E38" w14:textId="77777777" w:rsidR="000E191C" w:rsidRPr="008D7635" w:rsidRDefault="000E191C" w:rsidP="000E191C">
      <w:pPr>
        <w:spacing w:line="360" w:lineRule="auto"/>
        <w:rPr>
          <w:rFonts w:ascii="Times New Roman" w:hAnsi="Times New Roman"/>
          <w:b/>
          <w:i/>
          <w:sz w:val="24"/>
          <w:szCs w:val="24"/>
          <w:lang w:val="en-US"/>
        </w:rPr>
      </w:pPr>
      <w:r w:rsidRPr="008D7635">
        <w:rPr>
          <w:rFonts w:ascii="Times New Roman" w:hAnsi="Times New Roman"/>
          <w:b/>
          <w:i/>
          <w:sz w:val="24"/>
          <w:szCs w:val="24"/>
          <w:lang w:val="en-US"/>
        </w:rPr>
        <w:t xml:space="preserve">4.1 </w:t>
      </w:r>
      <w:r w:rsidRPr="008D7635">
        <w:rPr>
          <w:rFonts w:ascii="Times New Roman" w:hAnsi="Times New Roman"/>
          <w:b/>
          <w:i/>
          <w:sz w:val="24"/>
          <w:szCs w:val="24"/>
          <w:lang w:val="en-US"/>
        </w:rPr>
        <w:tab/>
        <w:t>Regional values v/ European best performances</w:t>
      </w:r>
    </w:p>
    <w:p w14:paraId="08E0AC34" w14:textId="77777777" w:rsidR="000E191C"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The results of “ideal point” technique</w:t>
      </w:r>
      <w:r w:rsidR="00A11966" w:rsidRPr="008D7635">
        <w:rPr>
          <w:rFonts w:ascii="Times New Roman" w:hAnsi="Times New Roman"/>
          <w:sz w:val="24"/>
          <w:szCs w:val="24"/>
          <w:lang w:val="en-US"/>
        </w:rPr>
        <w:t>,</w:t>
      </w:r>
      <w:r w:rsidRPr="008D7635">
        <w:rPr>
          <w:rFonts w:ascii="Times New Roman" w:hAnsi="Times New Roman"/>
          <w:sz w:val="24"/>
          <w:szCs w:val="24"/>
          <w:lang w:val="en-US"/>
        </w:rPr>
        <w:t xml:space="preserve"> used in this paper to compare the values performed by every European region and the best values performed across EU</w:t>
      </w:r>
      <w:r w:rsidR="00A11966" w:rsidRPr="008D7635">
        <w:rPr>
          <w:rFonts w:ascii="Times New Roman" w:hAnsi="Times New Roman"/>
          <w:sz w:val="24"/>
          <w:szCs w:val="24"/>
          <w:lang w:val="en-US"/>
        </w:rPr>
        <w:t>, show</w:t>
      </w:r>
      <w:r w:rsidRPr="008D7635">
        <w:rPr>
          <w:rFonts w:ascii="Times New Roman" w:hAnsi="Times New Roman"/>
          <w:sz w:val="24"/>
          <w:szCs w:val="24"/>
          <w:lang w:val="en-US"/>
        </w:rPr>
        <w:t xml:space="preserve"> that: </w:t>
      </w:r>
    </w:p>
    <w:p w14:paraId="2E3B02E9" w14:textId="688C3BF1"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best GDP performances </w:t>
      </w:r>
      <w:r w:rsidR="002B5A59" w:rsidRPr="008D7635">
        <w:rPr>
          <w:rFonts w:ascii="Times New Roman" w:hAnsi="Times New Roman"/>
          <w:sz w:val="24"/>
          <w:szCs w:val="24"/>
          <w:lang w:val="en-US"/>
        </w:rPr>
        <w:t xml:space="preserve">pertain to </w:t>
      </w:r>
      <w:r w:rsidRPr="008D7635">
        <w:rPr>
          <w:rFonts w:ascii="Times New Roman" w:hAnsi="Times New Roman"/>
          <w:sz w:val="24"/>
          <w:szCs w:val="24"/>
          <w:lang w:val="en-US"/>
        </w:rPr>
        <w:t xml:space="preserve">regions hosting some of the most important EU capitals (the Inner London region, Luxembourg, Ile-de-France, Stockholm, </w:t>
      </w:r>
      <w:proofErr w:type="spellStart"/>
      <w:r w:rsidRPr="008D7635">
        <w:rPr>
          <w:rFonts w:ascii="Times New Roman" w:hAnsi="Times New Roman"/>
          <w:sz w:val="24"/>
          <w:szCs w:val="24"/>
          <w:lang w:val="en-US"/>
        </w:rPr>
        <w:t>Hovedstaten</w:t>
      </w:r>
      <w:proofErr w:type="spellEnd"/>
      <w:r w:rsidRPr="008D7635">
        <w:rPr>
          <w:rFonts w:ascii="Times New Roman" w:hAnsi="Times New Roman"/>
          <w:sz w:val="24"/>
          <w:szCs w:val="24"/>
          <w:lang w:val="en-US"/>
        </w:rPr>
        <w:t xml:space="preserve"> and the Aland region). The </w:t>
      </w:r>
      <w:proofErr w:type="spellStart"/>
      <w:r w:rsidRPr="008D7635">
        <w:rPr>
          <w:rFonts w:ascii="Times New Roman" w:hAnsi="Times New Roman"/>
          <w:sz w:val="24"/>
          <w:szCs w:val="24"/>
          <w:lang w:val="en-US"/>
        </w:rPr>
        <w:t>Hovedstaten</w:t>
      </w:r>
      <w:proofErr w:type="spellEnd"/>
      <w:r w:rsidRPr="008D7635">
        <w:rPr>
          <w:rFonts w:ascii="Times New Roman" w:hAnsi="Times New Roman"/>
          <w:sz w:val="24"/>
          <w:szCs w:val="24"/>
          <w:lang w:val="en-US"/>
        </w:rPr>
        <w:t xml:space="preserve"> region, together with the German regions of </w:t>
      </w:r>
      <w:proofErr w:type="spellStart"/>
      <w:r w:rsidRPr="008D7635">
        <w:rPr>
          <w:rFonts w:ascii="Times New Roman" w:hAnsi="Times New Roman"/>
          <w:sz w:val="24"/>
          <w:szCs w:val="24"/>
          <w:lang w:val="en-US"/>
        </w:rPr>
        <w:t>Oberbayern</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Stuttgard</w:t>
      </w:r>
      <w:proofErr w:type="spellEnd"/>
      <w:r w:rsidRPr="008D7635">
        <w:rPr>
          <w:rFonts w:ascii="Times New Roman" w:hAnsi="Times New Roman"/>
          <w:sz w:val="24"/>
          <w:szCs w:val="24"/>
          <w:lang w:val="en-US"/>
        </w:rPr>
        <w:t xml:space="preserve"> and </w:t>
      </w:r>
      <w:proofErr w:type="spellStart"/>
      <w:r w:rsidRPr="008D7635">
        <w:rPr>
          <w:rFonts w:ascii="Times New Roman" w:hAnsi="Times New Roman"/>
          <w:sz w:val="24"/>
          <w:szCs w:val="24"/>
          <w:lang w:val="en-US"/>
        </w:rPr>
        <w:t>Braunschweig</w:t>
      </w:r>
      <w:proofErr w:type="spellEnd"/>
      <w:r w:rsidRPr="008D7635">
        <w:rPr>
          <w:rFonts w:ascii="Times New Roman" w:hAnsi="Times New Roman"/>
          <w:sz w:val="24"/>
          <w:szCs w:val="24"/>
          <w:lang w:val="en-US"/>
        </w:rPr>
        <w:t xml:space="preserve"> are also the area with the higher level of R&amp;D expenditures, followed by the Scandinavian regions of Stockholm and </w:t>
      </w:r>
      <w:proofErr w:type="spellStart"/>
      <w:r w:rsidRPr="008D7635">
        <w:rPr>
          <w:rFonts w:ascii="Times New Roman" w:hAnsi="Times New Roman"/>
          <w:sz w:val="24"/>
          <w:szCs w:val="24"/>
          <w:lang w:val="en-US"/>
        </w:rPr>
        <w:t>Pohjois-Suomi</w:t>
      </w:r>
      <w:proofErr w:type="spellEnd"/>
      <w:r w:rsidR="00715C69" w:rsidRPr="008D7635">
        <w:rPr>
          <w:rFonts w:ascii="Times New Roman" w:hAnsi="Times New Roman"/>
          <w:sz w:val="24"/>
          <w:szCs w:val="24"/>
          <w:lang w:val="en-US"/>
        </w:rPr>
        <w:t>.</w:t>
      </w:r>
      <w:r w:rsidRPr="008D7635">
        <w:rPr>
          <w:rFonts w:ascii="Times New Roman" w:hAnsi="Times New Roman"/>
          <w:sz w:val="24"/>
          <w:szCs w:val="24"/>
          <w:lang w:val="en-US"/>
        </w:rPr>
        <w:t xml:space="preserve">  In terms of long term unemployment rate the better values are </w:t>
      </w:r>
      <w:r w:rsidR="002B5A59" w:rsidRPr="008D7635">
        <w:rPr>
          <w:rFonts w:ascii="Times New Roman" w:hAnsi="Times New Roman"/>
          <w:sz w:val="24"/>
          <w:szCs w:val="24"/>
          <w:lang w:val="en-US"/>
        </w:rPr>
        <w:t xml:space="preserve">found </w:t>
      </w:r>
      <w:r w:rsidRPr="008D7635">
        <w:rPr>
          <w:rFonts w:ascii="Times New Roman" w:hAnsi="Times New Roman"/>
          <w:sz w:val="24"/>
          <w:szCs w:val="24"/>
          <w:lang w:val="en-US"/>
        </w:rPr>
        <w:t xml:space="preserve">in the Austrian </w:t>
      </w:r>
      <w:r w:rsidR="002B5A59" w:rsidRPr="008D7635">
        <w:rPr>
          <w:rFonts w:ascii="Times New Roman" w:hAnsi="Times New Roman"/>
          <w:sz w:val="24"/>
          <w:szCs w:val="24"/>
          <w:lang w:val="en-US"/>
        </w:rPr>
        <w:t xml:space="preserve">of Salzburg and the Tirol also shared with Italy </w:t>
      </w:r>
      <w:r w:rsidRPr="008D7635">
        <w:rPr>
          <w:rFonts w:ascii="Times New Roman" w:hAnsi="Times New Roman"/>
          <w:sz w:val="24"/>
          <w:szCs w:val="24"/>
          <w:lang w:val="en-US"/>
        </w:rPr>
        <w:t xml:space="preserve"> and </w:t>
      </w:r>
      <w:proofErr w:type="spellStart"/>
      <w:r w:rsidRPr="008D7635">
        <w:rPr>
          <w:rFonts w:ascii="Times New Roman" w:hAnsi="Times New Roman"/>
          <w:sz w:val="24"/>
          <w:szCs w:val="24"/>
          <w:lang w:val="en-US"/>
        </w:rPr>
        <w:t>and</w:t>
      </w:r>
      <w:proofErr w:type="spellEnd"/>
      <w:r w:rsidRPr="008D7635">
        <w:rPr>
          <w:rFonts w:ascii="Times New Roman" w:hAnsi="Times New Roman"/>
          <w:sz w:val="24"/>
          <w:szCs w:val="24"/>
          <w:lang w:val="en-US"/>
        </w:rPr>
        <w:t xml:space="preserve"> in Denmark and Netherlands, particularly in the regions of </w:t>
      </w:r>
      <w:proofErr w:type="spellStart"/>
      <w:r w:rsidRPr="008D7635">
        <w:rPr>
          <w:rFonts w:ascii="Times New Roman" w:hAnsi="Times New Roman"/>
          <w:sz w:val="24"/>
          <w:szCs w:val="24"/>
          <w:lang w:val="en-US"/>
        </w:rPr>
        <w:t>Midtjylland</w:t>
      </w:r>
      <w:proofErr w:type="spellEnd"/>
      <w:r w:rsidRPr="008D7635">
        <w:rPr>
          <w:rFonts w:ascii="Times New Roman" w:hAnsi="Times New Roman"/>
          <w:sz w:val="24"/>
          <w:szCs w:val="24"/>
          <w:lang w:val="en-US"/>
        </w:rPr>
        <w:t>, Sjaelland and Zeeland. On the contrary, the worst economic performances, both in terms of GDP and in terms of R&amp;D, are reported by regions located in Bulgaria, Poland and Romania (</w:t>
      </w:r>
      <w:proofErr w:type="spellStart"/>
      <w:r w:rsidRPr="008D7635">
        <w:rPr>
          <w:rFonts w:ascii="Times New Roman" w:hAnsi="Times New Roman"/>
          <w:sz w:val="24"/>
          <w:szCs w:val="24"/>
          <w:lang w:val="en-US"/>
        </w:rPr>
        <w:t>Severen</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tsentralen</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Severozapaden</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Luboskie</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Opolskie</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Podlaskie</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Sud-Muntenia</w:t>
      </w:r>
      <w:proofErr w:type="spellEnd"/>
      <w:r w:rsidRPr="008D7635">
        <w:rPr>
          <w:rFonts w:ascii="Times New Roman" w:hAnsi="Times New Roman"/>
          <w:sz w:val="24"/>
          <w:szCs w:val="24"/>
          <w:lang w:val="en-US"/>
        </w:rPr>
        <w:t xml:space="preserve"> and Nord-Vest). In terms of long-term unemployment rate some Spanish and Italian regions are also performing badly (</w:t>
      </w:r>
      <w:proofErr w:type="spellStart"/>
      <w:r w:rsidRPr="008D7635">
        <w:rPr>
          <w:rFonts w:ascii="Times New Roman" w:hAnsi="Times New Roman"/>
          <w:sz w:val="24"/>
          <w:szCs w:val="24"/>
          <w:lang w:val="en-US"/>
        </w:rPr>
        <w:t>e.i.</w:t>
      </w:r>
      <w:proofErr w:type="spellEnd"/>
      <w:r w:rsidRPr="008D7635">
        <w:rPr>
          <w:rFonts w:ascii="Times New Roman" w:hAnsi="Times New Roman"/>
          <w:sz w:val="24"/>
          <w:szCs w:val="24"/>
          <w:lang w:val="en-US"/>
        </w:rPr>
        <w:t xml:space="preserve"> Ciudad </w:t>
      </w:r>
      <w:proofErr w:type="spellStart"/>
      <w:r w:rsidRPr="008D7635">
        <w:rPr>
          <w:rFonts w:ascii="Times New Roman" w:hAnsi="Times New Roman"/>
          <w:sz w:val="24"/>
          <w:szCs w:val="24"/>
          <w:lang w:val="en-US"/>
        </w:rPr>
        <w:t>Autonoma</w:t>
      </w:r>
      <w:proofErr w:type="spellEnd"/>
      <w:r w:rsidRPr="008D7635">
        <w:rPr>
          <w:rFonts w:ascii="Times New Roman" w:hAnsi="Times New Roman"/>
          <w:sz w:val="24"/>
          <w:szCs w:val="24"/>
          <w:lang w:val="en-US"/>
        </w:rPr>
        <w:t xml:space="preserve"> de Melilla y Ceuta and the Sicilia and Campania regions).</w:t>
      </w:r>
    </w:p>
    <w:p w14:paraId="28EB6B14" w14:textId="66E46890"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lastRenderedPageBreak/>
        <w:t>When considering the social variables, the lowest rate of intentional self-harm are accounted in Greece and in other Mediterranean areas (</w:t>
      </w:r>
      <w:proofErr w:type="spellStart"/>
      <w:r w:rsidRPr="008D7635">
        <w:rPr>
          <w:rFonts w:ascii="Times New Roman" w:hAnsi="Times New Roman"/>
          <w:sz w:val="24"/>
          <w:szCs w:val="24"/>
          <w:lang w:val="en-US"/>
        </w:rPr>
        <w:t>Voreio</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Aigario</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Dytiki</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Makedonia</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Kentriki</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Makedonia</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Attiki</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Notio</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Aigaio</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Thessalia</w:t>
      </w:r>
      <w:proofErr w:type="spellEnd"/>
      <w:r w:rsidRPr="008D7635">
        <w:rPr>
          <w:rFonts w:ascii="Times New Roman" w:hAnsi="Times New Roman"/>
          <w:sz w:val="24"/>
          <w:szCs w:val="24"/>
          <w:lang w:val="en-US"/>
        </w:rPr>
        <w:t xml:space="preserve">, and </w:t>
      </w:r>
      <w:proofErr w:type="spellStart"/>
      <w:r w:rsidRPr="008D7635">
        <w:rPr>
          <w:rFonts w:ascii="Times New Roman" w:hAnsi="Times New Roman"/>
          <w:sz w:val="24"/>
          <w:szCs w:val="24"/>
          <w:lang w:val="en-US"/>
        </w:rPr>
        <w:t>Comunidad</w:t>
      </w:r>
      <w:proofErr w:type="spellEnd"/>
      <w:r w:rsidRPr="008D7635">
        <w:rPr>
          <w:rFonts w:ascii="Times New Roman" w:hAnsi="Times New Roman"/>
          <w:sz w:val="24"/>
          <w:szCs w:val="24"/>
          <w:lang w:val="en-US"/>
        </w:rPr>
        <w:t xml:space="preserve"> de Madrid and Campania). The higher values, on the contrary, are </w:t>
      </w:r>
      <w:r w:rsidR="002B5A59" w:rsidRPr="008D7635">
        <w:rPr>
          <w:rFonts w:ascii="Times New Roman" w:hAnsi="Times New Roman"/>
          <w:sz w:val="24"/>
          <w:szCs w:val="24"/>
          <w:lang w:val="en-US"/>
        </w:rPr>
        <w:t xml:space="preserve">found </w:t>
      </w:r>
      <w:r w:rsidRPr="008D7635">
        <w:rPr>
          <w:rFonts w:ascii="Times New Roman" w:hAnsi="Times New Roman"/>
          <w:sz w:val="24"/>
          <w:szCs w:val="24"/>
          <w:lang w:val="en-US"/>
        </w:rPr>
        <w:t>in central and eastern region</w:t>
      </w:r>
      <w:r w:rsidR="002B5A59" w:rsidRPr="008D7635">
        <w:rPr>
          <w:rFonts w:ascii="Times New Roman" w:hAnsi="Times New Roman"/>
          <w:sz w:val="24"/>
          <w:szCs w:val="24"/>
          <w:lang w:val="en-US"/>
        </w:rPr>
        <w:t>s</w:t>
      </w:r>
      <w:r w:rsidRPr="008D7635">
        <w:rPr>
          <w:rFonts w:ascii="Times New Roman" w:hAnsi="Times New Roman"/>
          <w:sz w:val="24"/>
          <w:szCs w:val="24"/>
          <w:lang w:val="en-US"/>
        </w:rPr>
        <w:t xml:space="preserve">, mainly located in Hungary, Bretagne and Luxembourg. </w:t>
      </w:r>
    </w:p>
    <w:p w14:paraId="6A77AE36" w14:textId="77777777"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Mediterranean regions as </w:t>
      </w:r>
      <w:proofErr w:type="spellStart"/>
      <w:r w:rsidRPr="008D7635">
        <w:rPr>
          <w:rFonts w:ascii="Times New Roman" w:hAnsi="Times New Roman"/>
          <w:sz w:val="24"/>
          <w:szCs w:val="24"/>
          <w:lang w:val="en-US"/>
        </w:rPr>
        <w:t>Principado</w:t>
      </w:r>
      <w:proofErr w:type="spellEnd"/>
      <w:r w:rsidRPr="008D7635">
        <w:rPr>
          <w:rFonts w:ascii="Times New Roman" w:hAnsi="Times New Roman"/>
          <w:sz w:val="24"/>
          <w:szCs w:val="24"/>
          <w:lang w:val="en-US"/>
        </w:rPr>
        <w:t xml:space="preserve"> de </w:t>
      </w:r>
      <w:proofErr w:type="spellStart"/>
      <w:r w:rsidRPr="008D7635">
        <w:rPr>
          <w:rFonts w:ascii="Times New Roman" w:hAnsi="Times New Roman"/>
          <w:sz w:val="24"/>
          <w:szCs w:val="24"/>
          <w:lang w:val="en-US"/>
        </w:rPr>
        <w:t>Asturia</w:t>
      </w:r>
      <w:proofErr w:type="spellEnd"/>
      <w:r w:rsidRPr="008D7635">
        <w:rPr>
          <w:rFonts w:ascii="Times New Roman" w:hAnsi="Times New Roman"/>
          <w:sz w:val="24"/>
          <w:szCs w:val="24"/>
          <w:lang w:val="en-US"/>
        </w:rPr>
        <w:t xml:space="preserve">, Galicia, Canarias Molise, </w:t>
      </w:r>
      <w:proofErr w:type="spellStart"/>
      <w:r w:rsidRPr="008D7635">
        <w:rPr>
          <w:rFonts w:ascii="Times New Roman" w:hAnsi="Times New Roman"/>
          <w:sz w:val="24"/>
          <w:szCs w:val="24"/>
          <w:lang w:val="en-US"/>
        </w:rPr>
        <w:t>Sardegna</w:t>
      </w:r>
      <w:proofErr w:type="spellEnd"/>
      <w:r w:rsidRPr="008D7635">
        <w:rPr>
          <w:rFonts w:ascii="Times New Roman" w:hAnsi="Times New Roman"/>
          <w:sz w:val="24"/>
          <w:szCs w:val="24"/>
          <w:lang w:val="en-US"/>
        </w:rPr>
        <w:t>, Basilicata, account for the lowest fertility rate. Finland and UK host the regions with the highest number of children per woman (</w:t>
      </w:r>
      <w:proofErr w:type="spellStart"/>
      <w:r w:rsidRPr="008D7635">
        <w:rPr>
          <w:rFonts w:ascii="Times New Roman" w:hAnsi="Times New Roman"/>
          <w:sz w:val="24"/>
          <w:szCs w:val="24"/>
          <w:lang w:val="en-US"/>
        </w:rPr>
        <w:t>Pohjois-Suomi</w:t>
      </w:r>
      <w:proofErr w:type="spellEnd"/>
      <w:r w:rsidRPr="008D7635">
        <w:rPr>
          <w:rFonts w:ascii="Times New Roman" w:hAnsi="Times New Roman"/>
          <w:sz w:val="24"/>
          <w:szCs w:val="24"/>
          <w:lang w:val="en-US"/>
        </w:rPr>
        <w:t xml:space="preserve">, Dorset and Somerset, Border, Midland and Western, Outer and Inner London). Inner London is also the area with the highest tertiary education value. </w:t>
      </w:r>
    </w:p>
    <w:p w14:paraId="0C63468E" w14:textId="3CB2716F"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Bulgaria, Romania and Hungarian are the countries with the largest number of regions showing the worst health variables, both in terms of infant mortality rate, life expectancy and malignant neoplasm. The best values </w:t>
      </w:r>
      <w:r w:rsidR="002B5A59" w:rsidRPr="008D7635">
        <w:rPr>
          <w:rFonts w:ascii="Times New Roman" w:hAnsi="Times New Roman"/>
          <w:sz w:val="24"/>
          <w:szCs w:val="24"/>
          <w:lang w:val="en-US"/>
        </w:rPr>
        <w:t>pertain to</w:t>
      </w:r>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Burgeland</w:t>
      </w:r>
      <w:proofErr w:type="spellEnd"/>
      <w:r w:rsidRPr="008D7635">
        <w:rPr>
          <w:rFonts w:ascii="Times New Roman" w:hAnsi="Times New Roman"/>
          <w:sz w:val="24"/>
          <w:szCs w:val="24"/>
          <w:lang w:val="en-US"/>
        </w:rPr>
        <w:t xml:space="preserve"> (Austria) for the infant mortality rate, </w:t>
      </w:r>
      <w:r w:rsidR="002B5A59" w:rsidRPr="008D7635">
        <w:rPr>
          <w:rFonts w:ascii="Times New Roman" w:hAnsi="Times New Roman"/>
          <w:sz w:val="24"/>
          <w:szCs w:val="24"/>
          <w:lang w:val="en-US"/>
        </w:rPr>
        <w:t xml:space="preserve">to </w:t>
      </w:r>
      <w:r w:rsidRPr="008D7635">
        <w:rPr>
          <w:rFonts w:ascii="Times New Roman" w:hAnsi="Times New Roman"/>
          <w:sz w:val="24"/>
          <w:szCs w:val="24"/>
          <w:lang w:val="en-US"/>
        </w:rPr>
        <w:t xml:space="preserve">the </w:t>
      </w:r>
      <w:proofErr w:type="spellStart"/>
      <w:r w:rsidRPr="008D7635">
        <w:rPr>
          <w:rFonts w:ascii="Times New Roman" w:hAnsi="Times New Roman"/>
          <w:sz w:val="24"/>
          <w:szCs w:val="24"/>
          <w:lang w:val="en-US"/>
        </w:rPr>
        <w:t>Provincia</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Autonoma</w:t>
      </w:r>
      <w:proofErr w:type="spellEnd"/>
      <w:r w:rsidRPr="008D7635">
        <w:rPr>
          <w:rFonts w:ascii="Times New Roman" w:hAnsi="Times New Roman"/>
          <w:sz w:val="24"/>
          <w:szCs w:val="24"/>
          <w:lang w:val="en-US"/>
        </w:rPr>
        <w:t xml:space="preserve"> di Bolzano (Italy) for the life expectancy and </w:t>
      </w:r>
      <w:r w:rsidR="002B5A59" w:rsidRPr="008D7635">
        <w:rPr>
          <w:rFonts w:ascii="Times New Roman" w:hAnsi="Times New Roman"/>
          <w:sz w:val="24"/>
          <w:szCs w:val="24"/>
          <w:lang w:val="en-US"/>
        </w:rPr>
        <w:t xml:space="preserve">to </w:t>
      </w:r>
      <w:r w:rsidRPr="008D7635">
        <w:rPr>
          <w:rFonts w:ascii="Times New Roman" w:hAnsi="Times New Roman"/>
          <w:sz w:val="24"/>
          <w:szCs w:val="24"/>
          <w:lang w:val="en-US"/>
        </w:rPr>
        <w:t xml:space="preserve">the Ciudad </w:t>
      </w:r>
      <w:proofErr w:type="spellStart"/>
      <w:r w:rsidRPr="008D7635">
        <w:rPr>
          <w:rFonts w:ascii="Times New Roman" w:hAnsi="Times New Roman"/>
          <w:sz w:val="24"/>
          <w:szCs w:val="24"/>
          <w:lang w:val="en-US"/>
        </w:rPr>
        <w:t>Autonoma</w:t>
      </w:r>
      <w:proofErr w:type="spellEnd"/>
      <w:r w:rsidRPr="008D7635">
        <w:rPr>
          <w:rFonts w:ascii="Times New Roman" w:hAnsi="Times New Roman"/>
          <w:sz w:val="24"/>
          <w:szCs w:val="24"/>
          <w:lang w:val="en-US"/>
        </w:rPr>
        <w:t xml:space="preserve"> de Melilla (Spain) for the malignant neoplasm.</w:t>
      </w:r>
    </w:p>
    <w:p w14:paraId="57966F81" w14:textId="77777777"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Check Republic areas of </w:t>
      </w:r>
      <w:proofErr w:type="spellStart"/>
      <w:r w:rsidRPr="008D7635">
        <w:rPr>
          <w:rFonts w:ascii="Times New Roman" w:hAnsi="Times New Roman"/>
          <w:sz w:val="24"/>
          <w:szCs w:val="24"/>
          <w:lang w:val="en-US"/>
        </w:rPr>
        <w:t>Podkarpackie</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Swietokrzyskie</w:t>
      </w:r>
      <w:proofErr w:type="spellEnd"/>
      <w:r w:rsidRPr="008D7635">
        <w:rPr>
          <w:rFonts w:ascii="Times New Roman" w:hAnsi="Times New Roman"/>
          <w:sz w:val="24"/>
          <w:szCs w:val="24"/>
          <w:lang w:val="en-US"/>
        </w:rPr>
        <w:t xml:space="preserve">, </w:t>
      </w:r>
      <w:proofErr w:type="spellStart"/>
      <w:proofErr w:type="gramStart"/>
      <w:r w:rsidRPr="008D7635">
        <w:rPr>
          <w:rFonts w:ascii="Times New Roman" w:hAnsi="Times New Roman"/>
          <w:sz w:val="24"/>
          <w:szCs w:val="24"/>
          <w:lang w:val="en-US"/>
        </w:rPr>
        <w:t>Lubelskie</w:t>
      </w:r>
      <w:proofErr w:type="spellEnd"/>
      <w:proofErr w:type="gramEnd"/>
      <w:r w:rsidRPr="008D7635">
        <w:rPr>
          <w:rFonts w:ascii="Times New Roman" w:hAnsi="Times New Roman"/>
          <w:sz w:val="24"/>
          <w:szCs w:val="24"/>
          <w:lang w:val="en-US"/>
        </w:rPr>
        <w:t xml:space="preserve"> are the regions generating the lowest quantity of per capita municipal waste, after Brandenburg. The highest values, on the contrary, are accounted in the Spanish and Portuguese areas of Ciudad </w:t>
      </w:r>
      <w:proofErr w:type="spellStart"/>
      <w:r w:rsidRPr="008D7635">
        <w:rPr>
          <w:rFonts w:ascii="Times New Roman" w:hAnsi="Times New Roman"/>
          <w:sz w:val="24"/>
          <w:szCs w:val="24"/>
          <w:lang w:val="en-US"/>
        </w:rPr>
        <w:t>Autonoma</w:t>
      </w:r>
      <w:proofErr w:type="spellEnd"/>
      <w:r w:rsidRPr="008D7635">
        <w:rPr>
          <w:rFonts w:ascii="Times New Roman" w:hAnsi="Times New Roman"/>
          <w:sz w:val="24"/>
          <w:szCs w:val="24"/>
          <w:lang w:val="en-US"/>
        </w:rPr>
        <w:t xml:space="preserve"> de Melilla y Ceuta and Algarve.</w:t>
      </w:r>
    </w:p>
    <w:p w14:paraId="4140915D" w14:textId="77777777"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Industrial areas of Greater Manchester, South Yorkshire, West Midlands, Inner and Outer London are the region with the lowest land devoted to organic crop production. On the contrary, </w:t>
      </w:r>
      <w:proofErr w:type="spellStart"/>
      <w:r w:rsidRPr="008D7635">
        <w:rPr>
          <w:rFonts w:ascii="Times New Roman" w:hAnsi="Times New Roman"/>
          <w:sz w:val="24"/>
          <w:szCs w:val="24"/>
          <w:lang w:val="en-US"/>
        </w:rPr>
        <w:t>Praha</w:t>
      </w:r>
      <w:proofErr w:type="spellEnd"/>
      <w:r w:rsidRPr="008D7635">
        <w:rPr>
          <w:rFonts w:ascii="Times New Roman" w:hAnsi="Times New Roman"/>
          <w:sz w:val="24"/>
          <w:szCs w:val="24"/>
          <w:lang w:val="en-US"/>
        </w:rPr>
        <w:t xml:space="preserve"> and Salzburg accounts for the largest percentage of organic crop over the total agricultural areas.</w:t>
      </w:r>
    </w:p>
    <w:p w14:paraId="65156D08" w14:textId="77777777" w:rsidR="000E191C" w:rsidRPr="008D7635" w:rsidRDefault="000E191C" w:rsidP="000E191C">
      <w:pPr>
        <w:numPr>
          <w:ilvl w:val="0"/>
          <w:numId w:val="9"/>
        </w:numPr>
        <w:spacing w:line="360" w:lineRule="auto"/>
        <w:jc w:val="both"/>
        <w:rPr>
          <w:rFonts w:ascii="Times New Roman" w:hAnsi="Times New Roman"/>
          <w:sz w:val="24"/>
          <w:szCs w:val="24"/>
          <w:lang w:val="en-US"/>
        </w:rPr>
      </w:pPr>
      <w:r w:rsidRPr="008D7635">
        <w:rPr>
          <w:rFonts w:ascii="Times New Roman" w:hAnsi="Times New Roman"/>
          <w:sz w:val="24"/>
          <w:szCs w:val="24"/>
          <w:lang w:val="en-US"/>
        </w:rPr>
        <w:t>In terms of tourism, Spain hosts the regions with the largest number of night spent by tourist (Canarias, Cataluña, Islas Baleares and Andalusia) followed by Provence-</w:t>
      </w:r>
      <w:proofErr w:type="spellStart"/>
      <w:r w:rsidRPr="008D7635">
        <w:rPr>
          <w:rFonts w:ascii="Times New Roman" w:hAnsi="Times New Roman"/>
          <w:sz w:val="24"/>
          <w:szCs w:val="24"/>
          <w:lang w:val="en-US"/>
        </w:rPr>
        <w:t>Alpes</w:t>
      </w:r>
      <w:proofErr w:type="spellEnd"/>
      <w:r w:rsidRPr="008D7635">
        <w:rPr>
          <w:rFonts w:ascii="Times New Roman" w:hAnsi="Times New Roman"/>
          <w:sz w:val="24"/>
          <w:szCs w:val="24"/>
          <w:lang w:val="en-US"/>
        </w:rPr>
        <w:t xml:space="preserve">-Cote d'Azur and by almost all the Italian regions. </w:t>
      </w:r>
      <w:proofErr w:type="spellStart"/>
      <w:r w:rsidRPr="008D7635">
        <w:rPr>
          <w:rFonts w:ascii="Times New Roman" w:hAnsi="Times New Roman"/>
          <w:sz w:val="24"/>
          <w:szCs w:val="24"/>
          <w:lang w:val="en-US"/>
        </w:rPr>
        <w:t>Severozapaden</w:t>
      </w:r>
      <w:proofErr w:type="spellEnd"/>
      <w:r w:rsidRPr="008D7635">
        <w:rPr>
          <w:rFonts w:ascii="Times New Roman" w:hAnsi="Times New Roman"/>
          <w:sz w:val="24"/>
          <w:szCs w:val="24"/>
          <w:lang w:val="en-US"/>
        </w:rPr>
        <w:t xml:space="preserve">, Aland, </w:t>
      </w:r>
      <w:proofErr w:type="spellStart"/>
      <w:r w:rsidRPr="008D7635">
        <w:rPr>
          <w:rFonts w:ascii="Times New Roman" w:hAnsi="Times New Roman"/>
          <w:sz w:val="24"/>
          <w:szCs w:val="24"/>
          <w:lang w:val="en-US"/>
        </w:rPr>
        <w:t>Dytiki</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Makedonia</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Severen</w:t>
      </w:r>
      <w:proofErr w:type="spellEnd"/>
      <w:r w:rsidRPr="008D7635">
        <w:rPr>
          <w:rFonts w:ascii="Times New Roman" w:hAnsi="Times New Roman"/>
          <w:sz w:val="24"/>
          <w:szCs w:val="24"/>
          <w:lang w:val="en-US"/>
        </w:rPr>
        <w:t xml:space="preserve"> </w:t>
      </w:r>
      <w:proofErr w:type="spellStart"/>
      <w:r w:rsidRPr="008D7635">
        <w:rPr>
          <w:rFonts w:ascii="Times New Roman" w:hAnsi="Times New Roman"/>
          <w:sz w:val="24"/>
          <w:szCs w:val="24"/>
          <w:lang w:val="en-US"/>
        </w:rPr>
        <w:t>tsentralen</w:t>
      </w:r>
      <w:proofErr w:type="spellEnd"/>
      <w:r w:rsidRPr="008D7635">
        <w:rPr>
          <w:rFonts w:ascii="Times New Roman" w:hAnsi="Times New Roman"/>
          <w:sz w:val="24"/>
          <w:szCs w:val="24"/>
          <w:lang w:val="en-US"/>
        </w:rPr>
        <w:t xml:space="preserve"> and </w:t>
      </w:r>
      <w:proofErr w:type="spellStart"/>
      <w:r w:rsidRPr="008D7635">
        <w:rPr>
          <w:rFonts w:ascii="Times New Roman" w:hAnsi="Times New Roman"/>
          <w:sz w:val="24"/>
          <w:szCs w:val="24"/>
          <w:lang w:val="en-US"/>
        </w:rPr>
        <w:t>Opolskie</w:t>
      </w:r>
      <w:proofErr w:type="spellEnd"/>
      <w:r w:rsidRPr="008D7635">
        <w:rPr>
          <w:rFonts w:ascii="Times New Roman" w:hAnsi="Times New Roman"/>
          <w:sz w:val="24"/>
          <w:szCs w:val="24"/>
          <w:lang w:val="en-US"/>
        </w:rPr>
        <w:t xml:space="preserve"> are the areas with the lowers tourism variable values.</w:t>
      </w:r>
    </w:p>
    <w:p w14:paraId="0204BA5B" w14:textId="011D430E" w:rsidR="000E191C" w:rsidRPr="008D7635" w:rsidRDefault="000E191C" w:rsidP="000E191C">
      <w:pPr>
        <w:spacing w:line="360" w:lineRule="auto"/>
        <w:jc w:val="both"/>
        <w:rPr>
          <w:rFonts w:ascii="Times New Roman" w:hAnsi="Times New Roman"/>
          <w:b/>
          <w:sz w:val="24"/>
          <w:szCs w:val="24"/>
        </w:rPr>
      </w:pPr>
      <w:r w:rsidRPr="008D7635">
        <w:rPr>
          <w:rFonts w:ascii="Times New Roman" w:hAnsi="Times New Roman"/>
          <w:sz w:val="24"/>
          <w:szCs w:val="24"/>
          <w:lang w:val="en-US"/>
        </w:rPr>
        <w:t xml:space="preserve">In general terms, </w:t>
      </w:r>
      <w:r w:rsidR="002B5A59" w:rsidRPr="008D7635">
        <w:rPr>
          <w:rFonts w:ascii="Times New Roman" w:hAnsi="Times New Roman"/>
          <w:sz w:val="24"/>
          <w:szCs w:val="24"/>
          <w:lang w:val="en-US"/>
        </w:rPr>
        <w:t xml:space="preserve">this </w:t>
      </w:r>
      <w:r w:rsidRPr="008D7635">
        <w:rPr>
          <w:rFonts w:ascii="Times New Roman" w:hAnsi="Times New Roman"/>
          <w:sz w:val="24"/>
          <w:szCs w:val="24"/>
          <w:lang w:val="en-US"/>
        </w:rPr>
        <w:t xml:space="preserve">analysis shows that the areas with the better economic performances also </w:t>
      </w:r>
      <w:r w:rsidR="000E7945" w:rsidRPr="008D7635">
        <w:rPr>
          <w:rFonts w:ascii="Times New Roman" w:hAnsi="Times New Roman"/>
          <w:sz w:val="24"/>
          <w:szCs w:val="24"/>
          <w:lang w:val="en-US"/>
        </w:rPr>
        <w:t xml:space="preserve">have a </w:t>
      </w:r>
      <w:r w:rsidRPr="008D7635">
        <w:rPr>
          <w:rFonts w:ascii="Times New Roman" w:hAnsi="Times New Roman"/>
          <w:sz w:val="24"/>
          <w:szCs w:val="24"/>
          <w:lang w:val="en-US"/>
        </w:rPr>
        <w:t xml:space="preserve">higher tertiary education rate and </w:t>
      </w:r>
      <w:r w:rsidR="00A66063" w:rsidRPr="008D7635">
        <w:rPr>
          <w:rFonts w:ascii="Times New Roman" w:hAnsi="Times New Roman"/>
          <w:sz w:val="24"/>
          <w:szCs w:val="24"/>
          <w:lang w:val="en-US"/>
        </w:rPr>
        <w:t xml:space="preserve">among the highest </w:t>
      </w:r>
      <w:r w:rsidRPr="008D7635">
        <w:rPr>
          <w:rFonts w:ascii="Times New Roman" w:hAnsi="Times New Roman"/>
          <w:sz w:val="24"/>
          <w:szCs w:val="24"/>
          <w:lang w:val="en-US"/>
        </w:rPr>
        <w:t xml:space="preserve">fertility rate. In terms of </w:t>
      </w:r>
      <w:r w:rsidRPr="008D7635">
        <w:rPr>
          <w:rFonts w:ascii="Times New Roman" w:hAnsi="Times New Roman"/>
          <w:sz w:val="24"/>
          <w:szCs w:val="24"/>
          <w:lang w:val="en-US"/>
        </w:rPr>
        <w:lastRenderedPageBreak/>
        <w:t xml:space="preserve">health variables, eastern European regions are </w:t>
      </w:r>
      <w:r w:rsidR="000E7945" w:rsidRPr="008D7635">
        <w:rPr>
          <w:rFonts w:ascii="Times New Roman" w:hAnsi="Times New Roman"/>
          <w:sz w:val="24"/>
          <w:szCs w:val="24"/>
          <w:lang w:val="en-US"/>
        </w:rPr>
        <w:t>below</w:t>
      </w:r>
      <w:r w:rsidRPr="008D7635">
        <w:rPr>
          <w:rFonts w:ascii="Times New Roman" w:hAnsi="Times New Roman"/>
          <w:sz w:val="24"/>
          <w:szCs w:val="24"/>
          <w:lang w:val="en-US"/>
        </w:rPr>
        <w:t xml:space="preserve"> </w:t>
      </w:r>
      <w:r w:rsidR="000E7945" w:rsidRPr="008D7635">
        <w:rPr>
          <w:rFonts w:ascii="Times New Roman" w:hAnsi="Times New Roman"/>
          <w:sz w:val="24"/>
          <w:szCs w:val="24"/>
          <w:lang w:val="en-US"/>
        </w:rPr>
        <w:t xml:space="preserve">the </w:t>
      </w:r>
      <w:r w:rsidRPr="008D7635">
        <w:rPr>
          <w:rFonts w:ascii="Times New Roman" w:hAnsi="Times New Roman"/>
          <w:sz w:val="24"/>
          <w:szCs w:val="24"/>
          <w:lang w:val="en-US"/>
        </w:rPr>
        <w:t xml:space="preserve">EU average. Municipal wastes are higher in the areas with higher GDP per capita and lower in </w:t>
      </w:r>
      <w:r w:rsidR="000E7945" w:rsidRPr="008D7635">
        <w:rPr>
          <w:rFonts w:ascii="Times New Roman" w:hAnsi="Times New Roman"/>
          <w:sz w:val="24"/>
          <w:szCs w:val="24"/>
          <w:lang w:val="en-US"/>
        </w:rPr>
        <w:t xml:space="preserve">those </w:t>
      </w:r>
      <w:r w:rsidRPr="008D7635">
        <w:rPr>
          <w:rFonts w:ascii="Times New Roman" w:hAnsi="Times New Roman"/>
          <w:sz w:val="24"/>
          <w:szCs w:val="24"/>
          <w:lang w:val="en-US"/>
        </w:rPr>
        <w:t xml:space="preserve">with smaller consumption </w:t>
      </w:r>
      <w:r w:rsidR="000E7945" w:rsidRPr="008D7635">
        <w:rPr>
          <w:rFonts w:ascii="Times New Roman" w:hAnsi="Times New Roman"/>
          <w:sz w:val="24"/>
          <w:szCs w:val="24"/>
          <w:lang w:val="en-US"/>
        </w:rPr>
        <w:t>opportunities</w:t>
      </w:r>
      <w:r w:rsidRPr="008D7635">
        <w:rPr>
          <w:rFonts w:ascii="Times New Roman" w:hAnsi="Times New Roman"/>
          <w:sz w:val="24"/>
          <w:szCs w:val="24"/>
          <w:lang w:val="en-US"/>
        </w:rPr>
        <w:t xml:space="preserve">. </w:t>
      </w:r>
      <w:r w:rsidR="00A66063" w:rsidRPr="008D7635">
        <w:rPr>
          <w:rFonts w:ascii="Times New Roman" w:hAnsi="Times New Roman"/>
          <w:sz w:val="24"/>
          <w:szCs w:val="24"/>
          <w:lang w:val="en-US"/>
        </w:rPr>
        <w:t>T</w:t>
      </w:r>
      <w:r w:rsidRPr="008D7635">
        <w:rPr>
          <w:rFonts w:ascii="Times New Roman" w:hAnsi="Times New Roman"/>
          <w:sz w:val="24"/>
          <w:szCs w:val="24"/>
          <w:lang w:val="en-US"/>
        </w:rPr>
        <w:t xml:space="preserve">he individual values </w:t>
      </w:r>
      <w:r w:rsidR="00A66063" w:rsidRPr="008D7635">
        <w:rPr>
          <w:rFonts w:ascii="Times New Roman" w:hAnsi="Times New Roman"/>
          <w:sz w:val="24"/>
          <w:szCs w:val="24"/>
          <w:lang w:val="en-US"/>
        </w:rPr>
        <w:t>o</w:t>
      </w:r>
      <w:r w:rsidR="00F00924" w:rsidRPr="008D7635">
        <w:rPr>
          <w:rFonts w:ascii="Times New Roman" w:hAnsi="Times New Roman"/>
          <w:sz w:val="24"/>
          <w:szCs w:val="24"/>
          <w:lang w:val="en-US"/>
        </w:rPr>
        <w:t>b</w:t>
      </w:r>
      <w:r w:rsidR="00A66063" w:rsidRPr="008D7635">
        <w:rPr>
          <w:rFonts w:ascii="Times New Roman" w:hAnsi="Times New Roman"/>
          <w:sz w:val="24"/>
          <w:szCs w:val="24"/>
          <w:lang w:val="en-US"/>
        </w:rPr>
        <w:t xml:space="preserve">tained for </w:t>
      </w:r>
      <w:r w:rsidRPr="008D7635">
        <w:rPr>
          <w:rFonts w:ascii="Times New Roman" w:hAnsi="Times New Roman"/>
          <w:sz w:val="24"/>
          <w:szCs w:val="24"/>
          <w:lang w:val="en-US"/>
        </w:rPr>
        <w:t xml:space="preserve">every indicator in </w:t>
      </w:r>
      <w:r w:rsidR="00A66063" w:rsidRPr="008D7635">
        <w:rPr>
          <w:rFonts w:ascii="Times New Roman" w:hAnsi="Times New Roman"/>
          <w:sz w:val="24"/>
          <w:szCs w:val="24"/>
          <w:lang w:val="en-US"/>
        </w:rPr>
        <w:t xml:space="preserve">all </w:t>
      </w:r>
      <w:r w:rsidRPr="008D7635">
        <w:rPr>
          <w:rFonts w:ascii="Times New Roman" w:hAnsi="Times New Roman"/>
          <w:sz w:val="24"/>
          <w:szCs w:val="24"/>
          <w:lang w:val="en-US"/>
        </w:rPr>
        <w:t>EU regi</w:t>
      </w:r>
      <w:r w:rsidR="00715C69" w:rsidRPr="008D7635">
        <w:rPr>
          <w:rFonts w:ascii="Times New Roman" w:hAnsi="Times New Roman"/>
          <w:sz w:val="24"/>
          <w:szCs w:val="24"/>
          <w:lang w:val="en-US"/>
        </w:rPr>
        <w:t xml:space="preserve">ons are reported in </w:t>
      </w:r>
      <w:proofErr w:type="spellStart"/>
      <w:r w:rsidR="00715C69" w:rsidRPr="008D7635">
        <w:rPr>
          <w:rFonts w:ascii="Times New Roman" w:hAnsi="Times New Roman"/>
          <w:sz w:val="24"/>
          <w:szCs w:val="24"/>
          <w:lang w:val="en-US"/>
        </w:rPr>
        <w:t>Andreoni</w:t>
      </w:r>
      <w:proofErr w:type="spellEnd"/>
      <w:r w:rsidR="00715C69" w:rsidRPr="008D7635">
        <w:rPr>
          <w:rFonts w:ascii="Times New Roman" w:hAnsi="Times New Roman"/>
          <w:sz w:val="24"/>
          <w:szCs w:val="24"/>
          <w:lang w:val="en-US"/>
        </w:rPr>
        <w:t xml:space="preserve"> and </w:t>
      </w:r>
      <w:proofErr w:type="spellStart"/>
      <w:r w:rsidR="00715C69" w:rsidRPr="008D7635">
        <w:rPr>
          <w:rFonts w:ascii="Times New Roman" w:hAnsi="Times New Roman"/>
          <w:sz w:val="24"/>
          <w:szCs w:val="24"/>
          <w:lang w:val="en-US"/>
        </w:rPr>
        <w:t>Galmarini</w:t>
      </w:r>
      <w:proofErr w:type="spellEnd"/>
      <w:r w:rsidR="00715C69" w:rsidRPr="008D7635">
        <w:rPr>
          <w:rFonts w:ascii="Times New Roman" w:hAnsi="Times New Roman"/>
          <w:sz w:val="24"/>
          <w:szCs w:val="24"/>
          <w:lang w:val="en-US"/>
        </w:rPr>
        <w:t>, 2014</w:t>
      </w:r>
      <w:r w:rsidRPr="008D7635">
        <w:rPr>
          <w:rFonts w:ascii="Times New Roman" w:hAnsi="Times New Roman"/>
          <w:sz w:val="24"/>
          <w:szCs w:val="24"/>
          <w:lang w:val="en-US"/>
        </w:rPr>
        <w:t>.</w:t>
      </w:r>
    </w:p>
    <w:p w14:paraId="0A6DDE7F" w14:textId="77777777" w:rsidR="00C75AF1" w:rsidRPr="008D7635" w:rsidRDefault="00C75AF1" w:rsidP="000E191C">
      <w:pPr>
        <w:spacing w:line="360" w:lineRule="auto"/>
        <w:rPr>
          <w:rFonts w:ascii="Times New Roman" w:hAnsi="Times New Roman"/>
          <w:b/>
          <w:i/>
          <w:sz w:val="24"/>
          <w:szCs w:val="24"/>
          <w:lang w:val="en-US"/>
        </w:rPr>
      </w:pPr>
    </w:p>
    <w:p w14:paraId="33FD72C6" w14:textId="77777777" w:rsidR="000E191C" w:rsidRPr="008D7635" w:rsidRDefault="000E191C" w:rsidP="000E191C">
      <w:pPr>
        <w:spacing w:line="360" w:lineRule="auto"/>
        <w:rPr>
          <w:rFonts w:ascii="Times New Roman" w:hAnsi="Times New Roman"/>
          <w:b/>
          <w:i/>
          <w:sz w:val="24"/>
          <w:szCs w:val="24"/>
          <w:lang w:val="en-US"/>
        </w:rPr>
      </w:pPr>
      <w:r w:rsidRPr="008D7635">
        <w:rPr>
          <w:rFonts w:ascii="Times New Roman" w:hAnsi="Times New Roman"/>
          <w:b/>
          <w:i/>
          <w:sz w:val="24"/>
          <w:szCs w:val="24"/>
          <w:lang w:val="en-US"/>
        </w:rPr>
        <w:t xml:space="preserve">4.2 </w:t>
      </w:r>
      <w:r w:rsidRPr="008D7635">
        <w:rPr>
          <w:rFonts w:ascii="Times New Roman" w:hAnsi="Times New Roman"/>
          <w:b/>
          <w:i/>
          <w:sz w:val="24"/>
          <w:szCs w:val="24"/>
          <w:lang w:val="en-US"/>
        </w:rPr>
        <w:tab/>
        <w:t>Mapping the beyond national borders distribution of well-being</w:t>
      </w:r>
    </w:p>
    <w:p w14:paraId="1D28EF16" w14:textId="5AA233F8" w:rsidR="006C7048"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main purpose of Figure 1 is to provide a map that summarizes the level of well-being across European regions. As explained in the methodological section, the well-being ranking has been elaborated by accounting for the number of </w:t>
      </w:r>
      <w:r w:rsidR="00234989" w:rsidRPr="008D7635">
        <w:rPr>
          <w:rFonts w:ascii="Times New Roman" w:hAnsi="Times New Roman"/>
          <w:sz w:val="24"/>
          <w:szCs w:val="24"/>
          <w:lang w:val="en-US"/>
        </w:rPr>
        <w:t>indicators above</w:t>
      </w:r>
      <w:r w:rsidR="00A11966" w:rsidRPr="008D7635">
        <w:rPr>
          <w:rFonts w:ascii="Times New Roman" w:hAnsi="Times New Roman"/>
          <w:sz w:val="24"/>
          <w:szCs w:val="24"/>
          <w:lang w:val="en-US"/>
        </w:rPr>
        <w:t xml:space="preserve"> or below</w:t>
      </w:r>
      <w:r w:rsidRPr="008D7635">
        <w:rPr>
          <w:rFonts w:ascii="Times New Roman" w:hAnsi="Times New Roman"/>
          <w:sz w:val="24"/>
          <w:szCs w:val="24"/>
          <w:lang w:val="en-US"/>
        </w:rPr>
        <w:t xml:space="preserve"> the European average. A color scale moving from red to green has been used. The color </w:t>
      </w:r>
      <w:r w:rsidR="00234989" w:rsidRPr="008D7635">
        <w:rPr>
          <w:rFonts w:ascii="Times New Roman" w:hAnsi="Times New Roman"/>
          <w:sz w:val="24"/>
          <w:szCs w:val="24"/>
          <w:lang w:val="en-US"/>
        </w:rPr>
        <w:t>red, and the related red shades, identifies</w:t>
      </w:r>
      <w:r w:rsidRPr="008D7635">
        <w:rPr>
          <w:rFonts w:ascii="Times New Roman" w:hAnsi="Times New Roman"/>
          <w:sz w:val="24"/>
          <w:szCs w:val="24"/>
          <w:lang w:val="en-US"/>
        </w:rPr>
        <w:t xml:space="preserve"> the regions with the </w:t>
      </w:r>
      <w:r w:rsidR="000E7945" w:rsidRPr="008D7635">
        <w:rPr>
          <w:rFonts w:ascii="Times New Roman" w:hAnsi="Times New Roman"/>
          <w:sz w:val="24"/>
          <w:szCs w:val="24"/>
          <w:lang w:val="en-US"/>
        </w:rPr>
        <w:t>majority</w:t>
      </w:r>
      <w:r w:rsidRPr="008D7635">
        <w:rPr>
          <w:rFonts w:ascii="Times New Roman" w:hAnsi="Times New Roman"/>
          <w:sz w:val="24"/>
          <w:szCs w:val="24"/>
          <w:lang w:val="en-US"/>
        </w:rPr>
        <w:t xml:space="preserve"> of indicators </w:t>
      </w:r>
      <w:r w:rsidR="000E7945" w:rsidRPr="008D7635">
        <w:rPr>
          <w:rFonts w:ascii="Times New Roman" w:hAnsi="Times New Roman"/>
          <w:sz w:val="24"/>
          <w:szCs w:val="24"/>
          <w:lang w:val="en-US"/>
        </w:rPr>
        <w:t xml:space="preserve">that are </w:t>
      </w:r>
      <w:r w:rsidRPr="008D7635">
        <w:rPr>
          <w:rFonts w:ascii="Times New Roman" w:hAnsi="Times New Roman"/>
          <w:sz w:val="24"/>
          <w:szCs w:val="24"/>
          <w:lang w:val="en-US"/>
        </w:rPr>
        <w:t xml:space="preserve">below the EU average. The yellow has been used for the regions with an equal number of indicators over and below the EU average and the green-color scale identifies the EU areas with large number of indicators </w:t>
      </w:r>
      <w:r w:rsidR="000E7945" w:rsidRPr="008D7635">
        <w:rPr>
          <w:rFonts w:ascii="Times New Roman" w:hAnsi="Times New Roman"/>
          <w:sz w:val="24"/>
          <w:szCs w:val="24"/>
          <w:lang w:val="en-US"/>
        </w:rPr>
        <w:t xml:space="preserve">above </w:t>
      </w:r>
      <w:r w:rsidR="006C7048" w:rsidRPr="008D7635">
        <w:rPr>
          <w:rFonts w:ascii="Times New Roman" w:hAnsi="Times New Roman"/>
          <w:sz w:val="24"/>
          <w:szCs w:val="24"/>
          <w:lang w:val="en-US"/>
        </w:rPr>
        <w:t xml:space="preserve">the EU average. </w:t>
      </w:r>
    </w:p>
    <w:p w14:paraId="4668EF6D" w14:textId="77777777" w:rsidR="000E191C"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According to Figure 1, the eastern European regions have the largest numbers of indicators below the European average. All the Hungarian regions (except the </w:t>
      </w:r>
      <w:proofErr w:type="spellStart"/>
      <w:r w:rsidRPr="008D7635">
        <w:rPr>
          <w:rFonts w:ascii="Times New Roman" w:hAnsi="Times New Roman"/>
          <w:sz w:val="24"/>
          <w:szCs w:val="24"/>
          <w:lang w:val="en-US"/>
        </w:rPr>
        <w:t>Közép-Magyarország</w:t>
      </w:r>
      <w:proofErr w:type="spellEnd"/>
      <w:r w:rsidRPr="008D7635">
        <w:rPr>
          <w:rFonts w:ascii="Times New Roman" w:hAnsi="Times New Roman"/>
          <w:sz w:val="24"/>
          <w:szCs w:val="24"/>
          <w:lang w:val="en-US"/>
        </w:rPr>
        <w:t xml:space="preserve"> that is the region that hose the capital) together with the Bulgarian region of</w:t>
      </w:r>
      <w:r w:rsidRPr="008D7635">
        <w:rPr>
          <w:rFonts w:ascii="Times New Roman" w:hAnsi="Times New Roman"/>
          <w:sz w:val="24"/>
          <w:szCs w:val="24"/>
        </w:rPr>
        <w:t xml:space="preserve"> </w:t>
      </w:r>
      <w:proofErr w:type="spellStart"/>
      <w:r w:rsidRPr="008D7635">
        <w:rPr>
          <w:rFonts w:ascii="Times New Roman" w:eastAsia="Times New Roman" w:hAnsi="Times New Roman"/>
          <w:sz w:val="24"/>
          <w:szCs w:val="24"/>
          <w:lang w:eastAsia="en-GB"/>
        </w:rPr>
        <w:t>Severen</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Tsentralen</w:t>
      </w:r>
      <w:proofErr w:type="spellEnd"/>
      <w:r w:rsidRPr="008D7635">
        <w:rPr>
          <w:rFonts w:ascii="Times New Roman" w:eastAsia="Times New Roman" w:hAnsi="Times New Roman"/>
          <w:sz w:val="24"/>
          <w:szCs w:val="24"/>
          <w:lang w:eastAsia="en-GB"/>
        </w:rPr>
        <w:t>, the German region of</w:t>
      </w:r>
      <w:r w:rsidRPr="008D7635">
        <w:rPr>
          <w:rFonts w:ascii="Times New Roman" w:hAnsi="Times New Roman"/>
          <w:sz w:val="24"/>
          <w:szCs w:val="24"/>
        </w:rPr>
        <w:t xml:space="preserve"> </w:t>
      </w:r>
      <w:r w:rsidRPr="008D7635">
        <w:rPr>
          <w:rFonts w:ascii="Times New Roman" w:eastAsia="Times New Roman" w:hAnsi="Times New Roman"/>
          <w:sz w:val="24"/>
          <w:szCs w:val="24"/>
          <w:lang w:eastAsia="en-GB"/>
        </w:rPr>
        <w:t xml:space="preserve">Sachsen-Anhalt, the Polish regions of </w:t>
      </w:r>
      <w:proofErr w:type="spellStart"/>
      <w:r w:rsidRPr="008D7635">
        <w:rPr>
          <w:rFonts w:ascii="Times New Roman" w:eastAsia="Times New Roman" w:hAnsi="Times New Roman"/>
          <w:sz w:val="24"/>
          <w:szCs w:val="24"/>
          <w:lang w:eastAsia="en-GB"/>
        </w:rPr>
        <w:t>Lódzkie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Malopolskie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Lubelskie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Swietokrzyskie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Dolnoslaskie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Wielkopolskie</w:t>
      </w:r>
      <w:proofErr w:type="spellEnd"/>
      <w:r w:rsidRPr="008D7635">
        <w:rPr>
          <w:rFonts w:ascii="Times New Roman" w:eastAsia="Times New Roman" w:hAnsi="Times New Roman"/>
          <w:sz w:val="24"/>
          <w:szCs w:val="24"/>
          <w:lang w:eastAsia="en-GB"/>
        </w:rPr>
        <w:t>,</w:t>
      </w:r>
      <w:r w:rsidRPr="008D7635">
        <w:rPr>
          <w:rFonts w:ascii="Times New Roman" w:hAnsi="Times New Roman"/>
          <w:sz w:val="24"/>
          <w:szCs w:val="24"/>
        </w:rPr>
        <w:t xml:space="preserve"> </w:t>
      </w:r>
      <w:proofErr w:type="spellStart"/>
      <w:r w:rsidRPr="008D7635">
        <w:rPr>
          <w:rFonts w:ascii="Times New Roman" w:eastAsia="Times New Roman" w:hAnsi="Times New Roman"/>
          <w:sz w:val="24"/>
          <w:szCs w:val="24"/>
          <w:lang w:eastAsia="en-GB"/>
        </w:rPr>
        <w:t>Kujawsko-Pomorskie</w:t>
      </w:r>
      <w:proofErr w:type="spellEnd"/>
      <w:r w:rsidRPr="008D7635">
        <w:rPr>
          <w:rFonts w:ascii="Times New Roman" w:eastAsia="Times New Roman" w:hAnsi="Times New Roman"/>
          <w:sz w:val="24"/>
          <w:szCs w:val="24"/>
          <w:lang w:eastAsia="en-GB"/>
        </w:rPr>
        <w:t xml:space="preserve">, the </w:t>
      </w:r>
      <w:proofErr w:type="spellStart"/>
      <w:r w:rsidRPr="008D7635">
        <w:rPr>
          <w:rFonts w:ascii="Times New Roman" w:eastAsia="Times New Roman" w:hAnsi="Times New Roman"/>
          <w:sz w:val="24"/>
          <w:szCs w:val="24"/>
          <w:lang w:eastAsia="en-GB"/>
        </w:rPr>
        <w:t>Portugese</w:t>
      </w:r>
      <w:proofErr w:type="spellEnd"/>
      <w:r w:rsidRPr="008D7635">
        <w:rPr>
          <w:rFonts w:ascii="Times New Roman" w:eastAsia="Times New Roman" w:hAnsi="Times New Roman"/>
          <w:sz w:val="24"/>
          <w:szCs w:val="24"/>
          <w:lang w:eastAsia="en-GB"/>
        </w:rPr>
        <w:t xml:space="preserve"> regions of </w:t>
      </w:r>
      <w:proofErr w:type="spellStart"/>
      <w:r w:rsidRPr="008D7635">
        <w:rPr>
          <w:rFonts w:ascii="Times New Roman" w:eastAsia="Times New Roman" w:hAnsi="Times New Roman"/>
          <w:sz w:val="24"/>
          <w:szCs w:val="24"/>
          <w:lang w:eastAsia="en-GB"/>
        </w:rPr>
        <w:t>Alentejo</w:t>
      </w:r>
      <w:proofErr w:type="spellEnd"/>
      <w:r w:rsidRPr="008D7635">
        <w:rPr>
          <w:rFonts w:ascii="Times New Roman" w:eastAsia="Times New Roman" w:hAnsi="Times New Roman"/>
          <w:sz w:val="24"/>
          <w:szCs w:val="24"/>
          <w:lang w:eastAsia="en-GB"/>
        </w:rPr>
        <w:t xml:space="preserve"> and </w:t>
      </w:r>
      <w:proofErr w:type="spellStart"/>
      <w:r w:rsidRPr="008D7635">
        <w:rPr>
          <w:rFonts w:ascii="Times New Roman" w:eastAsia="Times New Roman" w:hAnsi="Times New Roman"/>
          <w:sz w:val="24"/>
          <w:szCs w:val="24"/>
          <w:lang w:eastAsia="en-GB"/>
        </w:rPr>
        <w:t>Região</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Autónoma</w:t>
      </w:r>
      <w:proofErr w:type="spellEnd"/>
      <w:r w:rsidRPr="008D7635">
        <w:rPr>
          <w:rFonts w:ascii="Times New Roman" w:eastAsia="Times New Roman" w:hAnsi="Times New Roman"/>
          <w:sz w:val="24"/>
          <w:szCs w:val="24"/>
          <w:lang w:eastAsia="en-GB"/>
        </w:rPr>
        <w:t xml:space="preserve"> dos </w:t>
      </w:r>
      <w:proofErr w:type="spellStart"/>
      <w:r w:rsidRPr="008D7635">
        <w:rPr>
          <w:rFonts w:ascii="Times New Roman" w:eastAsia="Times New Roman" w:hAnsi="Times New Roman"/>
          <w:sz w:val="24"/>
          <w:szCs w:val="24"/>
          <w:lang w:eastAsia="en-GB"/>
        </w:rPr>
        <w:t>Açores</w:t>
      </w:r>
      <w:proofErr w:type="spellEnd"/>
      <w:r w:rsidRPr="008D7635">
        <w:rPr>
          <w:rFonts w:ascii="Times New Roman" w:eastAsia="Times New Roman" w:hAnsi="Times New Roman"/>
          <w:sz w:val="24"/>
          <w:szCs w:val="24"/>
          <w:lang w:eastAsia="en-GB"/>
        </w:rPr>
        <w:t xml:space="preserve">, the </w:t>
      </w:r>
      <w:proofErr w:type="spellStart"/>
      <w:r w:rsidRPr="008D7635">
        <w:rPr>
          <w:rFonts w:ascii="Times New Roman" w:eastAsia="Times New Roman" w:hAnsi="Times New Roman"/>
          <w:sz w:val="24"/>
          <w:szCs w:val="24"/>
          <w:lang w:eastAsia="en-GB"/>
        </w:rPr>
        <w:t>Centru</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Romanina</w:t>
      </w:r>
      <w:proofErr w:type="spellEnd"/>
      <w:r w:rsidRPr="008D7635">
        <w:rPr>
          <w:rFonts w:ascii="Times New Roman" w:eastAsia="Times New Roman" w:hAnsi="Times New Roman"/>
          <w:sz w:val="24"/>
          <w:szCs w:val="24"/>
          <w:lang w:eastAsia="en-GB"/>
        </w:rPr>
        <w:t xml:space="preserve"> region and the Slovakian region of </w:t>
      </w:r>
      <w:proofErr w:type="spellStart"/>
      <w:r w:rsidRPr="008D7635">
        <w:rPr>
          <w:rFonts w:ascii="Times New Roman" w:eastAsia="Times New Roman" w:hAnsi="Times New Roman"/>
          <w:sz w:val="24"/>
          <w:szCs w:val="24"/>
          <w:lang w:eastAsia="en-GB"/>
        </w:rPr>
        <w:t>Západné</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Slovensko</w:t>
      </w:r>
      <w:proofErr w:type="spellEnd"/>
      <w:r w:rsidRPr="008D7635">
        <w:rPr>
          <w:rFonts w:ascii="Times New Roman" w:eastAsia="Times New Roman" w:hAnsi="Times New Roman"/>
          <w:sz w:val="24"/>
          <w:szCs w:val="24"/>
          <w:lang w:eastAsia="en-GB"/>
        </w:rPr>
        <w:t xml:space="preserve"> are the region with only one or at least two indicators above the European average.</w:t>
      </w:r>
    </w:p>
    <w:p w14:paraId="42B61548" w14:textId="77777777" w:rsidR="000E191C" w:rsidRPr="008D7635" w:rsidRDefault="000E191C" w:rsidP="000E191C">
      <w:pPr>
        <w:spacing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A large number of other eastern European regions, together with the French regions of </w:t>
      </w:r>
      <w:proofErr w:type="spellStart"/>
      <w:r w:rsidRPr="008D7635">
        <w:rPr>
          <w:rFonts w:ascii="Times New Roman" w:eastAsia="Times New Roman" w:hAnsi="Times New Roman"/>
          <w:sz w:val="24"/>
          <w:szCs w:val="24"/>
          <w:lang w:eastAsia="en-GB"/>
        </w:rPr>
        <w:t>Nord-pas-de-Calais</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Pircardie</w:t>
      </w:r>
      <w:proofErr w:type="spellEnd"/>
      <w:r w:rsidRPr="008D7635">
        <w:rPr>
          <w:rFonts w:ascii="Times New Roman" w:eastAsia="Times New Roman" w:hAnsi="Times New Roman"/>
          <w:sz w:val="24"/>
          <w:szCs w:val="24"/>
          <w:lang w:eastAsia="en-GB"/>
        </w:rPr>
        <w:t xml:space="preserve"> and Champagne </w:t>
      </w:r>
      <w:proofErr w:type="spellStart"/>
      <w:r w:rsidRPr="008D7635">
        <w:rPr>
          <w:rFonts w:ascii="Times New Roman" w:eastAsia="Times New Roman" w:hAnsi="Times New Roman"/>
          <w:sz w:val="24"/>
          <w:szCs w:val="24"/>
          <w:lang w:eastAsia="en-GB"/>
        </w:rPr>
        <w:t>Ardenne</w:t>
      </w:r>
      <w:proofErr w:type="spellEnd"/>
      <w:r w:rsidRPr="008D7635">
        <w:rPr>
          <w:rFonts w:ascii="Times New Roman" w:eastAsia="Times New Roman" w:hAnsi="Times New Roman"/>
          <w:sz w:val="24"/>
          <w:szCs w:val="24"/>
          <w:lang w:eastAsia="en-GB"/>
        </w:rPr>
        <w:t xml:space="preserve"> are also performing below the European average, with only 3 indicators performing over the EU average.</w:t>
      </w:r>
    </w:p>
    <w:p w14:paraId="5E5B43DF" w14:textId="77777777" w:rsidR="000E191C" w:rsidRPr="008D7635" w:rsidRDefault="000E191C" w:rsidP="000E191C">
      <w:pPr>
        <w:spacing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On the contrary, the regions hosting the capital cities have the largest number of well-being indicators performing both above the EU average and above the other regions of the considered MS. Example are Berlin, </w:t>
      </w:r>
      <w:proofErr w:type="spellStart"/>
      <w:r w:rsidRPr="008D7635">
        <w:rPr>
          <w:rFonts w:ascii="Times New Roman" w:eastAsia="Times New Roman" w:hAnsi="Times New Roman"/>
          <w:sz w:val="24"/>
          <w:szCs w:val="24"/>
          <w:lang w:eastAsia="en-GB"/>
        </w:rPr>
        <w:t>Praha</w:t>
      </w:r>
      <w:proofErr w:type="spellEnd"/>
      <w:r w:rsidRPr="008D7635">
        <w:rPr>
          <w:rFonts w:ascii="Times New Roman" w:eastAsia="Times New Roman" w:hAnsi="Times New Roman"/>
          <w:sz w:val="24"/>
          <w:szCs w:val="24"/>
          <w:lang w:eastAsia="en-GB"/>
        </w:rPr>
        <w:t xml:space="preserve">, Wien and Bratislava that have a colour much more greener than the </w:t>
      </w:r>
      <w:proofErr w:type="spellStart"/>
      <w:r w:rsidRPr="008D7635">
        <w:rPr>
          <w:rFonts w:ascii="Times New Roman" w:eastAsia="Times New Roman" w:hAnsi="Times New Roman"/>
          <w:sz w:val="24"/>
          <w:szCs w:val="24"/>
          <w:lang w:eastAsia="en-GB"/>
        </w:rPr>
        <w:t>regioni</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limitrofe</w:t>
      </w:r>
      <w:proofErr w:type="spellEnd"/>
      <w:r w:rsidRPr="008D7635">
        <w:rPr>
          <w:rFonts w:ascii="Times New Roman" w:eastAsia="Times New Roman" w:hAnsi="Times New Roman"/>
          <w:sz w:val="24"/>
          <w:szCs w:val="24"/>
          <w:lang w:eastAsia="en-GB"/>
        </w:rPr>
        <w:t>.</w:t>
      </w:r>
    </w:p>
    <w:p w14:paraId="6E479E3F" w14:textId="77777777" w:rsidR="000E191C" w:rsidRPr="008D7635" w:rsidRDefault="000E191C" w:rsidP="000E191C">
      <w:pPr>
        <w:spacing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lastRenderedPageBreak/>
        <w:t xml:space="preserve">Stockholm, Gloucestershire, Wiltshire and Bristol/Bath are the only regions with all the 12 considered indicators above the EU average, followed by </w:t>
      </w:r>
      <w:proofErr w:type="spellStart"/>
      <w:r w:rsidRPr="008D7635">
        <w:rPr>
          <w:rFonts w:ascii="Times New Roman" w:eastAsia="Times New Roman" w:hAnsi="Times New Roman"/>
          <w:sz w:val="24"/>
          <w:szCs w:val="24"/>
          <w:lang w:eastAsia="en-GB"/>
        </w:rPr>
        <w:t>Östra</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Mellansverige</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Västsverige</w:t>
      </w:r>
      <w:proofErr w:type="spellEnd"/>
      <w:r w:rsidRPr="008D7635">
        <w:rPr>
          <w:rFonts w:ascii="Times New Roman" w:eastAsia="Times New Roman" w:hAnsi="Times New Roman"/>
          <w:sz w:val="24"/>
          <w:szCs w:val="24"/>
          <w:lang w:eastAsia="en-GB"/>
        </w:rPr>
        <w:t xml:space="preserve">, Hampshire and Isle of Wight regions with 11 over 12 indicators above the EU average. </w:t>
      </w:r>
      <w:proofErr w:type="spellStart"/>
      <w:r w:rsidRPr="008D7635">
        <w:rPr>
          <w:rFonts w:ascii="Times New Roman" w:eastAsia="Times New Roman" w:hAnsi="Times New Roman"/>
          <w:sz w:val="24"/>
          <w:szCs w:val="24"/>
          <w:lang w:eastAsia="en-GB"/>
        </w:rPr>
        <w:t>Etelä-Suomi</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Länsi-Suomi</w:t>
      </w:r>
      <w:proofErr w:type="spellEnd"/>
      <w:r w:rsidRPr="008D7635">
        <w:rPr>
          <w:rFonts w:ascii="Times New Roman" w:eastAsia="Times New Roman" w:hAnsi="Times New Roman"/>
          <w:sz w:val="24"/>
          <w:szCs w:val="24"/>
          <w:lang w:eastAsia="en-GB"/>
        </w:rPr>
        <w:t xml:space="preserve">, </w:t>
      </w:r>
      <w:proofErr w:type="spellStart"/>
      <w:r w:rsidRPr="008D7635">
        <w:rPr>
          <w:rFonts w:ascii="Times New Roman" w:eastAsia="Times New Roman" w:hAnsi="Times New Roman"/>
          <w:sz w:val="24"/>
          <w:szCs w:val="24"/>
          <w:lang w:eastAsia="en-GB"/>
        </w:rPr>
        <w:t>Pohjois-Suomi</w:t>
      </w:r>
      <w:proofErr w:type="spellEnd"/>
      <w:r w:rsidRPr="008D7635">
        <w:rPr>
          <w:rFonts w:ascii="Times New Roman" w:eastAsia="Times New Roman" w:hAnsi="Times New Roman"/>
          <w:sz w:val="24"/>
          <w:szCs w:val="24"/>
          <w:lang w:eastAsia="en-GB"/>
        </w:rPr>
        <w:t xml:space="preserve">, Berkshire, Buckinghamshire and Oxfordshire, Surrey, East and West Sussex, Stuttgart, </w:t>
      </w:r>
      <w:proofErr w:type="spellStart"/>
      <w:r w:rsidRPr="008D7635">
        <w:rPr>
          <w:rFonts w:ascii="Times New Roman" w:eastAsia="Times New Roman" w:hAnsi="Times New Roman"/>
          <w:sz w:val="24"/>
          <w:szCs w:val="24"/>
          <w:lang w:eastAsia="en-GB"/>
        </w:rPr>
        <w:t>Oberbayern</w:t>
      </w:r>
      <w:proofErr w:type="spellEnd"/>
      <w:r w:rsidRPr="008D7635">
        <w:rPr>
          <w:rFonts w:ascii="Times New Roman" w:eastAsia="Times New Roman" w:hAnsi="Times New Roman"/>
          <w:sz w:val="24"/>
          <w:szCs w:val="24"/>
          <w:lang w:eastAsia="en-GB"/>
        </w:rPr>
        <w:t xml:space="preserve"> and Berlin, have only 2 over 12 indicators below the EU average.</w:t>
      </w:r>
    </w:p>
    <w:p w14:paraId="4C8EC7BA" w14:textId="77777777" w:rsidR="000E191C" w:rsidRPr="008D7635" w:rsidRDefault="000E191C" w:rsidP="000E191C">
      <w:pPr>
        <w:spacing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To sum up, it is possible to identify four main well-being </w:t>
      </w:r>
      <w:r w:rsidR="000E7945" w:rsidRPr="008D7635">
        <w:rPr>
          <w:rFonts w:ascii="Times New Roman" w:eastAsia="Times New Roman" w:hAnsi="Times New Roman"/>
          <w:sz w:val="24"/>
          <w:szCs w:val="24"/>
          <w:lang w:eastAsia="en-GB"/>
        </w:rPr>
        <w:t>macro-</w:t>
      </w:r>
      <w:r w:rsidRPr="008D7635">
        <w:rPr>
          <w:rFonts w:ascii="Times New Roman" w:eastAsia="Times New Roman" w:hAnsi="Times New Roman"/>
          <w:sz w:val="24"/>
          <w:szCs w:val="24"/>
          <w:lang w:eastAsia="en-GB"/>
        </w:rPr>
        <w:t>areas:</w:t>
      </w:r>
    </w:p>
    <w:p w14:paraId="1C9119B1" w14:textId="77777777" w:rsidR="000E191C" w:rsidRPr="008D7635" w:rsidRDefault="000E191C" w:rsidP="000E191C">
      <w:pPr>
        <w:spacing w:line="360" w:lineRule="auto"/>
        <w:ind w:left="284" w:hanging="284"/>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1) The eastern European countries with the largest number of indicators performing below the EU average.</w:t>
      </w:r>
    </w:p>
    <w:p w14:paraId="05935D17" w14:textId="77777777" w:rsidR="000E191C" w:rsidRPr="008D7635" w:rsidRDefault="000E191C" w:rsidP="000E191C">
      <w:pPr>
        <w:spacing w:line="360" w:lineRule="auto"/>
        <w:ind w:left="284" w:hanging="284"/>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2) The Scandinavian regions and the south of England performing above the EU average</w:t>
      </w:r>
    </w:p>
    <w:p w14:paraId="01670145" w14:textId="77777777" w:rsidR="000E191C" w:rsidRPr="008D7635" w:rsidRDefault="000E191C" w:rsidP="000E191C">
      <w:pPr>
        <w:spacing w:line="360" w:lineRule="auto"/>
        <w:ind w:left="284" w:hanging="284"/>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3) The Mediterranean regions, together with central England and eastern France performing a bit below the EU average</w:t>
      </w:r>
    </w:p>
    <w:p w14:paraId="67A8533C" w14:textId="77777777" w:rsidR="000E191C" w:rsidRPr="008D7635" w:rsidRDefault="000E191C" w:rsidP="000E191C">
      <w:pPr>
        <w:spacing w:line="360" w:lineRule="auto"/>
        <w:ind w:left="284" w:hanging="284"/>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4) The central European regions, together with Ireland and Cyprus performing a bit over the EU average</w:t>
      </w:r>
    </w:p>
    <w:p w14:paraId="3F8E1437" w14:textId="77777777" w:rsidR="000E191C"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In order to provide transparent and detailed information, a graphical representation on the performance of every considered region and indicator in comparisons to the EU average is reported in </w:t>
      </w:r>
      <w:proofErr w:type="spellStart"/>
      <w:r w:rsidRPr="008D7635">
        <w:rPr>
          <w:rFonts w:ascii="Times New Roman" w:hAnsi="Times New Roman"/>
          <w:sz w:val="24"/>
          <w:szCs w:val="24"/>
          <w:lang w:val="en-US"/>
        </w:rPr>
        <w:t>Andreoni</w:t>
      </w:r>
      <w:proofErr w:type="spellEnd"/>
      <w:r w:rsidRPr="008D7635">
        <w:rPr>
          <w:rFonts w:ascii="Times New Roman" w:hAnsi="Times New Roman"/>
          <w:sz w:val="24"/>
          <w:szCs w:val="24"/>
          <w:lang w:val="en-US"/>
        </w:rPr>
        <w:t xml:space="preserve"> and </w:t>
      </w:r>
      <w:proofErr w:type="spellStart"/>
      <w:r w:rsidRPr="008D7635">
        <w:rPr>
          <w:rFonts w:ascii="Times New Roman" w:hAnsi="Times New Roman"/>
          <w:sz w:val="24"/>
          <w:szCs w:val="24"/>
          <w:lang w:val="en-US"/>
        </w:rPr>
        <w:t>Galmarini</w:t>
      </w:r>
      <w:proofErr w:type="spellEnd"/>
      <w:r w:rsidRPr="008D7635">
        <w:rPr>
          <w:rFonts w:ascii="Times New Roman" w:hAnsi="Times New Roman"/>
          <w:sz w:val="24"/>
          <w:szCs w:val="24"/>
          <w:lang w:val="en-US"/>
        </w:rPr>
        <w:t xml:space="preserve"> (2014). </w:t>
      </w:r>
    </w:p>
    <w:p w14:paraId="48AA6B1B" w14:textId="7B8BCCD9" w:rsidR="000E191C" w:rsidRPr="008D7635" w:rsidRDefault="008D241A"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Originally, o</w:t>
      </w:r>
      <w:r w:rsidR="000E191C" w:rsidRPr="008D7635">
        <w:rPr>
          <w:rFonts w:ascii="Times New Roman" w:hAnsi="Times New Roman"/>
          <w:sz w:val="24"/>
          <w:szCs w:val="24"/>
          <w:lang w:val="en-US"/>
        </w:rPr>
        <w:t>ne of the main reasons to select regions as minimum scales was connected to the necessity of verifying to what extent comparable levels of well-being were extending beyond the national borders and could be grouped with respect to well-being criteria. Figure 1 clear</w:t>
      </w:r>
      <w:r w:rsidRPr="008D7635">
        <w:rPr>
          <w:rFonts w:ascii="Times New Roman" w:hAnsi="Times New Roman"/>
          <w:sz w:val="24"/>
          <w:szCs w:val="24"/>
          <w:lang w:val="en-US"/>
        </w:rPr>
        <w:t>ly</w:t>
      </w:r>
      <w:r w:rsidR="000E191C" w:rsidRPr="008D7635">
        <w:rPr>
          <w:rFonts w:ascii="Times New Roman" w:hAnsi="Times New Roman"/>
          <w:sz w:val="24"/>
          <w:szCs w:val="24"/>
          <w:lang w:val="en-US"/>
        </w:rPr>
        <w:t xml:space="preserve"> shows the presence of aggregations that go beyond the borders. As far as the lower end of the scale is concerned we see a streak of red moving from Check Republic </w:t>
      </w:r>
      <w:r w:rsidR="00234989" w:rsidRPr="008D7635">
        <w:rPr>
          <w:rFonts w:ascii="Times New Roman" w:hAnsi="Times New Roman"/>
          <w:sz w:val="24"/>
          <w:szCs w:val="24"/>
          <w:lang w:val="en-US"/>
        </w:rPr>
        <w:t>into the</w:t>
      </w:r>
      <w:r w:rsidR="000E191C" w:rsidRPr="008D7635">
        <w:rPr>
          <w:rFonts w:ascii="Times New Roman" w:hAnsi="Times New Roman"/>
          <w:sz w:val="24"/>
          <w:szCs w:val="24"/>
          <w:lang w:val="en-US"/>
        </w:rPr>
        <w:t xml:space="preserve"> German main land and all the way to the Dutch border were it stops. A detailed analysis of the breakdown of indicators reveals that</w:t>
      </w:r>
      <w:r w:rsidR="000E7945" w:rsidRPr="008D7635">
        <w:rPr>
          <w:rFonts w:ascii="Times New Roman" w:hAnsi="Times New Roman"/>
          <w:sz w:val="24"/>
          <w:szCs w:val="24"/>
          <w:lang w:val="en-US"/>
        </w:rPr>
        <w:t xml:space="preserve"> that this is mainly due to economic </w:t>
      </w:r>
      <w:r w:rsidR="00234989" w:rsidRPr="008D7635">
        <w:rPr>
          <w:rFonts w:ascii="Times New Roman" w:hAnsi="Times New Roman"/>
          <w:sz w:val="24"/>
          <w:szCs w:val="24"/>
          <w:lang w:val="en-US"/>
        </w:rPr>
        <w:t>parameters</w:t>
      </w:r>
      <w:r w:rsidR="000E7945" w:rsidRPr="008D7635">
        <w:rPr>
          <w:rFonts w:ascii="Times New Roman" w:hAnsi="Times New Roman"/>
          <w:sz w:val="24"/>
          <w:szCs w:val="24"/>
          <w:lang w:val="en-US"/>
        </w:rPr>
        <w:t xml:space="preserve"> but also to those that, as demonstrated above, are related to them. There are also pockets of high well</w:t>
      </w:r>
      <w:r w:rsidR="00234989" w:rsidRPr="008D7635">
        <w:rPr>
          <w:rFonts w:ascii="Times New Roman" w:hAnsi="Times New Roman"/>
          <w:sz w:val="24"/>
          <w:szCs w:val="24"/>
          <w:lang w:val="en-US"/>
        </w:rPr>
        <w:t>-</w:t>
      </w:r>
      <w:r w:rsidR="000E7945" w:rsidRPr="008D7635">
        <w:rPr>
          <w:rFonts w:ascii="Times New Roman" w:hAnsi="Times New Roman"/>
          <w:sz w:val="24"/>
          <w:szCs w:val="24"/>
          <w:lang w:val="en-US"/>
        </w:rPr>
        <w:t xml:space="preserve">being that go beyond borders. Examples in this respect are </w:t>
      </w:r>
      <w:r w:rsidR="009C5687" w:rsidRPr="008D7635">
        <w:rPr>
          <w:rFonts w:ascii="Times New Roman" w:hAnsi="Times New Roman"/>
          <w:sz w:val="24"/>
          <w:szCs w:val="24"/>
          <w:lang w:val="en-US"/>
        </w:rPr>
        <w:t>between Austria</w:t>
      </w:r>
      <w:r w:rsidR="00A11966" w:rsidRPr="008D7635">
        <w:rPr>
          <w:rFonts w:ascii="Times New Roman" w:hAnsi="Times New Roman"/>
          <w:sz w:val="24"/>
          <w:szCs w:val="24"/>
          <w:lang w:val="en-US"/>
        </w:rPr>
        <w:t xml:space="preserve"> (Bavaria/Tirol)</w:t>
      </w:r>
      <w:r w:rsidR="009C5687" w:rsidRPr="008D7635">
        <w:rPr>
          <w:rFonts w:ascii="Times New Roman" w:hAnsi="Times New Roman"/>
          <w:sz w:val="24"/>
          <w:szCs w:val="24"/>
          <w:lang w:val="en-US"/>
        </w:rPr>
        <w:t>, Italy</w:t>
      </w:r>
      <w:r w:rsidR="00A11966" w:rsidRPr="008D7635">
        <w:rPr>
          <w:rFonts w:ascii="Times New Roman" w:hAnsi="Times New Roman"/>
          <w:sz w:val="24"/>
          <w:szCs w:val="24"/>
          <w:lang w:val="en-US"/>
        </w:rPr>
        <w:t xml:space="preserve"> (South-Tirol)</w:t>
      </w:r>
      <w:r w:rsidR="009C5687" w:rsidRPr="008D7635">
        <w:rPr>
          <w:rFonts w:ascii="Times New Roman" w:hAnsi="Times New Roman"/>
          <w:sz w:val="24"/>
          <w:szCs w:val="24"/>
          <w:lang w:val="en-US"/>
        </w:rPr>
        <w:t xml:space="preserve"> and Slovenia </w:t>
      </w:r>
      <w:r w:rsidR="000E7945" w:rsidRPr="008D7635">
        <w:rPr>
          <w:rFonts w:ascii="Times New Roman" w:hAnsi="Times New Roman"/>
          <w:sz w:val="24"/>
          <w:szCs w:val="24"/>
          <w:lang w:val="en-US"/>
        </w:rPr>
        <w:t>that share similar levels of well</w:t>
      </w:r>
      <w:r w:rsidR="009C5687" w:rsidRPr="008D7635">
        <w:rPr>
          <w:rFonts w:ascii="Times New Roman" w:hAnsi="Times New Roman"/>
          <w:sz w:val="24"/>
          <w:szCs w:val="24"/>
          <w:lang w:val="en-US"/>
        </w:rPr>
        <w:t>-being.</w:t>
      </w:r>
      <w:r w:rsidR="000E7945" w:rsidRPr="008D7635">
        <w:rPr>
          <w:rFonts w:ascii="Times New Roman" w:hAnsi="Times New Roman"/>
          <w:sz w:val="24"/>
          <w:szCs w:val="24"/>
          <w:lang w:val="en-US"/>
        </w:rPr>
        <w:t xml:space="preserve"> County capitals </w:t>
      </w:r>
      <w:r w:rsidR="00234989" w:rsidRPr="008D7635">
        <w:rPr>
          <w:rFonts w:ascii="Times New Roman" w:hAnsi="Times New Roman"/>
          <w:sz w:val="24"/>
          <w:szCs w:val="24"/>
          <w:lang w:val="en-US"/>
        </w:rPr>
        <w:t>recognized</w:t>
      </w:r>
      <w:r w:rsidR="000E7945" w:rsidRPr="008D7635">
        <w:rPr>
          <w:rFonts w:ascii="Times New Roman" w:hAnsi="Times New Roman"/>
          <w:sz w:val="24"/>
          <w:szCs w:val="24"/>
          <w:lang w:val="en-US"/>
        </w:rPr>
        <w:t xml:space="preserve"> as regions are also pockets of high well</w:t>
      </w:r>
      <w:r w:rsidR="00234989" w:rsidRPr="008D7635">
        <w:rPr>
          <w:rFonts w:ascii="Times New Roman" w:hAnsi="Times New Roman"/>
          <w:sz w:val="24"/>
          <w:szCs w:val="24"/>
          <w:lang w:val="en-US"/>
        </w:rPr>
        <w:t>-</w:t>
      </w:r>
      <w:r w:rsidR="000E7945" w:rsidRPr="008D7635">
        <w:rPr>
          <w:rFonts w:ascii="Times New Roman" w:hAnsi="Times New Roman"/>
          <w:sz w:val="24"/>
          <w:szCs w:val="24"/>
          <w:lang w:val="en-US"/>
        </w:rPr>
        <w:t xml:space="preserve">being levels (e.g. Berlin, Madrid, London, </w:t>
      </w:r>
      <w:r w:rsidR="009C5687" w:rsidRPr="008D7635">
        <w:rPr>
          <w:rFonts w:ascii="Times New Roman" w:hAnsi="Times New Roman"/>
          <w:sz w:val="24"/>
          <w:szCs w:val="24"/>
          <w:lang w:val="en-US"/>
        </w:rPr>
        <w:t>and Paris</w:t>
      </w:r>
      <w:r w:rsidR="000E7945" w:rsidRPr="008D7635">
        <w:rPr>
          <w:rFonts w:ascii="Times New Roman" w:hAnsi="Times New Roman"/>
          <w:sz w:val="24"/>
          <w:szCs w:val="24"/>
          <w:lang w:val="en-US"/>
        </w:rPr>
        <w:t xml:space="preserve">). An </w:t>
      </w:r>
      <w:r w:rsidR="00234989" w:rsidRPr="008D7635">
        <w:rPr>
          <w:rFonts w:ascii="Times New Roman" w:hAnsi="Times New Roman"/>
          <w:sz w:val="24"/>
          <w:szCs w:val="24"/>
          <w:lang w:val="en-US"/>
        </w:rPr>
        <w:t>exception</w:t>
      </w:r>
      <w:r w:rsidR="000E7945" w:rsidRPr="008D7635">
        <w:rPr>
          <w:rFonts w:ascii="Times New Roman" w:hAnsi="Times New Roman"/>
          <w:sz w:val="24"/>
          <w:szCs w:val="24"/>
          <w:lang w:val="en-US"/>
        </w:rPr>
        <w:t xml:space="preserve"> on this is the </w:t>
      </w:r>
      <w:r w:rsidR="009C5687" w:rsidRPr="008D7635">
        <w:rPr>
          <w:rFonts w:ascii="Times New Roman" w:hAnsi="Times New Roman"/>
          <w:sz w:val="24"/>
          <w:szCs w:val="24"/>
          <w:lang w:val="en-US"/>
        </w:rPr>
        <w:t>Stockholm</w:t>
      </w:r>
      <w:r w:rsidR="000E7945" w:rsidRPr="008D7635">
        <w:rPr>
          <w:rFonts w:ascii="Times New Roman" w:hAnsi="Times New Roman"/>
          <w:sz w:val="24"/>
          <w:szCs w:val="24"/>
          <w:lang w:val="en-US"/>
        </w:rPr>
        <w:t xml:space="preserve"> region which is lower than then </w:t>
      </w:r>
      <w:r w:rsidR="00234989" w:rsidRPr="008D7635">
        <w:rPr>
          <w:rFonts w:ascii="Times New Roman" w:hAnsi="Times New Roman"/>
          <w:sz w:val="24"/>
          <w:szCs w:val="24"/>
          <w:lang w:val="en-US"/>
        </w:rPr>
        <w:t>surrounding</w:t>
      </w:r>
      <w:r w:rsidR="000E7945" w:rsidRPr="008D7635">
        <w:rPr>
          <w:rFonts w:ascii="Times New Roman" w:hAnsi="Times New Roman"/>
          <w:sz w:val="24"/>
          <w:szCs w:val="24"/>
          <w:lang w:val="en-US"/>
        </w:rPr>
        <w:t xml:space="preserve"> one. </w:t>
      </w:r>
      <w:r w:rsidR="00234989" w:rsidRPr="008D7635">
        <w:rPr>
          <w:rFonts w:ascii="Times New Roman" w:hAnsi="Times New Roman"/>
          <w:sz w:val="24"/>
          <w:szCs w:val="24"/>
          <w:lang w:val="en-US"/>
        </w:rPr>
        <w:t>Population</w:t>
      </w:r>
      <w:r w:rsidR="000E7945" w:rsidRPr="008D7635">
        <w:rPr>
          <w:rFonts w:ascii="Times New Roman" w:hAnsi="Times New Roman"/>
          <w:sz w:val="24"/>
          <w:szCs w:val="24"/>
          <w:lang w:val="en-US"/>
        </w:rPr>
        <w:t xml:space="preserve"> density could be reason for this </w:t>
      </w:r>
      <w:r w:rsidR="00234989" w:rsidRPr="008D7635">
        <w:rPr>
          <w:rFonts w:ascii="Times New Roman" w:hAnsi="Times New Roman"/>
          <w:sz w:val="24"/>
          <w:szCs w:val="24"/>
          <w:lang w:val="en-US"/>
        </w:rPr>
        <w:t>anomaly</w:t>
      </w:r>
      <w:r w:rsidR="000E7945" w:rsidRPr="008D7635">
        <w:rPr>
          <w:rFonts w:ascii="Times New Roman" w:hAnsi="Times New Roman"/>
          <w:sz w:val="24"/>
          <w:szCs w:val="24"/>
          <w:lang w:val="en-US"/>
        </w:rPr>
        <w:t xml:space="preserve"> and should be further investigated. Low </w:t>
      </w:r>
      <w:r w:rsidR="00234989" w:rsidRPr="008D7635">
        <w:rPr>
          <w:rFonts w:ascii="Times New Roman" w:hAnsi="Times New Roman"/>
          <w:sz w:val="24"/>
          <w:szCs w:val="24"/>
          <w:lang w:val="en-US"/>
        </w:rPr>
        <w:lastRenderedPageBreak/>
        <w:t>levels are</w:t>
      </w:r>
      <w:r w:rsidR="000E7945" w:rsidRPr="008D7635">
        <w:rPr>
          <w:rFonts w:ascii="Times New Roman" w:hAnsi="Times New Roman"/>
          <w:sz w:val="24"/>
          <w:szCs w:val="24"/>
          <w:lang w:val="en-US"/>
        </w:rPr>
        <w:t xml:space="preserve"> found across the French-</w:t>
      </w:r>
      <w:proofErr w:type="spellStart"/>
      <w:r w:rsidR="000E7945" w:rsidRPr="008D7635">
        <w:rPr>
          <w:rFonts w:ascii="Times New Roman" w:hAnsi="Times New Roman"/>
          <w:sz w:val="24"/>
          <w:szCs w:val="24"/>
          <w:lang w:val="en-US"/>
        </w:rPr>
        <w:t>Walloonie</w:t>
      </w:r>
      <w:proofErr w:type="spellEnd"/>
      <w:r w:rsidR="000E7945" w:rsidRPr="008D7635">
        <w:rPr>
          <w:rFonts w:ascii="Times New Roman" w:hAnsi="Times New Roman"/>
          <w:sz w:val="24"/>
          <w:szCs w:val="24"/>
          <w:lang w:val="en-US"/>
        </w:rPr>
        <w:t xml:space="preserve"> border which in particular for the French part shows ever decreasing levels. </w:t>
      </w:r>
      <w:r w:rsidRPr="008D7635">
        <w:rPr>
          <w:rFonts w:ascii="Times New Roman" w:hAnsi="Times New Roman"/>
          <w:sz w:val="24"/>
          <w:szCs w:val="24"/>
          <w:lang w:val="en-US"/>
        </w:rPr>
        <w:t>An</w:t>
      </w:r>
      <w:r w:rsidR="000E7945" w:rsidRPr="008D7635">
        <w:rPr>
          <w:rFonts w:ascii="Times New Roman" w:hAnsi="Times New Roman"/>
          <w:sz w:val="24"/>
          <w:szCs w:val="24"/>
          <w:lang w:val="en-US"/>
        </w:rPr>
        <w:t xml:space="preserve"> interesting </w:t>
      </w:r>
      <w:r w:rsidRPr="008D7635">
        <w:rPr>
          <w:rFonts w:ascii="Times New Roman" w:hAnsi="Times New Roman"/>
          <w:sz w:val="24"/>
          <w:szCs w:val="24"/>
          <w:lang w:val="en-US"/>
        </w:rPr>
        <w:t xml:space="preserve">feature is represented by the </w:t>
      </w:r>
      <w:r w:rsidR="000E7945" w:rsidRPr="008D7635">
        <w:rPr>
          <w:rFonts w:ascii="Times New Roman" w:hAnsi="Times New Roman"/>
          <w:sz w:val="24"/>
          <w:szCs w:val="24"/>
          <w:lang w:val="en-US"/>
        </w:rPr>
        <w:t xml:space="preserve">similarity between </w:t>
      </w:r>
      <w:r w:rsidR="009C5687" w:rsidRPr="008D7635">
        <w:rPr>
          <w:rFonts w:ascii="Times New Roman" w:hAnsi="Times New Roman"/>
          <w:sz w:val="24"/>
          <w:szCs w:val="24"/>
          <w:lang w:val="en-US"/>
        </w:rPr>
        <w:t>Crete</w:t>
      </w:r>
      <w:r w:rsidR="000E7945" w:rsidRPr="008D7635">
        <w:rPr>
          <w:rFonts w:ascii="Times New Roman" w:hAnsi="Times New Roman"/>
          <w:sz w:val="24"/>
          <w:szCs w:val="24"/>
          <w:lang w:val="en-US"/>
        </w:rPr>
        <w:t xml:space="preserve"> and the rest of Greek islands </w:t>
      </w:r>
      <w:r w:rsidRPr="008D7635">
        <w:rPr>
          <w:rFonts w:ascii="Times New Roman" w:hAnsi="Times New Roman"/>
          <w:sz w:val="24"/>
          <w:szCs w:val="24"/>
          <w:lang w:val="en-US"/>
        </w:rPr>
        <w:t xml:space="preserve">and </w:t>
      </w:r>
      <w:r w:rsidR="000E7945" w:rsidRPr="008D7635">
        <w:rPr>
          <w:rFonts w:ascii="Times New Roman" w:hAnsi="Times New Roman"/>
          <w:sz w:val="24"/>
          <w:szCs w:val="24"/>
          <w:lang w:val="en-US"/>
        </w:rPr>
        <w:t>the contrast with mainland Greece.</w:t>
      </w:r>
    </w:p>
    <w:p w14:paraId="4CDBBE94" w14:textId="77777777" w:rsidR="008D241A" w:rsidRPr="008D7635" w:rsidRDefault="008D241A" w:rsidP="000E191C">
      <w:pPr>
        <w:spacing w:line="360" w:lineRule="auto"/>
        <w:jc w:val="both"/>
        <w:rPr>
          <w:rFonts w:ascii="Times New Roman" w:hAnsi="Times New Roman"/>
          <w:i/>
          <w:sz w:val="24"/>
          <w:szCs w:val="24"/>
          <w:lang w:val="en-US"/>
        </w:rPr>
      </w:pPr>
      <w:r w:rsidRPr="008D7635">
        <w:rPr>
          <w:rFonts w:ascii="Times New Roman" w:hAnsi="Times New Roman"/>
          <w:sz w:val="24"/>
          <w:szCs w:val="24"/>
          <w:lang w:val="en-US"/>
        </w:rPr>
        <w:t>These results are particularly interesting from the socio</w:t>
      </w:r>
      <w:r w:rsidR="00E13B15" w:rsidRPr="008D7635">
        <w:rPr>
          <w:rFonts w:ascii="Times New Roman" w:hAnsi="Times New Roman"/>
          <w:sz w:val="24"/>
          <w:szCs w:val="24"/>
          <w:lang w:val="en-US"/>
        </w:rPr>
        <w:t>/political</w:t>
      </w:r>
      <w:r w:rsidRPr="008D7635">
        <w:rPr>
          <w:rFonts w:ascii="Times New Roman" w:hAnsi="Times New Roman"/>
          <w:sz w:val="24"/>
          <w:szCs w:val="24"/>
          <w:lang w:val="en-US"/>
        </w:rPr>
        <w:t xml:space="preserve"> point view as they seem to point toward possibly historical or cultural similarities of commonly shared values that guarantee for comparable levels of well being in spite of the clear and well defined administrative separation represented by a national border.</w:t>
      </w:r>
    </w:p>
    <w:p w14:paraId="252B1074" w14:textId="77777777" w:rsidR="000E191C" w:rsidRPr="008D7635" w:rsidRDefault="000E191C" w:rsidP="000E191C">
      <w:pPr>
        <w:spacing w:line="360" w:lineRule="auto"/>
        <w:jc w:val="both"/>
        <w:rPr>
          <w:rFonts w:ascii="Times New Roman" w:hAnsi="Times New Roman"/>
          <w:b/>
          <w:sz w:val="24"/>
          <w:szCs w:val="24"/>
          <w:lang w:val="en-US"/>
        </w:rPr>
      </w:pPr>
      <w:r w:rsidRPr="008D7635">
        <w:rPr>
          <w:rFonts w:ascii="Times New Roman" w:hAnsi="Times New Roman"/>
          <w:noProof/>
          <w:sz w:val="24"/>
          <w:szCs w:val="24"/>
          <w:lang w:eastAsia="en-GB"/>
        </w:rPr>
        <w:lastRenderedPageBreak/>
        <w:drawing>
          <wp:inline distT="0" distB="0" distL="0" distR="0" wp14:anchorId="45014D06" wp14:editId="5DF4C335">
            <wp:extent cx="5762625" cy="8639810"/>
            <wp:effectExtent l="0" t="0" r="9525" b="8890"/>
            <wp:docPr id="2" name="Picture 2" descr="WB M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B Map"/>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639810"/>
                    </a:xfrm>
                    <a:prstGeom prst="rect">
                      <a:avLst/>
                    </a:prstGeom>
                    <a:noFill/>
                    <a:ln>
                      <a:noFill/>
                    </a:ln>
                  </pic:spPr>
                </pic:pic>
              </a:graphicData>
            </a:graphic>
          </wp:inline>
        </w:drawing>
      </w:r>
    </w:p>
    <w:p w14:paraId="00230012" w14:textId="77777777" w:rsidR="000E191C" w:rsidRPr="008D7635" w:rsidRDefault="00C75AF1" w:rsidP="000E191C">
      <w:pPr>
        <w:spacing w:line="360" w:lineRule="auto"/>
        <w:jc w:val="both"/>
        <w:rPr>
          <w:rFonts w:ascii="Times New Roman" w:hAnsi="Times New Roman"/>
          <w:b/>
          <w:i/>
          <w:sz w:val="24"/>
          <w:szCs w:val="24"/>
          <w:lang w:val="en-US"/>
        </w:rPr>
      </w:pPr>
      <w:r w:rsidRPr="008D7635">
        <w:rPr>
          <w:rFonts w:ascii="Times New Roman" w:hAnsi="Times New Roman"/>
          <w:b/>
          <w:i/>
          <w:sz w:val="24"/>
          <w:szCs w:val="24"/>
          <w:lang w:val="en-US"/>
        </w:rPr>
        <w:lastRenderedPageBreak/>
        <w:t>4</w:t>
      </w:r>
      <w:r w:rsidR="000E191C" w:rsidRPr="008D7635">
        <w:rPr>
          <w:rFonts w:ascii="Times New Roman" w:hAnsi="Times New Roman"/>
          <w:b/>
          <w:i/>
          <w:sz w:val="24"/>
          <w:szCs w:val="24"/>
          <w:lang w:val="en-US"/>
        </w:rPr>
        <w:t xml:space="preserve">.3 </w:t>
      </w:r>
      <w:r w:rsidR="000E191C" w:rsidRPr="008D7635">
        <w:rPr>
          <w:rFonts w:ascii="Times New Roman" w:hAnsi="Times New Roman"/>
          <w:b/>
          <w:i/>
          <w:sz w:val="24"/>
          <w:szCs w:val="24"/>
          <w:lang w:val="en-US"/>
        </w:rPr>
        <w:tab/>
      </w:r>
      <w:proofErr w:type="spellStart"/>
      <w:r w:rsidR="000E191C" w:rsidRPr="008D7635">
        <w:rPr>
          <w:rFonts w:ascii="Times New Roman" w:hAnsi="Times New Roman"/>
          <w:b/>
          <w:i/>
          <w:sz w:val="24"/>
          <w:szCs w:val="24"/>
          <w:lang w:val="en-US"/>
        </w:rPr>
        <w:t>Gini</w:t>
      </w:r>
      <w:proofErr w:type="spellEnd"/>
      <w:r w:rsidR="000E191C" w:rsidRPr="008D7635">
        <w:rPr>
          <w:rFonts w:ascii="Times New Roman" w:hAnsi="Times New Roman"/>
          <w:b/>
          <w:i/>
          <w:sz w:val="24"/>
          <w:szCs w:val="24"/>
          <w:lang w:val="en-US"/>
        </w:rPr>
        <w:t xml:space="preserve"> coefficient for well-being indicators</w:t>
      </w:r>
    </w:p>
    <w:p w14:paraId="59C6626B" w14:textId="77777777" w:rsidR="000E191C"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w:t>
      </w:r>
      <w:proofErr w:type="spellStart"/>
      <w:r w:rsidRPr="008D7635">
        <w:rPr>
          <w:rFonts w:ascii="Times New Roman" w:hAnsi="Times New Roman"/>
          <w:sz w:val="24"/>
          <w:szCs w:val="24"/>
          <w:lang w:val="en-US"/>
        </w:rPr>
        <w:t>Gini</w:t>
      </w:r>
      <w:proofErr w:type="spellEnd"/>
      <w:r w:rsidRPr="008D7635">
        <w:rPr>
          <w:rFonts w:ascii="Times New Roman" w:hAnsi="Times New Roman"/>
          <w:sz w:val="24"/>
          <w:szCs w:val="24"/>
          <w:lang w:val="en-US"/>
        </w:rPr>
        <w:t xml:space="preserve"> coefficient is commonly used to </w:t>
      </w:r>
      <w:r w:rsidR="000E7945" w:rsidRPr="008D7635">
        <w:rPr>
          <w:rFonts w:ascii="Times New Roman" w:hAnsi="Times New Roman"/>
          <w:sz w:val="24"/>
          <w:szCs w:val="24"/>
          <w:lang w:val="en-US"/>
        </w:rPr>
        <w:t xml:space="preserve">determine </w:t>
      </w:r>
      <w:r w:rsidRPr="008D7635">
        <w:rPr>
          <w:rFonts w:ascii="Times New Roman" w:hAnsi="Times New Roman"/>
          <w:sz w:val="24"/>
          <w:szCs w:val="24"/>
          <w:lang w:val="en-US"/>
        </w:rPr>
        <w:t xml:space="preserve">the level of </w:t>
      </w:r>
      <w:r w:rsidR="000E7945" w:rsidRPr="008D7635">
        <w:rPr>
          <w:rFonts w:ascii="Times New Roman" w:hAnsi="Times New Roman"/>
          <w:sz w:val="24"/>
          <w:szCs w:val="24"/>
          <w:lang w:val="en-US"/>
        </w:rPr>
        <w:t xml:space="preserve">non-uniformity in the distribution </w:t>
      </w:r>
      <w:r w:rsidRPr="008D7635">
        <w:rPr>
          <w:rFonts w:ascii="Times New Roman" w:hAnsi="Times New Roman"/>
          <w:sz w:val="24"/>
          <w:szCs w:val="24"/>
          <w:lang w:val="en-US"/>
        </w:rPr>
        <w:t xml:space="preserve">of income or wealth. Since it is calculated as the statistical dispersion among values of a frequency distribution, it is used in this study to identify the indicators </w:t>
      </w:r>
      <w:r w:rsidR="000E7945" w:rsidRPr="008D7635">
        <w:rPr>
          <w:rFonts w:ascii="Times New Roman" w:hAnsi="Times New Roman"/>
          <w:sz w:val="24"/>
          <w:szCs w:val="24"/>
          <w:lang w:val="en-US"/>
        </w:rPr>
        <w:t xml:space="preserve">that shows </w:t>
      </w:r>
      <w:r w:rsidRPr="008D7635">
        <w:rPr>
          <w:rFonts w:ascii="Times New Roman" w:hAnsi="Times New Roman"/>
          <w:sz w:val="24"/>
          <w:szCs w:val="24"/>
          <w:lang w:val="en-US"/>
        </w:rPr>
        <w:t xml:space="preserve">the largest discrepancies across EU regions. </w:t>
      </w:r>
      <w:r w:rsidR="000E7945" w:rsidRPr="008D7635">
        <w:rPr>
          <w:rFonts w:ascii="Times New Roman" w:hAnsi="Times New Roman"/>
          <w:sz w:val="24"/>
          <w:szCs w:val="24"/>
          <w:lang w:val="en-US"/>
        </w:rPr>
        <w:t xml:space="preserve">The </w:t>
      </w:r>
      <w:proofErr w:type="spellStart"/>
      <w:r w:rsidR="000E7945" w:rsidRPr="008D7635">
        <w:rPr>
          <w:rFonts w:ascii="Times New Roman" w:hAnsi="Times New Roman"/>
          <w:sz w:val="24"/>
          <w:szCs w:val="24"/>
          <w:lang w:val="en-US"/>
        </w:rPr>
        <w:t>Gini</w:t>
      </w:r>
      <w:proofErr w:type="spellEnd"/>
      <w:r w:rsidR="000E7945" w:rsidRPr="008D7635">
        <w:rPr>
          <w:rFonts w:ascii="Times New Roman" w:hAnsi="Times New Roman"/>
          <w:sz w:val="24"/>
          <w:szCs w:val="24"/>
          <w:lang w:val="en-US"/>
        </w:rPr>
        <w:t xml:space="preserve"> coefficient ranges between 0 and 1, where 0 corresponds to uniform distribution and 1 to maximum concentration in one or more elements of the distribution. </w:t>
      </w:r>
      <w:r w:rsidRPr="008D7635">
        <w:rPr>
          <w:rFonts w:ascii="Times New Roman" w:hAnsi="Times New Roman"/>
          <w:sz w:val="24"/>
          <w:szCs w:val="24"/>
          <w:lang w:val="en-US"/>
        </w:rPr>
        <w:t xml:space="preserve">Based on data provided by Eurostat and by the formula reported in the previous methodological section, the </w:t>
      </w:r>
      <w:proofErr w:type="spellStart"/>
      <w:r w:rsidRPr="008D7635">
        <w:rPr>
          <w:rFonts w:ascii="Times New Roman" w:hAnsi="Times New Roman"/>
          <w:sz w:val="24"/>
          <w:szCs w:val="24"/>
          <w:lang w:val="en-US"/>
        </w:rPr>
        <w:t>Gini</w:t>
      </w:r>
      <w:proofErr w:type="spellEnd"/>
      <w:r w:rsidRPr="008D7635">
        <w:rPr>
          <w:rFonts w:ascii="Times New Roman" w:hAnsi="Times New Roman"/>
          <w:sz w:val="24"/>
          <w:szCs w:val="24"/>
          <w:lang w:val="en-US"/>
        </w:rPr>
        <w:t xml:space="preserve"> coefficient has been calculated for all the indicators considered in this study. Results are reported in Table 1.</w:t>
      </w:r>
    </w:p>
    <w:p w14:paraId="2ABA7F56" w14:textId="77777777" w:rsidR="000E191C" w:rsidRPr="008D7635" w:rsidRDefault="000E191C" w:rsidP="000E191C">
      <w:pPr>
        <w:spacing w:line="240" w:lineRule="auto"/>
        <w:rPr>
          <w:rFonts w:ascii="Times New Roman" w:hAnsi="Times New Roman"/>
          <w:b/>
          <w:sz w:val="24"/>
          <w:szCs w:val="24"/>
          <w:lang w:val="en-US"/>
        </w:rPr>
      </w:pPr>
    </w:p>
    <w:p w14:paraId="4FB3CDA6" w14:textId="77777777" w:rsidR="000E191C" w:rsidRPr="008D7635" w:rsidRDefault="000E191C" w:rsidP="000E191C">
      <w:pPr>
        <w:spacing w:after="0" w:line="240" w:lineRule="auto"/>
        <w:rPr>
          <w:rFonts w:ascii="Times New Roman" w:hAnsi="Times New Roman"/>
          <w:b/>
          <w:sz w:val="24"/>
          <w:szCs w:val="24"/>
          <w:lang w:val="en-US"/>
        </w:rPr>
      </w:pPr>
      <w:r w:rsidRPr="008D7635">
        <w:rPr>
          <w:rFonts w:ascii="Times New Roman" w:hAnsi="Times New Roman"/>
          <w:b/>
          <w:sz w:val="24"/>
          <w:szCs w:val="24"/>
          <w:lang w:val="en-US"/>
        </w:rPr>
        <w:t xml:space="preserve">Table 1. </w:t>
      </w:r>
      <w:proofErr w:type="spellStart"/>
      <w:r w:rsidRPr="008D7635">
        <w:rPr>
          <w:rFonts w:ascii="Times New Roman" w:hAnsi="Times New Roman"/>
          <w:b/>
          <w:sz w:val="24"/>
          <w:szCs w:val="24"/>
          <w:lang w:val="en-US"/>
        </w:rPr>
        <w:t>Gini</w:t>
      </w:r>
      <w:proofErr w:type="spellEnd"/>
      <w:r w:rsidRPr="008D7635">
        <w:rPr>
          <w:rFonts w:ascii="Times New Roman" w:hAnsi="Times New Roman"/>
          <w:b/>
          <w:sz w:val="24"/>
          <w:szCs w:val="24"/>
          <w:lang w:val="en-US"/>
        </w:rPr>
        <w:t xml:space="preserve"> Index for well-being indicators</w:t>
      </w:r>
    </w:p>
    <w:tbl>
      <w:tblPr>
        <w:tblW w:w="9572" w:type="dxa"/>
        <w:tblInd w:w="93" w:type="dxa"/>
        <w:tblBorders>
          <w:top w:val="single" w:sz="4" w:space="0" w:color="auto"/>
          <w:bottom w:val="single" w:sz="4" w:space="0" w:color="auto"/>
        </w:tblBorders>
        <w:tblLook w:val="04A0" w:firstRow="1" w:lastRow="0" w:firstColumn="1" w:lastColumn="0" w:noHBand="0" w:noVBand="1"/>
      </w:tblPr>
      <w:tblGrid>
        <w:gridCol w:w="2492"/>
        <w:gridCol w:w="4080"/>
        <w:gridCol w:w="1500"/>
        <w:gridCol w:w="1500"/>
      </w:tblGrid>
      <w:tr w:rsidR="000E191C" w:rsidRPr="008D7635" w14:paraId="50738989" w14:textId="77777777" w:rsidTr="000A5C83">
        <w:trPr>
          <w:trHeight w:val="255"/>
        </w:trPr>
        <w:tc>
          <w:tcPr>
            <w:tcW w:w="2492" w:type="dxa"/>
            <w:tcBorders>
              <w:top w:val="single" w:sz="4" w:space="0" w:color="auto"/>
              <w:bottom w:val="single" w:sz="4" w:space="0" w:color="auto"/>
            </w:tcBorders>
            <w:vAlign w:val="bottom"/>
          </w:tcPr>
          <w:p w14:paraId="3FE5371E" w14:textId="77777777" w:rsidR="000E191C" w:rsidRPr="008D7635" w:rsidRDefault="000E191C" w:rsidP="000E191C">
            <w:pPr>
              <w:spacing w:after="0"/>
              <w:jc w:val="center"/>
              <w:rPr>
                <w:rFonts w:eastAsia="Times New Roman"/>
                <w:b/>
                <w:bCs/>
                <w:lang w:eastAsia="en-GB"/>
              </w:rPr>
            </w:pPr>
          </w:p>
        </w:tc>
        <w:tc>
          <w:tcPr>
            <w:tcW w:w="4080" w:type="dxa"/>
            <w:tcBorders>
              <w:top w:val="single" w:sz="4" w:space="0" w:color="auto"/>
              <w:bottom w:val="single" w:sz="4" w:space="0" w:color="auto"/>
            </w:tcBorders>
            <w:shd w:val="clear" w:color="auto" w:fill="auto"/>
            <w:noWrap/>
            <w:vAlign w:val="center"/>
            <w:hideMark/>
          </w:tcPr>
          <w:p w14:paraId="57803D42" w14:textId="77777777" w:rsidR="000E191C" w:rsidRPr="008D7635" w:rsidRDefault="000E191C" w:rsidP="000E191C">
            <w:pPr>
              <w:spacing w:after="0" w:line="240" w:lineRule="auto"/>
              <w:jc w:val="center"/>
              <w:rPr>
                <w:rFonts w:eastAsia="Times New Roman"/>
                <w:b/>
                <w:bCs/>
                <w:lang w:eastAsia="en-GB"/>
              </w:rPr>
            </w:pPr>
            <w:r w:rsidRPr="008D7635">
              <w:rPr>
                <w:rFonts w:eastAsia="Times New Roman"/>
                <w:b/>
                <w:bCs/>
                <w:lang w:eastAsia="en-GB"/>
              </w:rPr>
              <w:t>Indicators</w:t>
            </w:r>
          </w:p>
        </w:tc>
        <w:tc>
          <w:tcPr>
            <w:tcW w:w="1500" w:type="dxa"/>
            <w:tcBorders>
              <w:top w:val="single" w:sz="4" w:space="0" w:color="auto"/>
              <w:bottom w:val="single" w:sz="4" w:space="0" w:color="auto"/>
            </w:tcBorders>
            <w:shd w:val="clear" w:color="auto" w:fill="auto"/>
            <w:noWrap/>
            <w:vAlign w:val="center"/>
            <w:hideMark/>
          </w:tcPr>
          <w:p w14:paraId="6DBAF221" w14:textId="77777777" w:rsidR="000E191C" w:rsidRPr="008D7635" w:rsidRDefault="000E191C" w:rsidP="000E191C">
            <w:pPr>
              <w:spacing w:after="0" w:line="240" w:lineRule="auto"/>
              <w:jc w:val="center"/>
              <w:rPr>
                <w:rFonts w:eastAsia="Times New Roman"/>
                <w:b/>
                <w:bCs/>
                <w:lang w:eastAsia="en-GB"/>
              </w:rPr>
            </w:pPr>
            <w:proofErr w:type="spellStart"/>
            <w:r w:rsidRPr="008D7635">
              <w:rPr>
                <w:rFonts w:eastAsia="Times New Roman"/>
                <w:b/>
                <w:bCs/>
                <w:lang w:eastAsia="en-GB"/>
              </w:rPr>
              <w:t>Gini</w:t>
            </w:r>
            <w:proofErr w:type="spellEnd"/>
            <w:r w:rsidRPr="008D7635">
              <w:rPr>
                <w:rFonts w:eastAsia="Times New Roman"/>
                <w:b/>
                <w:bCs/>
                <w:lang w:eastAsia="en-GB"/>
              </w:rPr>
              <w:t xml:space="preserve"> Index</w:t>
            </w:r>
          </w:p>
        </w:tc>
        <w:tc>
          <w:tcPr>
            <w:tcW w:w="1500" w:type="dxa"/>
            <w:tcBorders>
              <w:top w:val="single" w:sz="4" w:space="0" w:color="auto"/>
              <w:bottom w:val="single" w:sz="4" w:space="0" w:color="auto"/>
            </w:tcBorders>
            <w:vAlign w:val="center"/>
          </w:tcPr>
          <w:p w14:paraId="37E7BE12" w14:textId="77777777" w:rsidR="000E191C" w:rsidRPr="008D7635" w:rsidRDefault="000E191C" w:rsidP="000E191C">
            <w:pPr>
              <w:spacing w:after="0" w:line="240" w:lineRule="auto"/>
              <w:jc w:val="center"/>
              <w:rPr>
                <w:rFonts w:eastAsia="Times New Roman"/>
                <w:b/>
                <w:bCs/>
                <w:lang w:eastAsia="en-GB"/>
              </w:rPr>
            </w:pPr>
            <w:r w:rsidRPr="008D7635">
              <w:rPr>
                <w:rFonts w:eastAsia="Times New Roman"/>
                <w:b/>
                <w:bCs/>
                <w:lang w:eastAsia="en-GB"/>
              </w:rPr>
              <w:t>Average for indicator category</w:t>
            </w:r>
          </w:p>
        </w:tc>
      </w:tr>
      <w:tr w:rsidR="000E191C" w:rsidRPr="008D7635" w14:paraId="65EB47BC" w14:textId="77777777" w:rsidTr="000A5C83">
        <w:trPr>
          <w:trHeight w:val="255"/>
        </w:trPr>
        <w:tc>
          <w:tcPr>
            <w:tcW w:w="2492" w:type="dxa"/>
            <w:tcBorders>
              <w:top w:val="single" w:sz="4" w:space="0" w:color="auto"/>
            </w:tcBorders>
            <w:shd w:val="clear" w:color="auto" w:fill="D9D9D9"/>
          </w:tcPr>
          <w:p w14:paraId="7B70342B" w14:textId="77777777" w:rsidR="000E191C" w:rsidRPr="008D7635" w:rsidRDefault="000E191C" w:rsidP="000E191C">
            <w:pPr>
              <w:spacing w:after="0"/>
              <w:rPr>
                <w:rFonts w:eastAsia="Times New Roman"/>
                <w:lang w:eastAsia="en-GB"/>
              </w:rPr>
            </w:pPr>
          </w:p>
        </w:tc>
        <w:tc>
          <w:tcPr>
            <w:tcW w:w="4080" w:type="dxa"/>
            <w:tcBorders>
              <w:top w:val="single" w:sz="4" w:space="0" w:color="auto"/>
            </w:tcBorders>
            <w:shd w:val="clear" w:color="auto" w:fill="D9D9D9"/>
            <w:noWrap/>
            <w:vAlign w:val="bottom"/>
            <w:hideMark/>
          </w:tcPr>
          <w:p w14:paraId="1A8E48F0" w14:textId="77777777" w:rsidR="000E191C" w:rsidRPr="008D7635" w:rsidRDefault="000E191C" w:rsidP="000E191C">
            <w:pPr>
              <w:spacing w:after="0"/>
              <w:rPr>
                <w:rFonts w:eastAsia="Times New Roman"/>
                <w:lang w:eastAsia="en-GB"/>
              </w:rPr>
            </w:pPr>
            <w:r w:rsidRPr="008D7635">
              <w:rPr>
                <w:rFonts w:eastAsia="Times New Roman"/>
                <w:lang w:eastAsia="en-GB"/>
              </w:rPr>
              <w:t>GDP</w:t>
            </w:r>
          </w:p>
        </w:tc>
        <w:tc>
          <w:tcPr>
            <w:tcW w:w="1500" w:type="dxa"/>
            <w:tcBorders>
              <w:top w:val="single" w:sz="4" w:space="0" w:color="auto"/>
            </w:tcBorders>
            <w:shd w:val="clear" w:color="auto" w:fill="D9D9D9"/>
            <w:noWrap/>
            <w:vAlign w:val="center"/>
            <w:hideMark/>
          </w:tcPr>
          <w:p w14:paraId="5F90E7A4" w14:textId="77777777" w:rsidR="000E191C" w:rsidRPr="008D7635" w:rsidRDefault="000E191C" w:rsidP="000E191C">
            <w:pPr>
              <w:spacing w:after="0"/>
              <w:jc w:val="center"/>
              <w:rPr>
                <w:rFonts w:eastAsia="Times New Roman"/>
                <w:lang w:eastAsia="en-GB"/>
              </w:rPr>
            </w:pPr>
            <w:r w:rsidRPr="008D7635">
              <w:rPr>
                <w:rFonts w:eastAsia="Times New Roman"/>
                <w:lang w:eastAsia="en-GB"/>
              </w:rPr>
              <w:t>0.26</w:t>
            </w:r>
          </w:p>
        </w:tc>
        <w:tc>
          <w:tcPr>
            <w:tcW w:w="1500" w:type="dxa"/>
            <w:tcBorders>
              <w:top w:val="single" w:sz="4" w:space="0" w:color="auto"/>
            </w:tcBorders>
            <w:shd w:val="clear" w:color="auto" w:fill="D9D9D9"/>
          </w:tcPr>
          <w:p w14:paraId="55137138" w14:textId="77777777" w:rsidR="000E191C" w:rsidRPr="008D7635" w:rsidRDefault="000E191C" w:rsidP="000E191C">
            <w:pPr>
              <w:spacing w:after="0"/>
              <w:jc w:val="center"/>
              <w:rPr>
                <w:rFonts w:eastAsia="Times New Roman"/>
                <w:lang w:eastAsia="en-GB"/>
              </w:rPr>
            </w:pPr>
          </w:p>
        </w:tc>
      </w:tr>
      <w:tr w:rsidR="000E191C" w:rsidRPr="008D7635" w14:paraId="09F90DD3" w14:textId="77777777" w:rsidTr="000A5C83">
        <w:trPr>
          <w:trHeight w:val="255"/>
        </w:trPr>
        <w:tc>
          <w:tcPr>
            <w:tcW w:w="2492" w:type="dxa"/>
            <w:shd w:val="clear" w:color="auto" w:fill="D9D9D9"/>
          </w:tcPr>
          <w:p w14:paraId="0E2BE1B3" w14:textId="77777777" w:rsidR="000E191C" w:rsidRPr="008D7635" w:rsidRDefault="000E191C" w:rsidP="000E191C">
            <w:pPr>
              <w:spacing w:after="0"/>
              <w:rPr>
                <w:rFonts w:eastAsia="Times New Roman"/>
                <w:lang w:eastAsia="en-GB"/>
              </w:rPr>
            </w:pPr>
            <w:r w:rsidRPr="008D7635">
              <w:rPr>
                <w:rFonts w:eastAsia="Times New Roman"/>
                <w:lang w:eastAsia="en-GB"/>
              </w:rPr>
              <w:t>Economic Indicators</w:t>
            </w:r>
          </w:p>
        </w:tc>
        <w:tc>
          <w:tcPr>
            <w:tcW w:w="4080" w:type="dxa"/>
            <w:shd w:val="clear" w:color="auto" w:fill="D9D9D9"/>
            <w:noWrap/>
            <w:vAlign w:val="bottom"/>
            <w:hideMark/>
          </w:tcPr>
          <w:p w14:paraId="447E40CE" w14:textId="77777777" w:rsidR="000E191C" w:rsidRPr="008D7635" w:rsidRDefault="000E191C" w:rsidP="000E191C">
            <w:pPr>
              <w:spacing w:after="0"/>
              <w:rPr>
                <w:rFonts w:eastAsia="Times New Roman"/>
                <w:lang w:eastAsia="en-GB"/>
              </w:rPr>
            </w:pPr>
            <w:r w:rsidRPr="008D7635">
              <w:rPr>
                <w:rFonts w:eastAsia="Times New Roman"/>
                <w:lang w:eastAsia="en-GB"/>
              </w:rPr>
              <w:t>Long-term unemployment rate</w:t>
            </w:r>
          </w:p>
        </w:tc>
        <w:tc>
          <w:tcPr>
            <w:tcW w:w="1500" w:type="dxa"/>
            <w:shd w:val="clear" w:color="auto" w:fill="D9D9D9"/>
            <w:noWrap/>
            <w:vAlign w:val="center"/>
            <w:hideMark/>
          </w:tcPr>
          <w:p w14:paraId="3A890231" w14:textId="77777777" w:rsidR="000E191C" w:rsidRPr="008D7635" w:rsidRDefault="000E191C" w:rsidP="000E191C">
            <w:pPr>
              <w:spacing w:after="0"/>
              <w:jc w:val="center"/>
              <w:rPr>
                <w:rFonts w:eastAsia="Times New Roman"/>
                <w:lang w:eastAsia="en-GB"/>
              </w:rPr>
            </w:pPr>
            <w:r w:rsidRPr="008D7635">
              <w:rPr>
                <w:rFonts w:eastAsia="Times New Roman"/>
                <w:lang w:eastAsia="en-GB"/>
              </w:rPr>
              <w:t>0.36</w:t>
            </w:r>
          </w:p>
        </w:tc>
        <w:tc>
          <w:tcPr>
            <w:tcW w:w="1500" w:type="dxa"/>
            <w:shd w:val="clear" w:color="auto" w:fill="D9D9D9"/>
          </w:tcPr>
          <w:p w14:paraId="3525E619" w14:textId="77777777" w:rsidR="000E191C" w:rsidRPr="008D7635" w:rsidRDefault="000E191C" w:rsidP="000E191C">
            <w:pPr>
              <w:spacing w:after="0"/>
              <w:jc w:val="center"/>
              <w:rPr>
                <w:rFonts w:eastAsia="Times New Roman"/>
                <w:lang w:eastAsia="en-GB"/>
              </w:rPr>
            </w:pPr>
            <w:r w:rsidRPr="008D7635">
              <w:rPr>
                <w:rFonts w:eastAsia="Times New Roman"/>
                <w:lang w:eastAsia="en-GB"/>
              </w:rPr>
              <w:t>0.38</w:t>
            </w:r>
          </w:p>
        </w:tc>
      </w:tr>
      <w:tr w:rsidR="000E191C" w:rsidRPr="008D7635" w14:paraId="34339FB5" w14:textId="77777777" w:rsidTr="000A5C83">
        <w:trPr>
          <w:trHeight w:val="255"/>
        </w:trPr>
        <w:tc>
          <w:tcPr>
            <w:tcW w:w="2492" w:type="dxa"/>
            <w:shd w:val="clear" w:color="auto" w:fill="D9D9D9"/>
          </w:tcPr>
          <w:p w14:paraId="329408BB" w14:textId="77777777" w:rsidR="000E191C" w:rsidRPr="008D7635" w:rsidRDefault="000E191C" w:rsidP="000E191C">
            <w:pPr>
              <w:spacing w:after="0"/>
              <w:rPr>
                <w:rFonts w:eastAsia="Times New Roman"/>
                <w:lang w:eastAsia="en-GB"/>
              </w:rPr>
            </w:pPr>
          </w:p>
        </w:tc>
        <w:tc>
          <w:tcPr>
            <w:tcW w:w="4080" w:type="dxa"/>
            <w:shd w:val="clear" w:color="auto" w:fill="D9D9D9"/>
            <w:noWrap/>
            <w:vAlign w:val="bottom"/>
            <w:hideMark/>
          </w:tcPr>
          <w:p w14:paraId="741FC6CC" w14:textId="77777777" w:rsidR="000E191C" w:rsidRPr="008D7635" w:rsidRDefault="000E191C" w:rsidP="000E191C">
            <w:pPr>
              <w:spacing w:after="0"/>
              <w:rPr>
                <w:rFonts w:eastAsia="Times New Roman"/>
                <w:lang w:eastAsia="en-GB"/>
              </w:rPr>
            </w:pPr>
            <w:r w:rsidRPr="008D7635">
              <w:rPr>
                <w:rFonts w:eastAsia="Times New Roman"/>
                <w:lang w:eastAsia="en-GB"/>
              </w:rPr>
              <w:t xml:space="preserve">R&amp;D expenditure </w:t>
            </w:r>
          </w:p>
        </w:tc>
        <w:tc>
          <w:tcPr>
            <w:tcW w:w="1500" w:type="dxa"/>
            <w:shd w:val="clear" w:color="auto" w:fill="D9D9D9"/>
            <w:noWrap/>
            <w:vAlign w:val="center"/>
            <w:hideMark/>
          </w:tcPr>
          <w:p w14:paraId="021A6A49" w14:textId="77777777" w:rsidR="000E191C" w:rsidRPr="008D7635" w:rsidRDefault="000E191C" w:rsidP="000E191C">
            <w:pPr>
              <w:spacing w:after="0"/>
              <w:jc w:val="center"/>
              <w:rPr>
                <w:rFonts w:eastAsia="Times New Roman"/>
                <w:lang w:eastAsia="en-GB"/>
              </w:rPr>
            </w:pPr>
            <w:r w:rsidRPr="008D7635">
              <w:rPr>
                <w:rFonts w:eastAsia="Times New Roman"/>
                <w:lang w:eastAsia="en-GB"/>
              </w:rPr>
              <w:t>0.53</w:t>
            </w:r>
          </w:p>
        </w:tc>
        <w:tc>
          <w:tcPr>
            <w:tcW w:w="1500" w:type="dxa"/>
            <w:shd w:val="clear" w:color="auto" w:fill="D9D9D9"/>
          </w:tcPr>
          <w:p w14:paraId="4A6C34D5" w14:textId="77777777" w:rsidR="000E191C" w:rsidRPr="008D7635" w:rsidRDefault="000E191C" w:rsidP="000E191C">
            <w:pPr>
              <w:spacing w:after="0"/>
              <w:jc w:val="center"/>
              <w:rPr>
                <w:rFonts w:eastAsia="Times New Roman"/>
                <w:lang w:eastAsia="en-GB"/>
              </w:rPr>
            </w:pPr>
          </w:p>
        </w:tc>
      </w:tr>
      <w:tr w:rsidR="000E191C" w:rsidRPr="008D7635" w14:paraId="65ABD316" w14:textId="77777777" w:rsidTr="000A5C83">
        <w:trPr>
          <w:trHeight w:val="255"/>
        </w:trPr>
        <w:tc>
          <w:tcPr>
            <w:tcW w:w="2492" w:type="dxa"/>
            <w:shd w:val="clear" w:color="auto" w:fill="F2F2F2"/>
          </w:tcPr>
          <w:p w14:paraId="3B82A272" w14:textId="77777777" w:rsidR="000E191C" w:rsidRPr="008D7635" w:rsidRDefault="000E191C" w:rsidP="000E191C">
            <w:pPr>
              <w:spacing w:after="0"/>
              <w:rPr>
                <w:rFonts w:eastAsia="Times New Roman"/>
                <w:lang w:eastAsia="en-GB"/>
              </w:rPr>
            </w:pPr>
          </w:p>
        </w:tc>
        <w:tc>
          <w:tcPr>
            <w:tcW w:w="4080" w:type="dxa"/>
            <w:shd w:val="clear" w:color="auto" w:fill="F2F2F2"/>
            <w:noWrap/>
            <w:vAlign w:val="bottom"/>
            <w:hideMark/>
          </w:tcPr>
          <w:p w14:paraId="1D9EB207" w14:textId="77777777" w:rsidR="000E191C" w:rsidRPr="008D7635" w:rsidRDefault="000E191C" w:rsidP="000E191C">
            <w:pPr>
              <w:spacing w:after="0"/>
              <w:rPr>
                <w:rFonts w:eastAsia="Times New Roman"/>
                <w:lang w:eastAsia="en-GB"/>
              </w:rPr>
            </w:pPr>
            <w:r w:rsidRPr="008D7635">
              <w:rPr>
                <w:rFonts w:eastAsia="Times New Roman"/>
                <w:lang w:eastAsia="en-GB"/>
              </w:rPr>
              <w:t>Intentional self-harm</w:t>
            </w:r>
          </w:p>
        </w:tc>
        <w:tc>
          <w:tcPr>
            <w:tcW w:w="1500" w:type="dxa"/>
            <w:shd w:val="clear" w:color="auto" w:fill="F2F2F2"/>
            <w:noWrap/>
            <w:vAlign w:val="center"/>
            <w:hideMark/>
          </w:tcPr>
          <w:p w14:paraId="6C207C60" w14:textId="77777777" w:rsidR="000E191C" w:rsidRPr="008D7635" w:rsidRDefault="000E191C" w:rsidP="000E191C">
            <w:pPr>
              <w:spacing w:after="0"/>
              <w:jc w:val="center"/>
              <w:rPr>
                <w:rFonts w:eastAsia="Times New Roman"/>
                <w:lang w:eastAsia="en-GB"/>
              </w:rPr>
            </w:pPr>
            <w:r w:rsidRPr="008D7635">
              <w:rPr>
                <w:rFonts w:eastAsia="Times New Roman"/>
                <w:lang w:eastAsia="en-GB"/>
              </w:rPr>
              <w:t>0.28</w:t>
            </w:r>
          </w:p>
        </w:tc>
        <w:tc>
          <w:tcPr>
            <w:tcW w:w="1500" w:type="dxa"/>
            <w:shd w:val="clear" w:color="auto" w:fill="F2F2F2"/>
          </w:tcPr>
          <w:p w14:paraId="355053CE" w14:textId="77777777" w:rsidR="000E191C" w:rsidRPr="008D7635" w:rsidRDefault="000E191C" w:rsidP="000E191C">
            <w:pPr>
              <w:spacing w:after="0"/>
              <w:jc w:val="center"/>
              <w:rPr>
                <w:rFonts w:eastAsia="Times New Roman"/>
                <w:lang w:eastAsia="en-GB"/>
              </w:rPr>
            </w:pPr>
          </w:p>
        </w:tc>
      </w:tr>
      <w:tr w:rsidR="000E191C" w:rsidRPr="008D7635" w14:paraId="27372BE2" w14:textId="77777777" w:rsidTr="000A5C83">
        <w:trPr>
          <w:trHeight w:val="255"/>
        </w:trPr>
        <w:tc>
          <w:tcPr>
            <w:tcW w:w="2492" w:type="dxa"/>
            <w:shd w:val="clear" w:color="auto" w:fill="F2F2F2"/>
          </w:tcPr>
          <w:p w14:paraId="0BCDD740" w14:textId="77777777" w:rsidR="000E191C" w:rsidRPr="008D7635" w:rsidRDefault="000E191C" w:rsidP="000E191C">
            <w:pPr>
              <w:spacing w:after="0"/>
              <w:rPr>
                <w:rFonts w:eastAsia="Times New Roman"/>
                <w:lang w:eastAsia="en-GB"/>
              </w:rPr>
            </w:pPr>
            <w:r w:rsidRPr="008D7635">
              <w:rPr>
                <w:rFonts w:eastAsia="Times New Roman"/>
                <w:lang w:eastAsia="en-GB"/>
              </w:rPr>
              <w:t>Social Indicators</w:t>
            </w:r>
          </w:p>
        </w:tc>
        <w:tc>
          <w:tcPr>
            <w:tcW w:w="4080" w:type="dxa"/>
            <w:shd w:val="clear" w:color="auto" w:fill="F2F2F2"/>
            <w:noWrap/>
            <w:vAlign w:val="bottom"/>
            <w:hideMark/>
          </w:tcPr>
          <w:p w14:paraId="72C76712" w14:textId="77777777" w:rsidR="000E191C" w:rsidRPr="008D7635" w:rsidRDefault="000E191C" w:rsidP="000E191C">
            <w:pPr>
              <w:spacing w:after="0"/>
              <w:rPr>
                <w:rFonts w:eastAsia="Times New Roman"/>
                <w:lang w:eastAsia="en-GB"/>
              </w:rPr>
            </w:pPr>
            <w:r w:rsidRPr="008D7635">
              <w:rPr>
                <w:rFonts w:eastAsia="Times New Roman"/>
                <w:lang w:eastAsia="en-GB"/>
              </w:rPr>
              <w:t xml:space="preserve">Fertility rates </w:t>
            </w:r>
          </w:p>
        </w:tc>
        <w:tc>
          <w:tcPr>
            <w:tcW w:w="1500" w:type="dxa"/>
            <w:shd w:val="clear" w:color="auto" w:fill="F2F2F2"/>
            <w:noWrap/>
            <w:vAlign w:val="center"/>
            <w:hideMark/>
          </w:tcPr>
          <w:p w14:paraId="66CA1FEA" w14:textId="77777777" w:rsidR="000E191C" w:rsidRPr="008D7635" w:rsidRDefault="000E191C" w:rsidP="000E191C">
            <w:pPr>
              <w:spacing w:after="0"/>
              <w:jc w:val="center"/>
              <w:rPr>
                <w:rFonts w:eastAsia="Times New Roman"/>
                <w:lang w:eastAsia="en-GB"/>
              </w:rPr>
            </w:pPr>
            <w:r w:rsidRPr="008D7635">
              <w:rPr>
                <w:rFonts w:eastAsia="Times New Roman"/>
                <w:lang w:eastAsia="en-GB"/>
              </w:rPr>
              <w:t>0.11</w:t>
            </w:r>
          </w:p>
        </w:tc>
        <w:tc>
          <w:tcPr>
            <w:tcW w:w="1500" w:type="dxa"/>
            <w:shd w:val="clear" w:color="auto" w:fill="F2F2F2"/>
          </w:tcPr>
          <w:p w14:paraId="73372FF1" w14:textId="77777777" w:rsidR="000E191C" w:rsidRPr="008D7635" w:rsidRDefault="000E191C" w:rsidP="000E191C">
            <w:pPr>
              <w:spacing w:after="0"/>
              <w:jc w:val="center"/>
              <w:rPr>
                <w:rFonts w:eastAsia="Times New Roman"/>
                <w:lang w:eastAsia="en-GB"/>
              </w:rPr>
            </w:pPr>
            <w:r w:rsidRPr="008D7635">
              <w:rPr>
                <w:rFonts w:eastAsia="Times New Roman"/>
                <w:lang w:eastAsia="en-GB"/>
              </w:rPr>
              <w:t>0.20</w:t>
            </w:r>
          </w:p>
        </w:tc>
      </w:tr>
      <w:tr w:rsidR="000E191C" w:rsidRPr="008D7635" w14:paraId="02BA8581" w14:textId="77777777" w:rsidTr="000A5C83">
        <w:trPr>
          <w:trHeight w:val="255"/>
        </w:trPr>
        <w:tc>
          <w:tcPr>
            <w:tcW w:w="2492" w:type="dxa"/>
            <w:shd w:val="clear" w:color="auto" w:fill="F2F2F2"/>
          </w:tcPr>
          <w:p w14:paraId="0A9B5658" w14:textId="77777777" w:rsidR="000E191C" w:rsidRPr="008D7635" w:rsidRDefault="000E191C" w:rsidP="000E191C">
            <w:pPr>
              <w:spacing w:after="0"/>
              <w:rPr>
                <w:rFonts w:eastAsia="Times New Roman"/>
                <w:lang w:eastAsia="en-GB"/>
              </w:rPr>
            </w:pPr>
          </w:p>
        </w:tc>
        <w:tc>
          <w:tcPr>
            <w:tcW w:w="4080" w:type="dxa"/>
            <w:shd w:val="clear" w:color="auto" w:fill="F2F2F2"/>
            <w:noWrap/>
            <w:vAlign w:val="bottom"/>
            <w:hideMark/>
          </w:tcPr>
          <w:p w14:paraId="044C2E43" w14:textId="77777777" w:rsidR="000E191C" w:rsidRPr="008D7635" w:rsidRDefault="000E191C" w:rsidP="000E191C">
            <w:pPr>
              <w:spacing w:after="0"/>
              <w:rPr>
                <w:rFonts w:eastAsia="Times New Roman"/>
                <w:lang w:eastAsia="en-GB"/>
              </w:rPr>
            </w:pPr>
            <w:r w:rsidRPr="008D7635">
              <w:rPr>
                <w:rFonts w:eastAsia="Times New Roman"/>
                <w:lang w:eastAsia="en-GB"/>
              </w:rPr>
              <w:t>Tertiary Education</w:t>
            </w:r>
          </w:p>
        </w:tc>
        <w:tc>
          <w:tcPr>
            <w:tcW w:w="1500" w:type="dxa"/>
            <w:shd w:val="clear" w:color="auto" w:fill="F2F2F2"/>
            <w:noWrap/>
            <w:vAlign w:val="center"/>
            <w:hideMark/>
          </w:tcPr>
          <w:p w14:paraId="79976DF8" w14:textId="77777777" w:rsidR="000E191C" w:rsidRPr="008D7635" w:rsidRDefault="000E191C" w:rsidP="000E191C">
            <w:pPr>
              <w:spacing w:after="0"/>
              <w:jc w:val="center"/>
              <w:rPr>
                <w:rFonts w:eastAsia="Times New Roman"/>
                <w:lang w:eastAsia="en-GB"/>
              </w:rPr>
            </w:pPr>
            <w:r w:rsidRPr="008D7635">
              <w:rPr>
                <w:rFonts w:eastAsia="Times New Roman"/>
                <w:lang w:eastAsia="en-GB"/>
              </w:rPr>
              <w:t>0.20</w:t>
            </w:r>
          </w:p>
        </w:tc>
        <w:tc>
          <w:tcPr>
            <w:tcW w:w="1500" w:type="dxa"/>
            <w:shd w:val="clear" w:color="auto" w:fill="F2F2F2"/>
          </w:tcPr>
          <w:p w14:paraId="4162B4AF" w14:textId="77777777" w:rsidR="000E191C" w:rsidRPr="008D7635" w:rsidRDefault="000E191C" w:rsidP="000E191C">
            <w:pPr>
              <w:spacing w:after="0"/>
              <w:jc w:val="center"/>
              <w:rPr>
                <w:rFonts w:eastAsia="Times New Roman"/>
                <w:lang w:eastAsia="en-GB"/>
              </w:rPr>
            </w:pPr>
          </w:p>
        </w:tc>
      </w:tr>
      <w:tr w:rsidR="000E191C" w:rsidRPr="008D7635" w14:paraId="514478FB" w14:textId="77777777" w:rsidTr="000A5C83">
        <w:trPr>
          <w:trHeight w:val="255"/>
        </w:trPr>
        <w:tc>
          <w:tcPr>
            <w:tcW w:w="2492" w:type="dxa"/>
            <w:shd w:val="clear" w:color="auto" w:fill="D9D9D9"/>
          </w:tcPr>
          <w:p w14:paraId="48A056DE" w14:textId="77777777" w:rsidR="000E191C" w:rsidRPr="008D7635" w:rsidRDefault="000E191C" w:rsidP="000E191C">
            <w:pPr>
              <w:spacing w:after="0"/>
              <w:rPr>
                <w:rFonts w:eastAsia="Times New Roman"/>
                <w:lang w:eastAsia="en-GB"/>
              </w:rPr>
            </w:pPr>
          </w:p>
        </w:tc>
        <w:tc>
          <w:tcPr>
            <w:tcW w:w="4080" w:type="dxa"/>
            <w:shd w:val="clear" w:color="auto" w:fill="D9D9D9"/>
            <w:noWrap/>
            <w:vAlign w:val="bottom"/>
            <w:hideMark/>
          </w:tcPr>
          <w:p w14:paraId="4A31548C" w14:textId="77777777" w:rsidR="000E191C" w:rsidRPr="008D7635" w:rsidRDefault="000E191C" w:rsidP="000E191C">
            <w:pPr>
              <w:spacing w:after="0"/>
              <w:rPr>
                <w:rFonts w:eastAsia="Times New Roman"/>
                <w:lang w:eastAsia="en-GB"/>
              </w:rPr>
            </w:pPr>
            <w:r w:rsidRPr="008D7635">
              <w:rPr>
                <w:rFonts w:eastAsia="Times New Roman"/>
                <w:lang w:eastAsia="en-GB"/>
              </w:rPr>
              <w:t>Infant mortality rate</w:t>
            </w:r>
          </w:p>
        </w:tc>
        <w:tc>
          <w:tcPr>
            <w:tcW w:w="1500" w:type="dxa"/>
            <w:shd w:val="clear" w:color="auto" w:fill="D9D9D9"/>
            <w:noWrap/>
            <w:vAlign w:val="center"/>
            <w:hideMark/>
          </w:tcPr>
          <w:p w14:paraId="61855DCB" w14:textId="77777777" w:rsidR="000E191C" w:rsidRPr="008D7635" w:rsidRDefault="000E191C" w:rsidP="000E191C">
            <w:pPr>
              <w:spacing w:after="0"/>
              <w:jc w:val="center"/>
              <w:rPr>
                <w:rFonts w:eastAsia="Times New Roman"/>
                <w:lang w:eastAsia="en-GB"/>
              </w:rPr>
            </w:pPr>
            <w:r w:rsidRPr="008D7635">
              <w:rPr>
                <w:rFonts w:eastAsia="Times New Roman"/>
                <w:lang w:eastAsia="en-GB"/>
              </w:rPr>
              <w:t>0.23</w:t>
            </w:r>
          </w:p>
        </w:tc>
        <w:tc>
          <w:tcPr>
            <w:tcW w:w="1500" w:type="dxa"/>
            <w:shd w:val="clear" w:color="auto" w:fill="D9D9D9"/>
          </w:tcPr>
          <w:p w14:paraId="546C13E7" w14:textId="77777777" w:rsidR="000E191C" w:rsidRPr="008D7635" w:rsidRDefault="000E191C" w:rsidP="000E191C">
            <w:pPr>
              <w:spacing w:after="0"/>
              <w:jc w:val="center"/>
              <w:rPr>
                <w:rFonts w:eastAsia="Times New Roman"/>
                <w:lang w:eastAsia="en-GB"/>
              </w:rPr>
            </w:pPr>
          </w:p>
        </w:tc>
      </w:tr>
      <w:tr w:rsidR="000E191C" w:rsidRPr="008D7635" w14:paraId="74E99FDC" w14:textId="77777777" w:rsidTr="000A5C83">
        <w:trPr>
          <w:trHeight w:val="255"/>
        </w:trPr>
        <w:tc>
          <w:tcPr>
            <w:tcW w:w="2492" w:type="dxa"/>
            <w:shd w:val="clear" w:color="auto" w:fill="D9D9D9"/>
          </w:tcPr>
          <w:p w14:paraId="4AE21CE2" w14:textId="77777777" w:rsidR="000E191C" w:rsidRPr="008D7635" w:rsidRDefault="000E191C" w:rsidP="000E191C">
            <w:pPr>
              <w:spacing w:after="0"/>
              <w:rPr>
                <w:rFonts w:eastAsia="Times New Roman"/>
                <w:lang w:eastAsia="en-GB"/>
              </w:rPr>
            </w:pPr>
            <w:r w:rsidRPr="008D7635">
              <w:rPr>
                <w:rFonts w:eastAsia="Times New Roman"/>
                <w:lang w:eastAsia="en-GB"/>
              </w:rPr>
              <w:t>Health Indicators</w:t>
            </w:r>
          </w:p>
        </w:tc>
        <w:tc>
          <w:tcPr>
            <w:tcW w:w="4080" w:type="dxa"/>
            <w:shd w:val="clear" w:color="auto" w:fill="D9D9D9"/>
            <w:noWrap/>
            <w:vAlign w:val="bottom"/>
            <w:hideMark/>
          </w:tcPr>
          <w:p w14:paraId="5F7AF2ED" w14:textId="77777777" w:rsidR="000E191C" w:rsidRPr="008D7635" w:rsidRDefault="000E191C" w:rsidP="000E191C">
            <w:pPr>
              <w:spacing w:after="0"/>
              <w:rPr>
                <w:rFonts w:eastAsia="Times New Roman"/>
                <w:lang w:eastAsia="en-GB"/>
              </w:rPr>
            </w:pPr>
            <w:r w:rsidRPr="008D7635">
              <w:rPr>
                <w:rFonts w:eastAsia="Times New Roman"/>
                <w:lang w:eastAsia="en-GB"/>
              </w:rPr>
              <w:t>Life expectancy at given exact age</w:t>
            </w:r>
          </w:p>
        </w:tc>
        <w:tc>
          <w:tcPr>
            <w:tcW w:w="1500" w:type="dxa"/>
            <w:shd w:val="clear" w:color="auto" w:fill="D9D9D9"/>
            <w:noWrap/>
            <w:vAlign w:val="center"/>
            <w:hideMark/>
          </w:tcPr>
          <w:p w14:paraId="0AC64C5C" w14:textId="77777777" w:rsidR="000E191C" w:rsidRPr="008D7635" w:rsidRDefault="000E191C" w:rsidP="000E191C">
            <w:pPr>
              <w:spacing w:after="0"/>
              <w:jc w:val="center"/>
              <w:rPr>
                <w:rFonts w:eastAsia="Times New Roman"/>
                <w:lang w:eastAsia="en-GB"/>
              </w:rPr>
            </w:pPr>
            <w:r w:rsidRPr="008D7635">
              <w:rPr>
                <w:rFonts w:eastAsia="Times New Roman"/>
                <w:lang w:eastAsia="en-GB"/>
              </w:rPr>
              <w:t>0.03</w:t>
            </w:r>
          </w:p>
        </w:tc>
        <w:tc>
          <w:tcPr>
            <w:tcW w:w="1500" w:type="dxa"/>
            <w:shd w:val="clear" w:color="auto" w:fill="D9D9D9"/>
          </w:tcPr>
          <w:p w14:paraId="746C2C3A" w14:textId="77777777" w:rsidR="000E191C" w:rsidRPr="008D7635" w:rsidRDefault="000E191C" w:rsidP="000E191C">
            <w:pPr>
              <w:spacing w:after="0"/>
              <w:jc w:val="center"/>
              <w:rPr>
                <w:rFonts w:eastAsia="Times New Roman"/>
                <w:lang w:eastAsia="en-GB"/>
              </w:rPr>
            </w:pPr>
            <w:r w:rsidRPr="008D7635">
              <w:rPr>
                <w:rFonts w:eastAsia="Times New Roman"/>
                <w:lang w:eastAsia="en-GB"/>
              </w:rPr>
              <w:t>0.12</w:t>
            </w:r>
          </w:p>
        </w:tc>
      </w:tr>
      <w:tr w:rsidR="000E191C" w:rsidRPr="008D7635" w14:paraId="24504ED6" w14:textId="77777777" w:rsidTr="000A5C83">
        <w:trPr>
          <w:trHeight w:val="255"/>
        </w:trPr>
        <w:tc>
          <w:tcPr>
            <w:tcW w:w="2492" w:type="dxa"/>
            <w:shd w:val="clear" w:color="auto" w:fill="D9D9D9"/>
          </w:tcPr>
          <w:p w14:paraId="41A69F40" w14:textId="77777777" w:rsidR="000E191C" w:rsidRPr="008D7635" w:rsidRDefault="000E191C" w:rsidP="000E191C">
            <w:pPr>
              <w:spacing w:after="0"/>
              <w:rPr>
                <w:rFonts w:eastAsia="Times New Roman"/>
                <w:lang w:eastAsia="en-GB"/>
              </w:rPr>
            </w:pPr>
          </w:p>
        </w:tc>
        <w:tc>
          <w:tcPr>
            <w:tcW w:w="4080" w:type="dxa"/>
            <w:shd w:val="clear" w:color="auto" w:fill="D9D9D9"/>
            <w:noWrap/>
            <w:vAlign w:val="bottom"/>
            <w:hideMark/>
          </w:tcPr>
          <w:p w14:paraId="30383C7B" w14:textId="77777777" w:rsidR="000E191C" w:rsidRPr="008D7635" w:rsidRDefault="000E191C" w:rsidP="000E191C">
            <w:pPr>
              <w:spacing w:after="0"/>
              <w:rPr>
                <w:rFonts w:eastAsia="Times New Roman"/>
                <w:lang w:eastAsia="en-GB"/>
              </w:rPr>
            </w:pPr>
            <w:r w:rsidRPr="008D7635">
              <w:rPr>
                <w:rFonts w:eastAsia="Times New Roman"/>
                <w:lang w:eastAsia="en-GB"/>
              </w:rPr>
              <w:t>Malignant neoplasms</w:t>
            </w:r>
          </w:p>
        </w:tc>
        <w:tc>
          <w:tcPr>
            <w:tcW w:w="1500" w:type="dxa"/>
            <w:shd w:val="clear" w:color="auto" w:fill="D9D9D9"/>
            <w:noWrap/>
            <w:vAlign w:val="center"/>
            <w:hideMark/>
          </w:tcPr>
          <w:p w14:paraId="7875198A" w14:textId="77777777" w:rsidR="000E191C" w:rsidRPr="008D7635" w:rsidRDefault="000E191C" w:rsidP="000E191C">
            <w:pPr>
              <w:spacing w:after="0"/>
              <w:jc w:val="center"/>
              <w:rPr>
                <w:rFonts w:eastAsia="Times New Roman"/>
                <w:lang w:eastAsia="en-GB"/>
              </w:rPr>
            </w:pPr>
            <w:r w:rsidRPr="008D7635">
              <w:rPr>
                <w:rFonts w:eastAsia="Times New Roman"/>
                <w:lang w:eastAsia="en-GB"/>
              </w:rPr>
              <w:t>0.09</w:t>
            </w:r>
          </w:p>
        </w:tc>
        <w:tc>
          <w:tcPr>
            <w:tcW w:w="1500" w:type="dxa"/>
            <w:shd w:val="clear" w:color="auto" w:fill="D9D9D9"/>
          </w:tcPr>
          <w:p w14:paraId="3F61C1B0" w14:textId="77777777" w:rsidR="000E191C" w:rsidRPr="008D7635" w:rsidRDefault="000E191C" w:rsidP="000E191C">
            <w:pPr>
              <w:spacing w:after="0"/>
              <w:jc w:val="center"/>
              <w:rPr>
                <w:rFonts w:eastAsia="Times New Roman"/>
                <w:lang w:eastAsia="en-GB"/>
              </w:rPr>
            </w:pPr>
          </w:p>
        </w:tc>
      </w:tr>
      <w:tr w:rsidR="000E191C" w:rsidRPr="008D7635" w14:paraId="0360BB28" w14:textId="77777777" w:rsidTr="000A5C83">
        <w:trPr>
          <w:trHeight w:val="255"/>
        </w:trPr>
        <w:tc>
          <w:tcPr>
            <w:tcW w:w="2492" w:type="dxa"/>
            <w:shd w:val="clear" w:color="auto" w:fill="F2F2F2"/>
          </w:tcPr>
          <w:p w14:paraId="37ED2FAD" w14:textId="77777777" w:rsidR="000E191C" w:rsidRPr="008D7635" w:rsidRDefault="000E191C" w:rsidP="000E191C">
            <w:pPr>
              <w:spacing w:after="0"/>
              <w:rPr>
                <w:rFonts w:eastAsia="Times New Roman"/>
                <w:lang w:eastAsia="en-GB"/>
              </w:rPr>
            </w:pPr>
          </w:p>
        </w:tc>
        <w:tc>
          <w:tcPr>
            <w:tcW w:w="4080" w:type="dxa"/>
            <w:shd w:val="clear" w:color="auto" w:fill="F2F2F2"/>
            <w:noWrap/>
            <w:vAlign w:val="bottom"/>
            <w:hideMark/>
          </w:tcPr>
          <w:p w14:paraId="214AC1B6" w14:textId="77777777" w:rsidR="000E191C" w:rsidRPr="008D7635" w:rsidRDefault="000E191C" w:rsidP="000E191C">
            <w:pPr>
              <w:spacing w:after="0"/>
              <w:rPr>
                <w:rFonts w:eastAsia="Times New Roman"/>
                <w:lang w:eastAsia="en-GB"/>
              </w:rPr>
            </w:pPr>
            <w:r w:rsidRPr="008D7635">
              <w:rPr>
                <w:rFonts w:eastAsia="Times New Roman"/>
                <w:lang w:eastAsia="en-GB"/>
              </w:rPr>
              <w:t xml:space="preserve">Generation of Municipal waste per Capita </w:t>
            </w:r>
          </w:p>
        </w:tc>
        <w:tc>
          <w:tcPr>
            <w:tcW w:w="1500" w:type="dxa"/>
            <w:shd w:val="clear" w:color="auto" w:fill="F2F2F2"/>
            <w:noWrap/>
            <w:vAlign w:val="center"/>
            <w:hideMark/>
          </w:tcPr>
          <w:p w14:paraId="4BF62FFE" w14:textId="77777777" w:rsidR="000E191C" w:rsidRPr="008D7635" w:rsidRDefault="000E191C" w:rsidP="000E191C">
            <w:pPr>
              <w:spacing w:after="0"/>
              <w:jc w:val="center"/>
              <w:rPr>
                <w:rFonts w:eastAsia="Times New Roman"/>
                <w:lang w:eastAsia="en-GB"/>
              </w:rPr>
            </w:pPr>
            <w:r w:rsidRPr="008D7635">
              <w:rPr>
                <w:rFonts w:eastAsia="Times New Roman"/>
                <w:lang w:eastAsia="en-GB"/>
              </w:rPr>
              <w:t>0.18</w:t>
            </w:r>
          </w:p>
        </w:tc>
        <w:tc>
          <w:tcPr>
            <w:tcW w:w="1500" w:type="dxa"/>
            <w:shd w:val="clear" w:color="auto" w:fill="F2F2F2"/>
          </w:tcPr>
          <w:p w14:paraId="3E9C0B0D" w14:textId="77777777" w:rsidR="000E191C" w:rsidRPr="008D7635" w:rsidRDefault="000E191C" w:rsidP="000E191C">
            <w:pPr>
              <w:spacing w:after="0"/>
              <w:jc w:val="center"/>
              <w:rPr>
                <w:rFonts w:eastAsia="Times New Roman"/>
                <w:lang w:eastAsia="en-GB"/>
              </w:rPr>
            </w:pPr>
          </w:p>
        </w:tc>
      </w:tr>
      <w:tr w:rsidR="000E191C" w:rsidRPr="008D7635" w14:paraId="0FDAECCF" w14:textId="77777777" w:rsidTr="000A5C83">
        <w:trPr>
          <w:trHeight w:val="255"/>
        </w:trPr>
        <w:tc>
          <w:tcPr>
            <w:tcW w:w="2492" w:type="dxa"/>
            <w:shd w:val="clear" w:color="auto" w:fill="F2F2F2"/>
          </w:tcPr>
          <w:p w14:paraId="30F8A14F" w14:textId="77777777" w:rsidR="000E191C" w:rsidRPr="008D7635" w:rsidRDefault="000E191C" w:rsidP="000E191C">
            <w:pPr>
              <w:spacing w:after="0"/>
              <w:rPr>
                <w:rFonts w:eastAsia="Times New Roman"/>
                <w:lang w:eastAsia="en-GB"/>
              </w:rPr>
            </w:pPr>
            <w:r w:rsidRPr="008D7635">
              <w:rPr>
                <w:rFonts w:eastAsia="Times New Roman"/>
                <w:lang w:eastAsia="en-GB"/>
              </w:rPr>
              <w:t>Environmental Indicators</w:t>
            </w:r>
          </w:p>
        </w:tc>
        <w:tc>
          <w:tcPr>
            <w:tcW w:w="4080" w:type="dxa"/>
            <w:shd w:val="clear" w:color="auto" w:fill="F2F2F2"/>
            <w:noWrap/>
            <w:vAlign w:val="bottom"/>
            <w:hideMark/>
          </w:tcPr>
          <w:p w14:paraId="4D511AE1" w14:textId="77777777" w:rsidR="000E191C" w:rsidRPr="008D7635" w:rsidRDefault="000E191C" w:rsidP="000E191C">
            <w:pPr>
              <w:spacing w:after="0"/>
              <w:rPr>
                <w:rFonts w:eastAsia="Times New Roman"/>
                <w:lang w:eastAsia="en-GB"/>
              </w:rPr>
            </w:pPr>
            <w:r w:rsidRPr="008D7635">
              <w:rPr>
                <w:rFonts w:eastAsia="Times New Roman"/>
                <w:lang w:eastAsia="en-GB"/>
              </w:rPr>
              <w:t>Organic crops</w:t>
            </w:r>
          </w:p>
        </w:tc>
        <w:tc>
          <w:tcPr>
            <w:tcW w:w="1500" w:type="dxa"/>
            <w:shd w:val="clear" w:color="auto" w:fill="F2F2F2"/>
            <w:noWrap/>
            <w:vAlign w:val="center"/>
            <w:hideMark/>
          </w:tcPr>
          <w:p w14:paraId="3B811902" w14:textId="77777777" w:rsidR="000E191C" w:rsidRPr="008D7635" w:rsidRDefault="000E191C" w:rsidP="000E191C">
            <w:pPr>
              <w:spacing w:after="0"/>
              <w:jc w:val="center"/>
              <w:rPr>
                <w:rFonts w:eastAsia="Times New Roman"/>
                <w:lang w:eastAsia="en-GB"/>
              </w:rPr>
            </w:pPr>
            <w:r w:rsidRPr="008D7635">
              <w:rPr>
                <w:rFonts w:eastAsia="Times New Roman"/>
                <w:lang w:eastAsia="en-GB"/>
              </w:rPr>
              <w:t>0.51</w:t>
            </w:r>
          </w:p>
        </w:tc>
        <w:tc>
          <w:tcPr>
            <w:tcW w:w="1500" w:type="dxa"/>
            <w:shd w:val="clear" w:color="auto" w:fill="F2F2F2"/>
          </w:tcPr>
          <w:p w14:paraId="62A93173" w14:textId="77777777" w:rsidR="000E191C" w:rsidRPr="008D7635" w:rsidRDefault="000E191C" w:rsidP="000E191C">
            <w:pPr>
              <w:spacing w:after="0"/>
              <w:jc w:val="center"/>
              <w:rPr>
                <w:rFonts w:eastAsia="Times New Roman"/>
                <w:lang w:eastAsia="en-GB"/>
              </w:rPr>
            </w:pPr>
            <w:r w:rsidRPr="008D7635">
              <w:rPr>
                <w:rFonts w:eastAsia="Times New Roman"/>
                <w:lang w:eastAsia="en-GB"/>
              </w:rPr>
              <w:t>0.41</w:t>
            </w:r>
          </w:p>
        </w:tc>
      </w:tr>
      <w:tr w:rsidR="000E191C" w:rsidRPr="008D7635" w14:paraId="6523548D" w14:textId="77777777" w:rsidTr="000A5C83">
        <w:trPr>
          <w:trHeight w:val="255"/>
        </w:trPr>
        <w:tc>
          <w:tcPr>
            <w:tcW w:w="2492" w:type="dxa"/>
            <w:shd w:val="clear" w:color="auto" w:fill="F2F2F2"/>
          </w:tcPr>
          <w:p w14:paraId="5CBB877B" w14:textId="77777777" w:rsidR="000E191C" w:rsidRPr="008D7635" w:rsidRDefault="000E191C" w:rsidP="000E191C">
            <w:pPr>
              <w:spacing w:after="0"/>
              <w:rPr>
                <w:rFonts w:eastAsia="Times New Roman"/>
                <w:lang w:eastAsia="en-GB"/>
              </w:rPr>
            </w:pPr>
          </w:p>
        </w:tc>
        <w:tc>
          <w:tcPr>
            <w:tcW w:w="4080" w:type="dxa"/>
            <w:shd w:val="clear" w:color="auto" w:fill="F2F2F2"/>
            <w:noWrap/>
            <w:vAlign w:val="bottom"/>
            <w:hideMark/>
          </w:tcPr>
          <w:p w14:paraId="21496210" w14:textId="77777777" w:rsidR="000E191C" w:rsidRPr="008D7635" w:rsidRDefault="000E191C" w:rsidP="000E191C">
            <w:pPr>
              <w:spacing w:after="0"/>
              <w:rPr>
                <w:rFonts w:eastAsia="Times New Roman"/>
                <w:lang w:eastAsia="en-GB"/>
              </w:rPr>
            </w:pPr>
            <w:r w:rsidRPr="008D7635">
              <w:rPr>
                <w:rFonts w:eastAsia="Times New Roman"/>
                <w:lang w:eastAsia="en-GB"/>
              </w:rPr>
              <w:t>Total nights spent by tourist</w:t>
            </w:r>
          </w:p>
        </w:tc>
        <w:tc>
          <w:tcPr>
            <w:tcW w:w="1500" w:type="dxa"/>
            <w:shd w:val="clear" w:color="auto" w:fill="F2F2F2"/>
            <w:noWrap/>
            <w:vAlign w:val="center"/>
            <w:hideMark/>
          </w:tcPr>
          <w:p w14:paraId="1743B444" w14:textId="77777777" w:rsidR="000E191C" w:rsidRPr="008D7635" w:rsidRDefault="000E191C" w:rsidP="000E191C">
            <w:pPr>
              <w:spacing w:after="0"/>
              <w:jc w:val="center"/>
              <w:rPr>
                <w:rFonts w:eastAsia="Times New Roman"/>
                <w:lang w:eastAsia="en-GB"/>
              </w:rPr>
            </w:pPr>
            <w:r w:rsidRPr="008D7635">
              <w:rPr>
                <w:rFonts w:eastAsia="Times New Roman"/>
                <w:lang w:eastAsia="en-GB"/>
              </w:rPr>
              <w:t>0.53</w:t>
            </w:r>
          </w:p>
        </w:tc>
        <w:tc>
          <w:tcPr>
            <w:tcW w:w="1500" w:type="dxa"/>
            <w:shd w:val="clear" w:color="auto" w:fill="F2F2F2"/>
          </w:tcPr>
          <w:p w14:paraId="1B674DE0" w14:textId="77777777" w:rsidR="000E191C" w:rsidRPr="008D7635" w:rsidRDefault="000E191C" w:rsidP="000E191C">
            <w:pPr>
              <w:spacing w:after="0"/>
              <w:jc w:val="center"/>
              <w:rPr>
                <w:rFonts w:eastAsia="Times New Roman"/>
                <w:lang w:eastAsia="en-GB"/>
              </w:rPr>
            </w:pPr>
          </w:p>
        </w:tc>
      </w:tr>
    </w:tbl>
    <w:p w14:paraId="176F9EAF" w14:textId="77777777" w:rsidR="000E191C" w:rsidRPr="008D7635" w:rsidRDefault="000E191C" w:rsidP="000E191C">
      <w:pPr>
        <w:spacing w:line="360" w:lineRule="auto"/>
        <w:rPr>
          <w:rFonts w:ascii="Times New Roman" w:hAnsi="Times New Roman"/>
          <w:b/>
          <w:sz w:val="24"/>
          <w:szCs w:val="24"/>
          <w:lang w:val="en-US"/>
        </w:rPr>
      </w:pPr>
    </w:p>
    <w:p w14:paraId="302763E9" w14:textId="28DFD356" w:rsidR="00921275" w:rsidRPr="008D7635" w:rsidRDefault="000E191C"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In average, the largest discrepancies across EU regions are </w:t>
      </w:r>
      <w:r w:rsidR="008D241A" w:rsidRPr="008D7635">
        <w:rPr>
          <w:rFonts w:ascii="Times New Roman" w:hAnsi="Times New Roman"/>
          <w:sz w:val="24"/>
          <w:szCs w:val="24"/>
          <w:lang w:val="en-US"/>
        </w:rPr>
        <w:t xml:space="preserve">obtained </w:t>
      </w:r>
      <w:r w:rsidRPr="008D7635">
        <w:rPr>
          <w:rFonts w:ascii="Times New Roman" w:hAnsi="Times New Roman"/>
          <w:sz w:val="24"/>
          <w:szCs w:val="24"/>
          <w:lang w:val="en-US"/>
        </w:rPr>
        <w:t>by Environmental Indicators. The "total nights spent by tourist" and the "organic crops" have a coefficient higher than 0.50 highlighting a large deviation from a perfect</w:t>
      </w:r>
      <w:r w:rsidR="000E7945" w:rsidRPr="008D7635">
        <w:rPr>
          <w:rFonts w:ascii="Times New Roman" w:hAnsi="Times New Roman"/>
          <w:sz w:val="24"/>
          <w:szCs w:val="24"/>
          <w:lang w:val="en-US"/>
        </w:rPr>
        <w:t>ly uniform</w:t>
      </w:r>
      <w:r w:rsidRPr="008D7635">
        <w:rPr>
          <w:rFonts w:ascii="Times New Roman" w:hAnsi="Times New Roman"/>
          <w:sz w:val="24"/>
          <w:szCs w:val="24"/>
          <w:lang w:val="en-US"/>
        </w:rPr>
        <w:t xml:space="preserve"> distribution. On the contrary, the 0.18 coefficient value for the "per capita generation of municipal waste" summarize</w:t>
      </w:r>
      <w:r w:rsidR="00921275" w:rsidRPr="008D7635">
        <w:rPr>
          <w:rFonts w:ascii="Times New Roman" w:hAnsi="Times New Roman"/>
          <w:sz w:val="24"/>
          <w:szCs w:val="24"/>
          <w:lang w:val="en-US"/>
        </w:rPr>
        <w:t>s</w:t>
      </w:r>
      <w:r w:rsidRPr="008D7635">
        <w:rPr>
          <w:rFonts w:ascii="Times New Roman" w:hAnsi="Times New Roman"/>
          <w:sz w:val="24"/>
          <w:szCs w:val="24"/>
          <w:lang w:val="en-US"/>
        </w:rPr>
        <w:t xml:space="preserve"> that the quantity of municipal waste generated in Europe is similar across regions. Similar trend is also obtained for the "tertiary education" and social indicators with and average coefficient value of 0.20. Within that, however, difference</w:t>
      </w:r>
      <w:r w:rsidR="000E7945" w:rsidRPr="008D7635">
        <w:rPr>
          <w:rFonts w:ascii="Times New Roman" w:hAnsi="Times New Roman"/>
          <w:sz w:val="24"/>
          <w:szCs w:val="24"/>
          <w:lang w:val="en-US"/>
        </w:rPr>
        <w:t>s</w:t>
      </w:r>
      <w:r w:rsidRPr="008D7635">
        <w:rPr>
          <w:rFonts w:ascii="Times New Roman" w:hAnsi="Times New Roman"/>
          <w:sz w:val="24"/>
          <w:szCs w:val="24"/>
          <w:lang w:val="en-US"/>
        </w:rPr>
        <w:t xml:space="preserve"> exist between the deviation of the intentional self-harm and the deviation of the fertility rate. The first one, with a coefficient value that equals 0.28 summarize</w:t>
      </w:r>
      <w:r w:rsidR="00921275" w:rsidRPr="008D7635">
        <w:rPr>
          <w:rFonts w:ascii="Times New Roman" w:hAnsi="Times New Roman"/>
          <w:sz w:val="24"/>
          <w:szCs w:val="24"/>
          <w:lang w:val="en-US"/>
        </w:rPr>
        <w:t>s</w:t>
      </w:r>
      <w:r w:rsidRPr="008D7635">
        <w:rPr>
          <w:rFonts w:ascii="Times New Roman" w:hAnsi="Times New Roman"/>
          <w:sz w:val="24"/>
          <w:szCs w:val="24"/>
          <w:lang w:val="en-US"/>
        </w:rPr>
        <w:t xml:space="preserve"> that intentional self-harm are not equally </w:t>
      </w:r>
      <w:r w:rsidRPr="008D7635">
        <w:rPr>
          <w:rFonts w:ascii="Times New Roman" w:hAnsi="Times New Roman"/>
          <w:sz w:val="24"/>
          <w:szCs w:val="24"/>
          <w:lang w:val="en-US"/>
        </w:rPr>
        <w:lastRenderedPageBreak/>
        <w:t>distributed across Europe. The second one, with a 0.11 coefficient value indicates a similar distribution. Analogous is the performance of the "life expectancy" and of "malignant neoplasms" that having a coefficient value running below 0.1 summarize an almost equal distribution across European region. The "infant mortality rate" is the health indicator performing the largest discrepancy across areas. Finally, the economic indicators with an average coefficient value of 0.38 highlight that economic differences exist across European regions. In particular the "R&amp;D expendi</w:t>
      </w:r>
      <w:r w:rsidR="00A11966" w:rsidRPr="008D7635">
        <w:rPr>
          <w:rFonts w:ascii="Times New Roman" w:hAnsi="Times New Roman"/>
          <w:sz w:val="24"/>
          <w:szCs w:val="24"/>
          <w:lang w:val="en-US"/>
        </w:rPr>
        <w:t>ture" is the economic indicator</w:t>
      </w:r>
      <w:r w:rsidRPr="008D7635">
        <w:rPr>
          <w:rFonts w:ascii="Times New Roman" w:hAnsi="Times New Roman"/>
          <w:sz w:val="24"/>
          <w:szCs w:val="24"/>
          <w:lang w:val="en-US"/>
        </w:rPr>
        <w:t xml:space="preserve"> with the largest coefficient (0.53), followed by the long term unemployment rate (0.36) and by the GDP (0.26). Running over 0.25 all these indicators summarize that economic well-being is not equally distributed across European regions.</w:t>
      </w:r>
      <w:r w:rsidR="000E7945" w:rsidRPr="008D7635">
        <w:rPr>
          <w:rFonts w:ascii="Times New Roman" w:hAnsi="Times New Roman"/>
          <w:sz w:val="24"/>
          <w:szCs w:val="24"/>
          <w:lang w:val="en-US"/>
        </w:rPr>
        <w:t xml:space="preserve"> Through this analysis it is </w:t>
      </w:r>
      <w:r w:rsidR="00921275" w:rsidRPr="008D7635">
        <w:rPr>
          <w:rFonts w:ascii="Times New Roman" w:hAnsi="Times New Roman"/>
          <w:sz w:val="24"/>
          <w:szCs w:val="24"/>
          <w:lang w:val="en-US"/>
        </w:rPr>
        <w:t xml:space="preserve">clear what are the main </w:t>
      </w:r>
      <w:r w:rsidR="000E7945" w:rsidRPr="008D7635">
        <w:rPr>
          <w:rFonts w:ascii="Times New Roman" w:hAnsi="Times New Roman"/>
          <w:sz w:val="24"/>
          <w:szCs w:val="24"/>
          <w:lang w:val="en-US"/>
        </w:rPr>
        <w:t>sources of in-</w:t>
      </w:r>
      <w:r w:rsidR="00234989" w:rsidRPr="008D7635">
        <w:rPr>
          <w:rFonts w:ascii="Times New Roman" w:hAnsi="Times New Roman"/>
          <w:sz w:val="24"/>
          <w:szCs w:val="24"/>
          <w:lang w:val="en-US"/>
        </w:rPr>
        <w:t>homogeneity</w:t>
      </w:r>
      <w:r w:rsidR="00921275" w:rsidRPr="008D7635">
        <w:rPr>
          <w:rFonts w:ascii="Times New Roman" w:hAnsi="Times New Roman"/>
          <w:sz w:val="24"/>
          <w:szCs w:val="24"/>
          <w:lang w:val="en-US"/>
        </w:rPr>
        <w:t xml:space="preserve"> producing well-being </w:t>
      </w:r>
      <w:r w:rsidR="000E7945" w:rsidRPr="008D7635">
        <w:rPr>
          <w:rFonts w:ascii="Times New Roman" w:hAnsi="Times New Roman"/>
          <w:sz w:val="24"/>
          <w:szCs w:val="24"/>
          <w:lang w:val="en-US"/>
        </w:rPr>
        <w:t>differences</w:t>
      </w:r>
      <w:r w:rsidR="00921275" w:rsidRPr="008D7635">
        <w:rPr>
          <w:rFonts w:ascii="Times New Roman" w:hAnsi="Times New Roman"/>
          <w:sz w:val="24"/>
          <w:szCs w:val="24"/>
          <w:lang w:val="en-US"/>
        </w:rPr>
        <w:t xml:space="preserve"> across Europe.</w:t>
      </w:r>
      <w:r w:rsidR="000E7945" w:rsidRPr="008D7635">
        <w:rPr>
          <w:rFonts w:ascii="Times New Roman" w:hAnsi="Times New Roman"/>
          <w:sz w:val="24"/>
          <w:szCs w:val="24"/>
          <w:lang w:val="en-US"/>
        </w:rPr>
        <w:t xml:space="preserve"> </w:t>
      </w:r>
    </w:p>
    <w:p w14:paraId="7230AE4B" w14:textId="77777777" w:rsidR="000E191C" w:rsidRPr="008D7635" w:rsidRDefault="000E191C" w:rsidP="000E191C">
      <w:pPr>
        <w:spacing w:line="360" w:lineRule="auto"/>
        <w:rPr>
          <w:rFonts w:ascii="Times New Roman" w:hAnsi="Times New Roman"/>
          <w:b/>
          <w:sz w:val="24"/>
          <w:szCs w:val="24"/>
          <w:lang w:val="en-US"/>
        </w:rPr>
      </w:pPr>
      <w:r w:rsidRPr="008D7635">
        <w:rPr>
          <w:rFonts w:ascii="Times New Roman" w:hAnsi="Times New Roman"/>
          <w:sz w:val="24"/>
          <w:szCs w:val="24"/>
          <w:lang w:val="en-US"/>
        </w:rPr>
        <w:br w:type="page"/>
      </w:r>
      <w:r w:rsidR="00C75AF1" w:rsidRPr="008D7635">
        <w:rPr>
          <w:rFonts w:ascii="Times New Roman" w:hAnsi="Times New Roman"/>
          <w:b/>
          <w:sz w:val="24"/>
          <w:szCs w:val="24"/>
          <w:lang w:val="en-US"/>
        </w:rPr>
        <w:lastRenderedPageBreak/>
        <w:t>5</w:t>
      </w:r>
      <w:r w:rsidRPr="008D7635">
        <w:rPr>
          <w:rFonts w:ascii="Times New Roman" w:hAnsi="Times New Roman"/>
          <w:b/>
          <w:sz w:val="24"/>
          <w:szCs w:val="24"/>
          <w:lang w:val="en-US"/>
        </w:rPr>
        <w:t xml:space="preserve">. </w:t>
      </w:r>
      <w:r w:rsidRPr="008D7635">
        <w:rPr>
          <w:rFonts w:ascii="Times New Roman" w:hAnsi="Times New Roman"/>
          <w:b/>
          <w:sz w:val="24"/>
          <w:szCs w:val="24"/>
          <w:lang w:val="en-US"/>
        </w:rPr>
        <w:tab/>
        <w:t>Novelty, limitations and future development</w:t>
      </w:r>
    </w:p>
    <w:p w14:paraId="16EF99F7" w14:textId="77777777" w:rsidR="005B30F6" w:rsidRPr="008D7635" w:rsidRDefault="00C75AF1" w:rsidP="004D3577">
      <w:pPr>
        <w:spacing w:after="0" w:line="360" w:lineRule="auto"/>
        <w:jc w:val="both"/>
        <w:rPr>
          <w:rFonts w:ascii="Times New Roman" w:hAnsi="Times New Roman"/>
          <w:sz w:val="24"/>
          <w:szCs w:val="24"/>
        </w:rPr>
      </w:pPr>
      <w:r w:rsidRPr="008D7635">
        <w:rPr>
          <w:rFonts w:ascii="Times New Roman" w:hAnsi="Times New Roman"/>
          <w:sz w:val="24"/>
          <w:szCs w:val="24"/>
        </w:rPr>
        <w:t>In this study a well-being ov</w:t>
      </w:r>
      <w:r w:rsidR="0021208A" w:rsidRPr="008D7635">
        <w:rPr>
          <w:rFonts w:ascii="Times New Roman" w:hAnsi="Times New Roman"/>
          <w:sz w:val="24"/>
          <w:szCs w:val="24"/>
        </w:rPr>
        <w:t>erview across European region has been</w:t>
      </w:r>
      <w:r w:rsidRPr="008D7635">
        <w:rPr>
          <w:rFonts w:ascii="Times New Roman" w:hAnsi="Times New Roman"/>
          <w:sz w:val="24"/>
          <w:szCs w:val="24"/>
        </w:rPr>
        <w:t xml:space="preserve"> provided. By </w:t>
      </w:r>
      <w:r w:rsidR="0021208A" w:rsidRPr="008D7635">
        <w:rPr>
          <w:rFonts w:ascii="Times New Roman" w:hAnsi="Times New Roman"/>
          <w:sz w:val="24"/>
          <w:szCs w:val="24"/>
        </w:rPr>
        <w:t>using an</w:t>
      </w:r>
      <w:r w:rsidRPr="008D7635">
        <w:rPr>
          <w:rFonts w:ascii="Times New Roman" w:hAnsi="Times New Roman"/>
          <w:sz w:val="24"/>
          <w:szCs w:val="24"/>
        </w:rPr>
        <w:t xml:space="preserve"> integrated </w:t>
      </w:r>
      <w:r w:rsidR="0021208A" w:rsidRPr="008D7635">
        <w:rPr>
          <w:rFonts w:ascii="Times New Roman" w:hAnsi="Times New Roman"/>
          <w:sz w:val="24"/>
          <w:szCs w:val="24"/>
        </w:rPr>
        <w:t>approach a set of indicators has been considered</w:t>
      </w:r>
      <w:r w:rsidRPr="008D7635">
        <w:rPr>
          <w:rFonts w:ascii="Times New Roman" w:hAnsi="Times New Roman"/>
          <w:sz w:val="24"/>
          <w:szCs w:val="24"/>
        </w:rPr>
        <w:t xml:space="preserve"> to summarize the beyond-national border distribution of well-being. </w:t>
      </w:r>
      <w:r w:rsidR="003E7C16" w:rsidRPr="008D7635">
        <w:rPr>
          <w:rFonts w:ascii="Times New Roman" w:hAnsi="Times New Roman"/>
          <w:sz w:val="24"/>
          <w:szCs w:val="24"/>
        </w:rPr>
        <w:t>E</w:t>
      </w:r>
      <w:r w:rsidRPr="008D7635">
        <w:rPr>
          <w:rFonts w:ascii="Times New Roman" w:hAnsi="Times New Roman"/>
          <w:sz w:val="24"/>
          <w:szCs w:val="24"/>
        </w:rPr>
        <w:t xml:space="preserve">conomic, social, environmental and health data </w:t>
      </w:r>
      <w:r w:rsidR="003E7C16" w:rsidRPr="008D7635">
        <w:rPr>
          <w:rFonts w:ascii="Times New Roman" w:hAnsi="Times New Roman"/>
          <w:sz w:val="24"/>
          <w:szCs w:val="24"/>
        </w:rPr>
        <w:t xml:space="preserve">were used </w:t>
      </w:r>
      <w:r w:rsidRPr="008D7635">
        <w:rPr>
          <w:rFonts w:ascii="Times New Roman" w:hAnsi="Times New Roman"/>
          <w:sz w:val="24"/>
          <w:szCs w:val="24"/>
        </w:rPr>
        <w:t>to approximate well-being</w:t>
      </w:r>
      <w:r w:rsidR="003E7C16" w:rsidRPr="008D7635">
        <w:rPr>
          <w:rFonts w:ascii="Times New Roman" w:hAnsi="Times New Roman"/>
          <w:sz w:val="24"/>
          <w:szCs w:val="24"/>
        </w:rPr>
        <w:t xml:space="preserve"> at regi</w:t>
      </w:r>
      <w:r w:rsidR="00234989" w:rsidRPr="008D7635">
        <w:rPr>
          <w:rFonts w:ascii="Times New Roman" w:hAnsi="Times New Roman"/>
          <w:sz w:val="24"/>
          <w:szCs w:val="24"/>
        </w:rPr>
        <w:t>o</w:t>
      </w:r>
      <w:r w:rsidR="003E7C16" w:rsidRPr="008D7635">
        <w:rPr>
          <w:rFonts w:ascii="Times New Roman" w:hAnsi="Times New Roman"/>
          <w:sz w:val="24"/>
          <w:szCs w:val="24"/>
        </w:rPr>
        <w:t>nal scale</w:t>
      </w:r>
      <w:r w:rsidRPr="008D7635">
        <w:rPr>
          <w:rFonts w:ascii="Times New Roman" w:hAnsi="Times New Roman"/>
          <w:sz w:val="24"/>
          <w:szCs w:val="24"/>
        </w:rPr>
        <w:t xml:space="preserve">, </w:t>
      </w:r>
      <w:r w:rsidR="003E7C16" w:rsidRPr="008D7635">
        <w:rPr>
          <w:rFonts w:ascii="Times New Roman" w:hAnsi="Times New Roman"/>
          <w:sz w:val="24"/>
          <w:szCs w:val="24"/>
        </w:rPr>
        <w:t xml:space="preserve">and to develop </w:t>
      </w:r>
      <w:r w:rsidR="00921275" w:rsidRPr="008D7635">
        <w:rPr>
          <w:rFonts w:ascii="Times New Roman" w:hAnsi="Times New Roman"/>
          <w:sz w:val="24"/>
          <w:szCs w:val="24"/>
        </w:rPr>
        <w:t xml:space="preserve">an </w:t>
      </w:r>
      <w:r w:rsidR="003E7C16" w:rsidRPr="008D7635">
        <w:rPr>
          <w:rFonts w:ascii="Times New Roman" w:hAnsi="Times New Roman"/>
          <w:sz w:val="24"/>
          <w:szCs w:val="24"/>
        </w:rPr>
        <w:t xml:space="preserve">approach </w:t>
      </w:r>
      <w:r w:rsidR="00921275" w:rsidRPr="008D7635">
        <w:rPr>
          <w:rFonts w:ascii="Times New Roman" w:hAnsi="Times New Roman"/>
          <w:sz w:val="24"/>
          <w:szCs w:val="24"/>
        </w:rPr>
        <w:t>for</w:t>
      </w:r>
      <w:r w:rsidR="003E7C16" w:rsidRPr="008D7635">
        <w:rPr>
          <w:rFonts w:ascii="Times New Roman" w:hAnsi="Times New Roman"/>
          <w:sz w:val="24"/>
          <w:szCs w:val="24"/>
        </w:rPr>
        <w:t xml:space="preserve"> objective </w:t>
      </w:r>
      <w:r w:rsidRPr="008D7635">
        <w:rPr>
          <w:rFonts w:ascii="Times New Roman" w:hAnsi="Times New Roman"/>
          <w:sz w:val="24"/>
          <w:szCs w:val="24"/>
        </w:rPr>
        <w:t>analysis</w:t>
      </w:r>
      <w:r w:rsidR="00234989" w:rsidRPr="008D7635">
        <w:rPr>
          <w:rFonts w:ascii="Times New Roman" w:hAnsi="Times New Roman"/>
          <w:sz w:val="24"/>
          <w:szCs w:val="24"/>
        </w:rPr>
        <w:t xml:space="preserve"> </w:t>
      </w:r>
      <w:r w:rsidR="003E7C16" w:rsidRPr="008D7635">
        <w:rPr>
          <w:rFonts w:ascii="Times New Roman" w:hAnsi="Times New Roman"/>
          <w:sz w:val="24"/>
          <w:szCs w:val="24"/>
        </w:rPr>
        <w:t xml:space="preserve">of </w:t>
      </w:r>
      <w:r w:rsidRPr="008D7635">
        <w:rPr>
          <w:rFonts w:ascii="Times New Roman" w:hAnsi="Times New Roman"/>
          <w:sz w:val="24"/>
          <w:szCs w:val="24"/>
        </w:rPr>
        <w:t>well-being. However, since we completely agree with the theoretical approach that define well-being as something experienced by individuals and largely influenced by the specific social and cultural context</w:t>
      </w:r>
      <w:r w:rsidR="003E7C16" w:rsidRPr="008D7635">
        <w:rPr>
          <w:rFonts w:ascii="Times New Roman" w:hAnsi="Times New Roman"/>
          <w:sz w:val="24"/>
          <w:szCs w:val="24"/>
        </w:rPr>
        <w:t>s</w:t>
      </w:r>
      <w:r w:rsidRPr="008D7635">
        <w:rPr>
          <w:rFonts w:ascii="Times New Roman" w:hAnsi="Times New Roman"/>
          <w:sz w:val="24"/>
          <w:szCs w:val="24"/>
        </w:rPr>
        <w:t xml:space="preserve">, the method used in this paper is </w:t>
      </w:r>
      <w:r w:rsidR="00234989" w:rsidRPr="008D7635">
        <w:rPr>
          <w:rFonts w:ascii="Times New Roman" w:hAnsi="Times New Roman"/>
          <w:sz w:val="24"/>
          <w:szCs w:val="24"/>
        </w:rPr>
        <w:t>s</w:t>
      </w:r>
      <w:r w:rsidRPr="008D7635">
        <w:rPr>
          <w:rFonts w:ascii="Times New Roman" w:hAnsi="Times New Roman"/>
          <w:sz w:val="24"/>
          <w:szCs w:val="24"/>
        </w:rPr>
        <w:t xml:space="preserve">uitable to be complemented with subjective preferences and values, making the proposed study useful to analyse well-being in a national, regional or individual scale. </w:t>
      </w:r>
      <w:proofErr w:type="gramStart"/>
      <w:r w:rsidRPr="008D7635">
        <w:rPr>
          <w:rFonts w:ascii="Times New Roman" w:hAnsi="Times New Roman"/>
          <w:sz w:val="24"/>
          <w:szCs w:val="24"/>
        </w:rPr>
        <w:t xml:space="preserve">Based on this approach, the </w:t>
      </w:r>
      <w:r w:rsidR="004D3577" w:rsidRPr="008D7635">
        <w:rPr>
          <w:rFonts w:ascii="Times New Roman" w:hAnsi="Times New Roman"/>
          <w:sz w:val="24"/>
          <w:szCs w:val="24"/>
        </w:rPr>
        <w:t xml:space="preserve">analysis </w:t>
      </w:r>
      <w:r w:rsidR="008D241A" w:rsidRPr="008D7635">
        <w:rPr>
          <w:rFonts w:ascii="Times New Roman" w:hAnsi="Times New Roman"/>
          <w:sz w:val="24"/>
          <w:szCs w:val="24"/>
        </w:rPr>
        <w:t xml:space="preserve">presented </w:t>
      </w:r>
      <w:r w:rsidR="004D3577" w:rsidRPr="008D7635">
        <w:rPr>
          <w:rFonts w:ascii="Times New Roman" w:hAnsi="Times New Roman"/>
          <w:sz w:val="24"/>
          <w:szCs w:val="24"/>
        </w:rPr>
        <w:t>in this paper</w:t>
      </w:r>
      <w:r w:rsidRPr="008D7635">
        <w:rPr>
          <w:rFonts w:ascii="Times New Roman" w:hAnsi="Times New Roman"/>
          <w:sz w:val="24"/>
          <w:szCs w:val="24"/>
        </w:rPr>
        <w:t xml:space="preserve"> specifically avoided arbitrary weight attribution to the different indicators</w:t>
      </w:r>
      <w:r w:rsidR="00921275" w:rsidRPr="008D7635">
        <w:rPr>
          <w:rFonts w:ascii="Times New Roman" w:hAnsi="Times New Roman"/>
          <w:sz w:val="24"/>
          <w:szCs w:val="24"/>
        </w:rPr>
        <w:t>,</w:t>
      </w:r>
      <w:r w:rsidR="003E7C16" w:rsidRPr="008D7635">
        <w:rPr>
          <w:rFonts w:ascii="Times New Roman" w:hAnsi="Times New Roman"/>
          <w:sz w:val="24"/>
          <w:szCs w:val="24"/>
        </w:rPr>
        <w:t xml:space="preserve"> thus assuming that</w:t>
      </w:r>
      <w:r w:rsidRPr="008D7635">
        <w:rPr>
          <w:rFonts w:ascii="Times New Roman" w:hAnsi="Times New Roman"/>
          <w:sz w:val="24"/>
          <w:szCs w:val="24"/>
        </w:rPr>
        <w:t xml:space="preserve"> all the used indicators exactly have the same importance.</w:t>
      </w:r>
      <w:proofErr w:type="gramEnd"/>
      <w:r w:rsidRPr="008D7635">
        <w:rPr>
          <w:rFonts w:ascii="Times New Roman" w:hAnsi="Times New Roman"/>
          <w:sz w:val="24"/>
          <w:szCs w:val="24"/>
        </w:rPr>
        <w:t xml:space="preserve"> </w:t>
      </w:r>
    </w:p>
    <w:p w14:paraId="6A625EEC" w14:textId="72298463" w:rsidR="005B30F6" w:rsidRPr="008D7635" w:rsidRDefault="008D241A" w:rsidP="004D3577">
      <w:pPr>
        <w:spacing w:after="0" w:line="360" w:lineRule="auto"/>
        <w:jc w:val="both"/>
        <w:rPr>
          <w:rFonts w:ascii="Times New Roman" w:hAnsi="Times New Roman"/>
          <w:sz w:val="24"/>
          <w:szCs w:val="24"/>
        </w:rPr>
      </w:pPr>
      <w:r w:rsidRPr="008D7635">
        <w:rPr>
          <w:rFonts w:ascii="Times New Roman" w:hAnsi="Times New Roman"/>
          <w:sz w:val="24"/>
          <w:szCs w:val="24"/>
        </w:rPr>
        <w:t>Based on</w:t>
      </w:r>
      <w:r w:rsidR="009642B1" w:rsidRPr="008D7635">
        <w:rPr>
          <w:rFonts w:ascii="Times New Roman" w:hAnsi="Times New Roman"/>
          <w:sz w:val="24"/>
          <w:szCs w:val="24"/>
        </w:rPr>
        <w:t xml:space="preserve"> the idea that well-being is a matter of needs satisfaction and </w:t>
      </w:r>
      <w:r w:rsidR="00586454" w:rsidRPr="008D7635">
        <w:rPr>
          <w:rFonts w:ascii="Times New Roman" w:hAnsi="Times New Roman"/>
          <w:sz w:val="24"/>
          <w:szCs w:val="24"/>
        </w:rPr>
        <w:t>an individual perception, the model presented in this paper is</w:t>
      </w:r>
      <w:r w:rsidR="009642B1" w:rsidRPr="008D7635">
        <w:rPr>
          <w:rFonts w:ascii="Times New Roman" w:hAnsi="Times New Roman"/>
          <w:sz w:val="24"/>
          <w:szCs w:val="24"/>
        </w:rPr>
        <w:t xml:space="preserve"> suitable to </w:t>
      </w:r>
      <w:r w:rsidR="00586454" w:rsidRPr="008D7635">
        <w:rPr>
          <w:rFonts w:ascii="Times New Roman" w:hAnsi="Times New Roman"/>
          <w:sz w:val="24"/>
          <w:szCs w:val="24"/>
        </w:rPr>
        <w:t xml:space="preserve">integrate </w:t>
      </w:r>
      <w:r w:rsidR="009642B1" w:rsidRPr="008D7635">
        <w:rPr>
          <w:rFonts w:ascii="Times New Roman" w:hAnsi="Times New Roman"/>
          <w:sz w:val="24"/>
          <w:szCs w:val="24"/>
        </w:rPr>
        <w:t>objective and subjective well-being theories. The main advantages are related to the fact that both approaches can be combined in a single methodological framework</w:t>
      </w:r>
      <w:r w:rsidR="00586454" w:rsidRPr="008D7635">
        <w:rPr>
          <w:rFonts w:ascii="Times New Roman" w:hAnsi="Times New Roman"/>
          <w:sz w:val="24"/>
          <w:szCs w:val="24"/>
        </w:rPr>
        <w:t>. In particular,</w:t>
      </w:r>
      <w:r w:rsidR="009642B1" w:rsidRPr="008D7635">
        <w:rPr>
          <w:rFonts w:ascii="Times New Roman" w:hAnsi="Times New Roman"/>
          <w:sz w:val="24"/>
          <w:szCs w:val="24"/>
        </w:rPr>
        <w:t xml:space="preserve"> </w:t>
      </w:r>
      <w:r w:rsidR="00586454" w:rsidRPr="008D7635">
        <w:rPr>
          <w:rFonts w:ascii="Times New Roman" w:hAnsi="Times New Roman"/>
          <w:sz w:val="24"/>
          <w:szCs w:val="24"/>
        </w:rPr>
        <w:t xml:space="preserve">the non-compensatory approach and the transparent and non-weighted selection of the objective well-being indicators allow </w:t>
      </w:r>
      <w:r w:rsidR="00515E3E" w:rsidRPr="008D7635">
        <w:rPr>
          <w:rFonts w:ascii="Times New Roman" w:hAnsi="Times New Roman"/>
          <w:sz w:val="24"/>
          <w:szCs w:val="24"/>
        </w:rPr>
        <w:t>integrating</w:t>
      </w:r>
      <w:r w:rsidR="00586454" w:rsidRPr="008D7635">
        <w:rPr>
          <w:rFonts w:ascii="Times New Roman" w:hAnsi="Times New Roman"/>
          <w:sz w:val="24"/>
          <w:szCs w:val="24"/>
        </w:rPr>
        <w:t xml:space="preserve"> the present analysis with subjective elements</w:t>
      </w:r>
      <w:r w:rsidR="00515E3E" w:rsidRPr="008D7635">
        <w:rPr>
          <w:rFonts w:ascii="Times New Roman" w:hAnsi="Times New Roman"/>
          <w:sz w:val="24"/>
          <w:szCs w:val="24"/>
        </w:rPr>
        <w:t xml:space="preserve">. The results of the present </w:t>
      </w:r>
      <w:r w:rsidR="00586454" w:rsidRPr="008D7635">
        <w:rPr>
          <w:rFonts w:ascii="Times New Roman" w:hAnsi="Times New Roman"/>
          <w:sz w:val="24"/>
          <w:szCs w:val="24"/>
        </w:rPr>
        <w:t xml:space="preserve">study and the methodology presented in this paper are then suitable to support future </w:t>
      </w:r>
      <w:r w:rsidR="00E24300" w:rsidRPr="008D7635">
        <w:rPr>
          <w:rFonts w:ascii="Times New Roman" w:hAnsi="Times New Roman"/>
          <w:sz w:val="24"/>
          <w:szCs w:val="24"/>
        </w:rPr>
        <w:t>researches oriented</w:t>
      </w:r>
      <w:r w:rsidR="00586454" w:rsidRPr="008D7635">
        <w:rPr>
          <w:rFonts w:ascii="Times New Roman" w:hAnsi="Times New Roman"/>
          <w:sz w:val="24"/>
          <w:szCs w:val="24"/>
        </w:rPr>
        <w:t xml:space="preserve"> to provide a </w:t>
      </w:r>
      <w:r w:rsidR="00EE244F" w:rsidRPr="008D7635">
        <w:rPr>
          <w:rFonts w:ascii="Times New Roman" w:hAnsi="Times New Roman"/>
          <w:sz w:val="24"/>
          <w:szCs w:val="24"/>
        </w:rPr>
        <w:t>broad</w:t>
      </w:r>
      <w:r w:rsidR="003C7DE2" w:rsidRPr="008D7635">
        <w:rPr>
          <w:rFonts w:ascii="Times New Roman" w:hAnsi="Times New Roman"/>
          <w:sz w:val="24"/>
          <w:szCs w:val="24"/>
        </w:rPr>
        <w:t>er</w:t>
      </w:r>
      <w:r w:rsidR="00EE244F" w:rsidRPr="008D7635">
        <w:rPr>
          <w:rFonts w:ascii="Times New Roman" w:hAnsi="Times New Roman"/>
          <w:sz w:val="24"/>
          <w:szCs w:val="24"/>
        </w:rPr>
        <w:t xml:space="preserve"> and </w:t>
      </w:r>
      <w:r w:rsidR="003C7DE2" w:rsidRPr="008D7635">
        <w:rPr>
          <w:rFonts w:ascii="Times New Roman" w:hAnsi="Times New Roman"/>
          <w:sz w:val="24"/>
          <w:szCs w:val="24"/>
        </w:rPr>
        <w:t xml:space="preserve">more </w:t>
      </w:r>
      <w:r w:rsidR="00EE244F" w:rsidRPr="008D7635">
        <w:rPr>
          <w:rFonts w:ascii="Times New Roman" w:hAnsi="Times New Roman"/>
          <w:sz w:val="24"/>
          <w:szCs w:val="24"/>
        </w:rPr>
        <w:t xml:space="preserve">integrated description of well-being </w:t>
      </w:r>
      <w:r w:rsidR="00515E3E" w:rsidRPr="008D7635">
        <w:rPr>
          <w:rFonts w:ascii="Times New Roman" w:hAnsi="Times New Roman"/>
          <w:sz w:val="24"/>
          <w:szCs w:val="24"/>
        </w:rPr>
        <w:t>across individual or societal dimensions.</w:t>
      </w:r>
      <w:r w:rsidR="00EE244F" w:rsidRPr="008D7635">
        <w:rPr>
          <w:rFonts w:ascii="Times New Roman" w:hAnsi="Times New Roman"/>
          <w:sz w:val="24"/>
          <w:szCs w:val="24"/>
        </w:rPr>
        <w:t xml:space="preserve"> Within this context</w:t>
      </w:r>
      <w:r w:rsidR="00515E3E" w:rsidRPr="008D7635">
        <w:rPr>
          <w:rFonts w:ascii="Times New Roman" w:hAnsi="Times New Roman"/>
          <w:sz w:val="24"/>
          <w:szCs w:val="24"/>
        </w:rPr>
        <w:t>,</w:t>
      </w:r>
      <w:r w:rsidR="009642B1" w:rsidRPr="008D7635">
        <w:rPr>
          <w:rFonts w:ascii="Times New Roman" w:hAnsi="Times New Roman"/>
          <w:sz w:val="24"/>
          <w:szCs w:val="24"/>
        </w:rPr>
        <w:t xml:space="preserve"> </w:t>
      </w:r>
      <w:r w:rsidR="00EE244F" w:rsidRPr="008D7635">
        <w:rPr>
          <w:rFonts w:ascii="Times New Roman" w:hAnsi="Times New Roman"/>
          <w:sz w:val="24"/>
          <w:szCs w:val="24"/>
        </w:rPr>
        <w:t>f</w:t>
      </w:r>
      <w:r w:rsidR="00C75AF1" w:rsidRPr="008D7635">
        <w:rPr>
          <w:rFonts w:ascii="Times New Roman" w:hAnsi="Times New Roman"/>
          <w:sz w:val="24"/>
          <w:szCs w:val="24"/>
        </w:rPr>
        <w:t xml:space="preserve">uture development </w:t>
      </w:r>
      <w:r w:rsidR="003E7C16" w:rsidRPr="008D7635">
        <w:rPr>
          <w:rFonts w:ascii="Times New Roman" w:hAnsi="Times New Roman"/>
          <w:sz w:val="24"/>
          <w:szCs w:val="24"/>
        </w:rPr>
        <w:t>should</w:t>
      </w:r>
      <w:r w:rsidR="00234989" w:rsidRPr="008D7635">
        <w:rPr>
          <w:rFonts w:ascii="Times New Roman" w:hAnsi="Times New Roman"/>
          <w:sz w:val="24"/>
          <w:szCs w:val="24"/>
        </w:rPr>
        <w:t xml:space="preserve"> be</w:t>
      </w:r>
      <w:r w:rsidR="00C75AF1" w:rsidRPr="008D7635">
        <w:rPr>
          <w:rFonts w:ascii="Times New Roman" w:hAnsi="Times New Roman"/>
          <w:sz w:val="24"/>
          <w:szCs w:val="24"/>
        </w:rPr>
        <w:t xml:space="preserve"> oriented to collect subjective perceptions and values across European regions and integrate the objective analysis provided in this study with more subjective evaluations. </w:t>
      </w:r>
    </w:p>
    <w:p w14:paraId="509B6C7B" w14:textId="5AE0837D" w:rsidR="004D3577" w:rsidRPr="008D7635" w:rsidRDefault="00C75AF1" w:rsidP="004D3577">
      <w:pPr>
        <w:spacing w:after="0" w:line="360" w:lineRule="auto"/>
        <w:jc w:val="both"/>
        <w:rPr>
          <w:rFonts w:ascii="Times New Roman" w:hAnsi="Times New Roman"/>
          <w:sz w:val="24"/>
          <w:szCs w:val="24"/>
          <w:lang w:val="en-US"/>
        </w:rPr>
      </w:pPr>
      <w:r w:rsidRPr="008D7635">
        <w:rPr>
          <w:rFonts w:ascii="Times New Roman" w:hAnsi="Times New Roman"/>
          <w:sz w:val="24"/>
          <w:szCs w:val="24"/>
        </w:rPr>
        <w:t>In particular, using a participative approach, a set of interviews could be performed by asking people "what really matters for them". The attribution of weight quantifying the relative importance of the different</w:t>
      </w:r>
      <w:r w:rsidR="004D3577" w:rsidRPr="008D7635">
        <w:rPr>
          <w:rFonts w:ascii="Times New Roman" w:hAnsi="Times New Roman"/>
          <w:sz w:val="24"/>
          <w:szCs w:val="24"/>
        </w:rPr>
        <w:t xml:space="preserve"> indicators will move this analysis</w:t>
      </w:r>
      <w:r w:rsidRPr="008D7635">
        <w:rPr>
          <w:rFonts w:ascii="Times New Roman" w:hAnsi="Times New Roman"/>
          <w:sz w:val="24"/>
          <w:szCs w:val="24"/>
        </w:rPr>
        <w:t xml:space="preserve"> from a purely objective </w:t>
      </w:r>
      <w:r w:rsidR="00234989" w:rsidRPr="008D7635">
        <w:rPr>
          <w:rFonts w:ascii="Times New Roman" w:hAnsi="Times New Roman"/>
          <w:sz w:val="24"/>
          <w:szCs w:val="24"/>
        </w:rPr>
        <w:t>evaluation</w:t>
      </w:r>
      <w:r w:rsidR="003E7C16" w:rsidRPr="008D7635">
        <w:rPr>
          <w:rFonts w:ascii="Times New Roman" w:hAnsi="Times New Roman"/>
          <w:sz w:val="24"/>
          <w:szCs w:val="24"/>
        </w:rPr>
        <w:t xml:space="preserve"> </w:t>
      </w:r>
      <w:r w:rsidRPr="008D7635">
        <w:rPr>
          <w:rFonts w:ascii="Times New Roman" w:hAnsi="Times New Roman"/>
          <w:sz w:val="24"/>
          <w:szCs w:val="24"/>
        </w:rPr>
        <w:t xml:space="preserve">of well-being to a more subjective one. </w:t>
      </w:r>
      <w:r w:rsidRPr="008D7635">
        <w:rPr>
          <w:rFonts w:ascii="Times New Roman" w:hAnsi="Times New Roman"/>
          <w:sz w:val="24"/>
          <w:szCs w:val="24"/>
          <w:lang w:val="en-US"/>
        </w:rPr>
        <w:t>Data from the</w:t>
      </w:r>
      <w:r w:rsidRPr="008D7635">
        <w:rPr>
          <w:rFonts w:ascii="Times New Roman" w:hAnsi="Times New Roman"/>
          <w:b/>
          <w:sz w:val="24"/>
          <w:szCs w:val="24"/>
          <w:lang w:val="en-US"/>
        </w:rPr>
        <w:t xml:space="preserve"> </w:t>
      </w:r>
      <w:r w:rsidRPr="008D7635">
        <w:rPr>
          <w:rFonts w:ascii="Times New Roman" w:hAnsi="Times New Roman"/>
          <w:sz w:val="24"/>
          <w:szCs w:val="24"/>
          <w:lang w:val="en-US"/>
        </w:rPr>
        <w:t xml:space="preserve">European Quality of Life Survey (EQLS) could be used to introduce subjective elements into the analysis. However, the main limitation of this database is that it is disaggregated between the 27 MS and no regional data or detailed analyses of sub-groups in individual countries are provided. Since indicators are intended to provide information </w:t>
      </w:r>
      <w:r w:rsidR="0021208A" w:rsidRPr="008D7635">
        <w:rPr>
          <w:rFonts w:ascii="Times New Roman" w:hAnsi="Times New Roman"/>
          <w:sz w:val="24"/>
          <w:szCs w:val="24"/>
          <w:lang w:val="en-US"/>
        </w:rPr>
        <w:t>about a system, his</w:t>
      </w:r>
      <w:r w:rsidRPr="008D7635">
        <w:rPr>
          <w:rFonts w:ascii="Times New Roman" w:hAnsi="Times New Roman"/>
          <w:sz w:val="24"/>
          <w:szCs w:val="24"/>
          <w:lang w:val="en-US"/>
        </w:rPr>
        <w:t xml:space="preserve"> current condition and how it changes over time, it would be important to update the present research with most recent data, when collected and released by Eurostat</w:t>
      </w:r>
      <w:r w:rsidR="003E7C16" w:rsidRPr="008D7635">
        <w:rPr>
          <w:rFonts w:ascii="Times New Roman" w:hAnsi="Times New Roman"/>
          <w:sz w:val="24"/>
          <w:szCs w:val="24"/>
          <w:lang w:val="en-US"/>
        </w:rPr>
        <w:t xml:space="preserve"> but at the same time with an analysis of the past </w:t>
      </w:r>
      <w:r w:rsidR="003E7C16" w:rsidRPr="008D7635">
        <w:rPr>
          <w:rFonts w:ascii="Times New Roman" w:hAnsi="Times New Roman"/>
          <w:sz w:val="24"/>
          <w:szCs w:val="24"/>
          <w:lang w:val="en-US"/>
        </w:rPr>
        <w:lastRenderedPageBreak/>
        <w:t>situation as far back as coherent data are available</w:t>
      </w:r>
      <w:r w:rsidR="004D3577" w:rsidRPr="008D7635">
        <w:rPr>
          <w:rFonts w:ascii="Times New Roman" w:hAnsi="Times New Roman"/>
          <w:sz w:val="24"/>
          <w:szCs w:val="24"/>
          <w:lang w:val="en-US"/>
        </w:rPr>
        <w:t>. This kind of study</w:t>
      </w:r>
      <w:r w:rsidRPr="008D7635">
        <w:rPr>
          <w:rFonts w:ascii="Times New Roman" w:hAnsi="Times New Roman"/>
          <w:sz w:val="24"/>
          <w:szCs w:val="24"/>
          <w:lang w:val="en-US"/>
        </w:rPr>
        <w:t xml:space="preserve"> performed over time will provide </w:t>
      </w:r>
      <w:r w:rsidR="003E7C16" w:rsidRPr="008D7635">
        <w:rPr>
          <w:rFonts w:ascii="Times New Roman" w:hAnsi="Times New Roman"/>
          <w:sz w:val="24"/>
          <w:szCs w:val="24"/>
          <w:lang w:val="en-US"/>
        </w:rPr>
        <w:t xml:space="preserve">interesting elements of evaluation of the current methodology but also </w:t>
      </w:r>
      <w:r w:rsidRPr="008D7635">
        <w:rPr>
          <w:rFonts w:ascii="Times New Roman" w:hAnsi="Times New Roman"/>
          <w:sz w:val="24"/>
          <w:szCs w:val="24"/>
          <w:lang w:val="en-US"/>
        </w:rPr>
        <w:t>an overview of the path of the different region</w:t>
      </w:r>
      <w:r w:rsidR="003E7C16" w:rsidRPr="008D7635">
        <w:rPr>
          <w:rFonts w:ascii="Times New Roman" w:hAnsi="Times New Roman"/>
          <w:sz w:val="24"/>
          <w:szCs w:val="24"/>
          <w:lang w:val="en-US"/>
        </w:rPr>
        <w:t>s</w:t>
      </w:r>
      <w:r w:rsidRPr="008D7635">
        <w:rPr>
          <w:rFonts w:ascii="Times New Roman" w:hAnsi="Times New Roman"/>
          <w:sz w:val="24"/>
          <w:szCs w:val="24"/>
          <w:lang w:val="en-US"/>
        </w:rPr>
        <w:t xml:space="preserve"> in the progress toward well-being and the</w:t>
      </w:r>
      <w:r w:rsidR="0021208A" w:rsidRPr="008D7635">
        <w:rPr>
          <w:rFonts w:ascii="Times New Roman" w:hAnsi="Times New Roman"/>
          <w:sz w:val="24"/>
          <w:szCs w:val="24"/>
          <w:lang w:val="en-US"/>
        </w:rPr>
        <w:t xml:space="preserve"> in</w:t>
      </w:r>
      <w:r w:rsidRPr="008D7635">
        <w:rPr>
          <w:rFonts w:ascii="Times New Roman" w:hAnsi="Times New Roman"/>
          <w:sz w:val="24"/>
          <w:szCs w:val="24"/>
          <w:lang w:val="en-US"/>
        </w:rPr>
        <w:t xml:space="preserve"> reductio</w:t>
      </w:r>
      <w:r w:rsidR="004D3577" w:rsidRPr="008D7635">
        <w:rPr>
          <w:rFonts w:ascii="Times New Roman" w:hAnsi="Times New Roman"/>
          <w:sz w:val="24"/>
          <w:szCs w:val="24"/>
          <w:lang w:val="en-US"/>
        </w:rPr>
        <w:t>n of the regional disparities. By m</w:t>
      </w:r>
      <w:r w:rsidRPr="008D7635">
        <w:rPr>
          <w:rFonts w:ascii="Times New Roman" w:hAnsi="Times New Roman"/>
          <w:sz w:val="24"/>
          <w:szCs w:val="24"/>
          <w:lang w:val="en-US"/>
        </w:rPr>
        <w:t xml:space="preserve">aintaining the different indicators </w:t>
      </w:r>
      <w:r w:rsidR="003E7C16" w:rsidRPr="008D7635">
        <w:rPr>
          <w:rFonts w:ascii="Times New Roman" w:hAnsi="Times New Roman"/>
          <w:sz w:val="24"/>
          <w:szCs w:val="24"/>
          <w:lang w:val="en-US"/>
        </w:rPr>
        <w:t xml:space="preserve">separated from one another </w:t>
      </w:r>
      <w:r w:rsidRPr="008D7635">
        <w:rPr>
          <w:rFonts w:ascii="Times New Roman" w:hAnsi="Times New Roman"/>
          <w:sz w:val="24"/>
          <w:szCs w:val="24"/>
          <w:lang w:val="en-US"/>
        </w:rPr>
        <w:t xml:space="preserve">and avoiding aggregating indicators into a single index, it is possible to identify which indicators and dimensions improved over time and which </w:t>
      </w:r>
      <w:r w:rsidR="003E7C16" w:rsidRPr="008D7635">
        <w:rPr>
          <w:rFonts w:ascii="Times New Roman" w:hAnsi="Times New Roman"/>
          <w:sz w:val="24"/>
          <w:szCs w:val="24"/>
          <w:lang w:val="en-US"/>
        </w:rPr>
        <w:t xml:space="preserve">are activating toward a reduction of </w:t>
      </w:r>
      <w:r w:rsidRPr="008D7635">
        <w:rPr>
          <w:rFonts w:ascii="Times New Roman" w:hAnsi="Times New Roman"/>
          <w:sz w:val="24"/>
          <w:szCs w:val="24"/>
          <w:lang w:val="en-US"/>
        </w:rPr>
        <w:t>the disparities across Europe.</w:t>
      </w:r>
      <w:r w:rsidR="004D3577" w:rsidRPr="008D7635">
        <w:rPr>
          <w:rFonts w:ascii="Times New Roman" w:hAnsi="Times New Roman"/>
          <w:sz w:val="24"/>
          <w:szCs w:val="24"/>
          <w:lang w:val="en-US"/>
        </w:rPr>
        <w:t xml:space="preserve"> </w:t>
      </w:r>
    </w:p>
    <w:p w14:paraId="759D80A0" w14:textId="77777777" w:rsidR="00921275" w:rsidRPr="008D7635" w:rsidRDefault="003E7C16" w:rsidP="004D3577">
      <w:pPr>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Indeed the list of indicators selected should be enlarged with more homogenously collected data across all regions. </w:t>
      </w:r>
      <w:r w:rsidR="00921275" w:rsidRPr="008D7635">
        <w:rPr>
          <w:rFonts w:ascii="Times New Roman" w:hAnsi="Times New Roman"/>
          <w:sz w:val="24"/>
          <w:szCs w:val="24"/>
          <w:lang w:val="en-US"/>
        </w:rPr>
        <w:t>The problem of the s</w:t>
      </w:r>
      <w:r w:rsidR="004D3577" w:rsidRPr="008D7635">
        <w:rPr>
          <w:rFonts w:ascii="Times New Roman" w:hAnsi="Times New Roman"/>
          <w:sz w:val="24"/>
          <w:szCs w:val="24"/>
          <w:lang w:val="en-US"/>
        </w:rPr>
        <w:t>carcity</w:t>
      </w:r>
      <w:r w:rsidR="00921275" w:rsidRPr="008D7635">
        <w:rPr>
          <w:rFonts w:ascii="Times New Roman" w:hAnsi="Times New Roman"/>
          <w:sz w:val="24"/>
          <w:szCs w:val="24"/>
          <w:lang w:val="en-US"/>
        </w:rPr>
        <w:t xml:space="preserve"> of homogenous indicators, in particular the environmental ones, remains one of the main drawbacks of our analysis but also a finding, to the extent that it points to the necessity of collecting this information centrally and with respect to homogeneous indexes.</w:t>
      </w:r>
    </w:p>
    <w:p w14:paraId="365C6114" w14:textId="77777777" w:rsidR="00C75AF1" w:rsidRPr="008D7635" w:rsidRDefault="00C75AF1" w:rsidP="00921275">
      <w:pPr>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The </w:t>
      </w:r>
      <w:r w:rsidR="00921275" w:rsidRPr="008D7635">
        <w:rPr>
          <w:rFonts w:ascii="Times New Roman" w:hAnsi="Times New Roman"/>
          <w:sz w:val="24"/>
          <w:szCs w:val="24"/>
          <w:lang w:val="en-US"/>
        </w:rPr>
        <w:t>analysis and the results provided in this paper</w:t>
      </w:r>
      <w:r w:rsidRPr="008D7635">
        <w:rPr>
          <w:rFonts w:ascii="Times New Roman" w:hAnsi="Times New Roman"/>
          <w:sz w:val="24"/>
          <w:szCs w:val="24"/>
          <w:lang w:val="en-US"/>
        </w:rPr>
        <w:t xml:space="preserve"> can be useful in a framework of evidence based policy. </w:t>
      </w:r>
      <w:r w:rsidR="004D3577" w:rsidRPr="008D7635">
        <w:rPr>
          <w:rFonts w:ascii="Times New Roman" w:hAnsi="Times New Roman"/>
          <w:sz w:val="24"/>
          <w:szCs w:val="24"/>
          <w:lang w:val="en-US"/>
        </w:rPr>
        <w:t xml:space="preserve">By </w:t>
      </w:r>
      <w:r w:rsidRPr="008D7635">
        <w:rPr>
          <w:rFonts w:ascii="Times New Roman" w:hAnsi="Times New Roman"/>
          <w:sz w:val="24"/>
          <w:szCs w:val="24"/>
          <w:lang w:val="en-US"/>
        </w:rPr>
        <w:t>highlight</w:t>
      </w:r>
      <w:r w:rsidR="004D3577" w:rsidRPr="008D7635">
        <w:rPr>
          <w:rFonts w:ascii="Times New Roman" w:hAnsi="Times New Roman"/>
          <w:sz w:val="24"/>
          <w:szCs w:val="24"/>
          <w:lang w:val="en-US"/>
        </w:rPr>
        <w:t>ing</w:t>
      </w:r>
      <w:r w:rsidRPr="008D7635">
        <w:rPr>
          <w:rFonts w:ascii="Times New Roman" w:hAnsi="Times New Roman"/>
          <w:sz w:val="24"/>
          <w:szCs w:val="24"/>
          <w:lang w:val="en-US"/>
        </w:rPr>
        <w:t xml:space="preserve"> how close </w:t>
      </w:r>
      <w:r w:rsidR="004D3577" w:rsidRPr="008D7635">
        <w:rPr>
          <w:rFonts w:ascii="Times New Roman" w:hAnsi="Times New Roman"/>
          <w:sz w:val="24"/>
          <w:szCs w:val="24"/>
          <w:lang w:val="en-US"/>
        </w:rPr>
        <w:t>or far is any specific indicator</w:t>
      </w:r>
      <w:r w:rsidRPr="008D7635">
        <w:rPr>
          <w:rFonts w:ascii="Times New Roman" w:hAnsi="Times New Roman"/>
          <w:sz w:val="24"/>
          <w:szCs w:val="24"/>
          <w:lang w:val="en-US"/>
        </w:rPr>
        <w:t xml:space="preserve"> of any specific region from the best value performed within EU</w:t>
      </w:r>
      <w:r w:rsidR="004D3577" w:rsidRPr="008D7635">
        <w:rPr>
          <w:rFonts w:ascii="Times New Roman" w:hAnsi="Times New Roman"/>
          <w:sz w:val="24"/>
          <w:szCs w:val="24"/>
          <w:lang w:val="en-US"/>
        </w:rPr>
        <w:t xml:space="preserve">, the present paper </w:t>
      </w:r>
      <w:r w:rsidRPr="008D7635">
        <w:rPr>
          <w:rFonts w:ascii="Times New Roman" w:hAnsi="Times New Roman"/>
          <w:sz w:val="24"/>
          <w:szCs w:val="24"/>
          <w:lang w:val="en-US"/>
        </w:rPr>
        <w:t>iden</w:t>
      </w:r>
      <w:r w:rsidR="00921275" w:rsidRPr="008D7635">
        <w:rPr>
          <w:rFonts w:ascii="Times New Roman" w:hAnsi="Times New Roman"/>
          <w:sz w:val="24"/>
          <w:szCs w:val="24"/>
          <w:lang w:val="en-US"/>
        </w:rPr>
        <w:t>tify the main weakness of every area a</w:t>
      </w:r>
      <w:r w:rsidRPr="008D7635">
        <w:rPr>
          <w:rFonts w:ascii="Times New Roman" w:hAnsi="Times New Roman"/>
          <w:sz w:val="24"/>
          <w:szCs w:val="24"/>
          <w:lang w:val="en-US"/>
        </w:rPr>
        <w:t xml:space="preserve">nd </w:t>
      </w:r>
      <w:r w:rsidR="004D3577" w:rsidRPr="008D7635">
        <w:rPr>
          <w:rFonts w:ascii="Times New Roman" w:hAnsi="Times New Roman"/>
          <w:sz w:val="24"/>
          <w:szCs w:val="24"/>
          <w:lang w:val="en-US"/>
        </w:rPr>
        <w:t>provide support in the setting of</w:t>
      </w:r>
      <w:r w:rsidRPr="008D7635">
        <w:rPr>
          <w:rFonts w:ascii="Times New Roman" w:hAnsi="Times New Roman"/>
          <w:sz w:val="24"/>
          <w:szCs w:val="24"/>
          <w:lang w:val="en-US"/>
        </w:rPr>
        <w:t xml:space="preserve"> policy priorities. The present results and any possible future updates could be useful to determine where policies are producing good results or where they are insufficient. It can also provide a baseline for cross-region performance comparisons useful to identify best practice and successful policy models.</w:t>
      </w:r>
      <w:r w:rsidR="009642B1" w:rsidRPr="008D7635">
        <w:rPr>
          <w:rFonts w:ascii="Times New Roman" w:hAnsi="Times New Roman"/>
          <w:sz w:val="24"/>
          <w:szCs w:val="24"/>
          <w:lang w:val="en-US"/>
        </w:rPr>
        <w:t xml:space="preserve"> </w:t>
      </w:r>
    </w:p>
    <w:p w14:paraId="110505EC" w14:textId="77777777" w:rsidR="00C75AF1" w:rsidRPr="008D7635" w:rsidRDefault="00C75AF1" w:rsidP="00C75AF1">
      <w:pPr>
        <w:spacing w:line="360" w:lineRule="auto"/>
        <w:rPr>
          <w:rFonts w:ascii="Times New Roman" w:hAnsi="Times New Roman"/>
          <w:sz w:val="24"/>
          <w:szCs w:val="24"/>
          <w:lang w:val="en-US"/>
        </w:rPr>
      </w:pPr>
    </w:p>
    <w:p w14:paraId="08C0F76B" w14:textId="77777777" w:rsidR="00C75AF1" w:rsidRPr="008D7635" w:rsidRDefault="00C75AF1" w:rsidP="00C75AF1">
      <w:pPr>
        <w:spacing w:line="360" w:lineRule="auto"/>
        <w:rPr>
          <w:rFonts w:ascii="Times New Roman" w:hAnsi="Times New Roman"/>
          <w:sz w:val="24"/>
          <w:szCs w:val="24"/>
          <w:lang w:val="en-US"/>
        </w:rPr>
      </w:pPr>
      <w:r w:rsidRPr="008D7635">
        <w:rPr>
          <w:rFonts w:ascii="Times New Roman" w:hAnsi="Times New Roman"/>
          <w:b/>
          <w:sz w:val="24"/>
          <w:szCs w:val="24"/>
          <w:lang w:val="en-US"/>
        </w:rPr>
        <w:t>6. Conclusion</w:t>
      </w:r>
    </w:p>
    <w:p w14:paraId="6DE07EB0" w14:textId="77777777" w:rsidR="000E191C" w:rsidRPr="008D7635" w:rsidRDefault="00CC4A19" w:rsidP="000E191C">
      <w:pPr>
        <w:spacing w:line="360" w:lineRule="auto"/>
        <w:jc w:val="both"/>
        <w:rPr>
          <w:rFonts w:ascii="Times New Roman" w:hAnsi="Times New Roman"/>
          <w:sz w:val="24"/>
          <w:szCs w:val="24"/>
          <w:lang w:val="en-US"/>
        </w:rPr>
      </w:pPr>
      <w:r w:rsidRPr="008D7635">
        <w:rPr>
          <w:rFonts w:ascii="Times New Roman" w:hAnsi="Times New Roman"/>
          <w:sz w:val="24"/>
          <w:szCs w:val="24"/>
          <w:lang w:val="en-US"/>
        </w:rPr>
        <w:t>In the present paper a multidimensional approach has been used to provide a well-being description across EU regions.</w:t>
      </w:r>
      <w:r w:rsidR="000E191C" w:rsidRPr="008D7635">
        <w:rPr>
          <w:rFonts w:ascii="Times New Roman" w:hAnsi="Times New Roman"/>
          <w:sz w:val="24"/>
          <w:szCs w:val="24"/>
          <w:lang w:val="en-US"/>
        </w:rPr>
        <w:t xml:space="preserve"> The attention has been dedicated to regional scale in an attempt to identify communalities that</w:t>
      </w:r>
      <w:r w:rsidRPr="008D7635">
        <w:rPr>
          <w:rFonts w:ascii="Times New Roman" w:hAnsi="Times New Roman"/>
          <w:sz w:val="24"/>
          <w:szCs w:val="24"/>
          <w:lang w:val="en-US"/>
        </w:rPr>
        <w:t xml:space="preserve"> go beyond the national borders</w:t>
      </w:r>
      <w:r w:rsidR="00950B68" w:rsidRPr="008D7635">
        <w:rPr>
          <w:rFonts w:ascii="Times New Roman" w:hAnsi="Times New Roman"/>
          <w:sz w:val="24"/>
          <w:szCs w:val="24"/>
          <w:lang w:val="en-US"/>
        </w:rPr>
        <w:t xml:space="preserve"> and that adhere more to the local scale character of the perception of well-being</w:t>
      </w:r>
      <w:r w:rsidRPr="008D7635">
        <w:rPr>
          <w:rFonts w:ascii="Times New Roman" w:hAnsi="Times New Roman"/>
          <w:sz w:val="24"/>
          <w:szCs w:val="24"/>
          <w:lang w:val="en-US"/>
        </w:rPr>
        <w:t>. A set of socio-economic, environmental and health indicators have been selected from Eurostat. The year of analysis has been 2009, that is the most recent years for which the largest quantity of data is available. Starting from that, one of the first evidence produced by this paper is the necessity to collect</w:t>
      </w:r>
      <w:r w:rsidR="000E191C" w:rsidRPr="008D7635">
        <w:rPr>
          <w:rFonts w:ascii="Times New Roman" w:hAnsi="Times New Roman"/>
          <w:sz w:val="24"/>
          <w:szCs w:val="24"/>
          <w:lang w:val="en-US"/>
        </w:rPr>
        <w:t xml:space="preserve"> more </w:t>
      </w:r>
      <w:r w:rsidRPr="008D7635">
        <w:rPr>
          <w:rFonts w:ascii="Times New Roman" w:hAnsi="Times New Roman"/>
          <w:sz w:val="24"/>
          <w:szCs w:val="24"/>
          <w:lang w:val="en-US"/>
        </w:rPr>
        <w:t>data at regional level, e</w:t>
      </w:r>
      <w:r w:rsidR="000E191C" w:rsidRPr="008D7635">
        <w:rPr>
          <w:rFonts w:ascii="Times New Roman" w:hAnsi="Times New Roman"/>
          <w:sz w:val="24"/>
          <w:szCs w:val="24"/>
          <w:lang w:val="en-US"/>
        </w:rPr>
        <w:t xml:space="preserve">specially for the environmental dimension </w:t>
      </w:r>
      <w:r w:rsidRPr="008D7635">
        <w:rPr>
          <w:rFonts w:ascii="Times New Roman" w:hAnsi="Times New Roman"/>
          <w:sz w:val="24"/>
          <w:szCs w:val="24"/>
          <w:lang w:val="en-US"/>
        </w:rPr>
        <w:t xml:space="preserve">where </w:t>
      </w:r>
      <w:r w:rsidR="000E191C" w:rsidRPr="008D7635">
        <w:rPr>
          <w:rFonts w:ascii="Times New Roman" w:hAnsi="Times New Roman"/>
          <w:sz w:val="24"/>
          <w:szCs w:val="24"/>
          <w:lang w:val="en-US"/>
        </w:rPr>
        <w:t xml:space="preserve">a very limited number of indicators are </w:t>
      </w:r>
      <w:r w:rsidRPr="008D7635">
        <w:rPr>
          <w:rFonts w:ascii="Times New Roman" w:hAnsi="Times New Roman"/>
          <w:sz w:val="24"/>
          <w:szCs w:val="24"/>
          <w:lang w:val="en-US"/>
        </w:rPr>
        <w:t xml:space="preserve">presently </w:t>
      </w:r>
      <w:r w:rsidR="000E191C" w:rsidRPr="008D7635">
        <w:rPr>
          <w:rFonts w:ascii="Times New Roman" w:hAnsi="Times New Roman"/>
          <w:sz w:val="24"/>
          <w:szCs w:val="24"/>
          <w:lang w:val="en-US"/>
        </w:rPr>
        <w:t xml:space="preserve">available </w:t>
      </w:r>
      <w:r w:rsidRPr="008D7635">
        <w:rPr>
          <w:rFonts w:ascii="Times New Roman" w:hAnsi="Times New Roman"/>
          <w:sz w:val="24"/>
          <w:szCs w:val="24"/>
          <w:lang w:val="en-US"/>
        </w:rPr>
        <w:t>for the 266 NUTS 2 regions. In spite of this intrinsic deficiency</w:t>
      </w:r>
      <w:r w:rsidR="000E191C" w:rsidRPr="008D7635">
        <w:rPr>
          <w:rFonts w:ascii="Times New Roman" w:hAnsi="Times New Roman"/>
          <w:sz w:val="24"/>
          <w:szCs w:val="24"/>
          <w:lang w:val="en-US"/>
        </w:rPr>
        <w:t xml:space="preserve"> the </w:t>
      </w:r>
      <w:r w:rsidRPr="008D7635">
        <w:rPr>
          <w:rFonts w:ascii="Times New Roman" w:hAnsi="Times New Roman"/>
          <w:sz w:val="24"/>
          <w:szCs w:val="24"/>
          <w:lang w:val="en-US"/>
        </w:rPr>
        <w:t xml:space="preserve">methodological </w:t>
      </w:r>
      <w:r w:rsidR="000E191C" w:rsidRPr="008D7635">
        <w:rPr>
          <w:rFonts w:ascii="Times New Roman" w:hAnsi="Times New Roman"/>
          <w:sz w:val="24"/>
          <w:szCs w:val="24"/>
          <w:lang w:val="en-US"/>
        </w:rPr>
        <w:t>approach</w:t>
      </w:r>
      <w:r w:rsidRPr="008D7635">
        <w:rPr>
          <w:rFonts w:ascii="Times New Roman" w:hAnsi="Times New Roman"/>
          <w:sz w:val="24"/>
          <w:szCs w:val="24"/>
          <w:lang w:val="en-US"/>
        </w:rPr>
        <w:t xml:space="preserve"> proposed </w:t>
      </w:r>
      <w:r w:rsidR="000E191C" w:rsidRPr="008D7635">
        <w:rPr>
          <w:rFonts w:ascii="Times New Roman" w:hAnsi="Times New Roman"/>
          <w:sz w:val="24"/>
          <w:szCs w:val="24"/>
          <w:lang w:val="en-US"/>
        </w:rPr>
        <w:t xml:space="preserve">clearly put in evidence aspects that could become </w:t>
      </w:r>
      <w:r w:rsidR="00950B68" w:rsidRPr="008D7635">
        <w:rPr>
          <w:rFonts w:ascii="Times New Roman" w:hAnsi="Times New Roman"/>
          <w:sz w:val="24"/>
          <w:szCs w:val="24"/>
          <w:lang w:val="en-US"/>
        </w:rPr>
        <w:t xml:space="preserve">more and more </w:t>
      </w:r>
      <w:r w:rsidR="000E191C" w:rsidRPr="008D7635">
        <w:rPr>
          <w:rFonts w:ascii="Times New Roman" w:hAnsi="Times New Roman"/>
          <w:sz w:val="24"/>
          <w:szCs w:val="24"/>
          <w:lang w:val="en-US"/>
        </w:rPr>
        <w:t>meaningful when a larger collection</w:t>
      </w:r>
      <w:r w:rsidR="003D1FFE" w:rsidRPr="008D7635">
        <w:rPr>
          <w:rFonts w:ascii="Times New Roman" w:hAnsi="Times New Roman"/>
          <w:sz w:val="24"/>
          <w:szCs w:val="24"/>
          <w:lang w:val="en-US"/>
        </w:rPr>
        <w:t xml:space="preserve"> of indicators will be available</w:t>
      </w:r>
      <w:r w:rsidR="000E191C" w:rsidRPr="008D7635">
        <w:rPr>
          <w:rFonts w:ascii="Times New Roman" w:hAnsi="Times New Roman"/>
          <w:sz w:val="24"/>
          <w:szCs w:val="24"/>
          <w:lang w:val="en-US"/>
        </w:rPr>
        <w:t>.</w:t>
      </w:r>
      <w:r w:rsidR="00210CA7" w:rsidRPr="008D7635">
        <w:rPr>
          <w:rFonts w:ascii="Times New Roman" w:hAnsi="Times New Roman"/>
          <w:sz w:val="24"/>
          <w:szCs w:val="24"/>
          <w:lang w:val="en-US"/>
        </w:rPr>
        <w:t xml:space="preserve"> </w:t>
      </w:r>
      <w:r w:rsidR="000E191C" w:rsidRPr="008D7635">
        <w:rPr>
          <w:rFonts w:ascii="Times New Roman" w:hAnsi="Times New Roman"/>
          <w:sz w:val="24"/>
          <w:szCs w:val="24"/>
          <w:lang w:val="en-US"/>
        </w:rPr>
        <w:t xml:space="preserve">In </w:t>
      </w:r>
      <w:r w:rsidR="00210CA7" w:rsidRPr="008D7635">
        <w:rPr>
          <w:rFonts w:ascii="Times New Roman" w:hAnsi="Times New Roman"/>
          <w:sz w:val="24"/>
          <w:szCs w:val="24"/>
          <w:lang w:val="en-US"/>
        </w:rPr>
        <w:t xml:space="preserve">addition, by using a transparent and non-compensatory approach the present </w:t>
      </w:r>
      <w:r w:rsidR="00210CA7" w:rsidRPr="008D7635">
        <w:rPr>
          <w:rFonts w:ascii="Times New Roman" w:hAnsi="Times New Roman"/>
          <w:sz w:val="24"/>
          <w:szCs w:val="24"/>
          <w:lang w:val="en-US"/>
        </w:rPr>
        <w:lastRenderedPageBreak/>
        <w:t>paper clearly highlight</w:t>
      </w:r>
      <w:r w:rsidR="00950B68" w:rsidRPr="008D7635">
        <w:rPr>
          <w:rFonts w:ascii="Times New Roman" w:hAnsi="Times New Roman"/>
          <w:sz w:val="24"/>
          <w:szCs w:val="24"/>
          <w:lang w:val="en-US"/>
        </w:rPr>
        <w:t>s</w:t>
      </w:r>
      <w:r w:rsidR="00210CA7" w:rsidRPr="008D7635">
        <w:rPr>
          <w:rFonts w:ascii="Times New Roman" w:hAnsi="Times New Roman"/>
          <w:sz w:val="24"/>
          <w:szCs w:val="24"/>
          <w:lang w:val="en-US"/>
        </w:rPr>
        <w:t xml:space="preserve"> the main differences and similarities existing between EU areas and allows identifying the regions and dimensions for which improvements are needed. A part form the detailed results reported in the previous sections, some of the main findings shows that:</w:t>
      </w:r>
    </w:p>
    <w:p w14:paraId="58691654" w14:textId="77777777" w:rsidR="000E191C" w:rsidRPr="008D7635" w:rsidRDefault="000E191C" w:rsidP="003610EA">
      <w:pPr>
        <w:numPr>
          <w:ilvl w:val="0"/>
          <w:numId w:val="8"/>
        </w:numPr>
        <w:spacing w:after="0" w:line="360" w:lineRule="auto"/>
        <w:jc w:val="both"/>
        <w:rPr>
          <w:rFonts w:ascii="Times New Roman" w:hAnsi="Times New Roman"/>
          <w:sz w:val="24"/>
          <w:szCs w:val="24"/>
          <w:lang w:val="en-US"/>
        </w:rPr>
      </w:pPr>
      <w:r w:rsidRPr="008D7635">
        <w:rPr>
          <w:rFonts w:ascii="Times New Roman" w:hAnsi="Times New Roman"/>
          <w:sz w:val="24"/>
          <w:szCs w:val="24"/>
          <w:lang w:val="en-US"/>
        </w:rPr>
        <w:t xml:space="preserve">Eastern European regions have the largest numbers of indicators below the European average. </w:t>
      </w:r>
    </w:p>
    <w:p w14:paraId="528A8009" w14:textId="77777777" w:rsidR="000E191C" w:rsidRPr="008D7635" w:rsidRDefault="000E191C" w:rsidP="003610EA">
      <w:pPr>
        <w:numPr>
          <w:ilvl w:val="0"/>
          <w:numId w:val="8"/>
        </w:numPr>
        <w:spacing w:after="0"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All western European </w:t>
      </w:r>
      <w:r w:rsidR="003E7C16" w:rsidRPr="008D7635">
        <w:rPr>
          <w:rFonts w:ascii="Times New Roman" w:eastAsia="Times New Roman" w:hAnsi="Times New Roman"/>
          <w:sz w:val="24"/>
          <w:szCs w:val="24"/>
          <w:lang w:eastAsia="en-GB"/>
        </w:rPr>
        <w:t>countries</w:t>
      </w:r>
      <w:r w:rsidRPr="008D7635">
        <w:rPr>
          <w:rFonts w:ascii="Times New Roman" w:eastAsia="Times New Roman" w:hAnsi="Times New Roman"/>
          <w:sz w:val="24"/>
          <w:szCs w:val="24"/>
          <w:lang w:eastAsia="en-GB"/>
        </w:rPr>
        <w:t xml:space="preserve"> show singularities with 2 to 3 regions ranking low in the scale.</w:t>
      </w:r>
    </w:p>
    <w:p w14:paraId="265ECC36" w14:textId="77777777" w:rsidR="000E191C" w:rsidRPr="008D7635" w:rsidRDefault="000E191C" w:rsidP="003610EA">
      <w:pPr>
        <w:numPr>
          <w:ilvl w:val="0"/>
          <w:numId w:val="8"/>
        </w:numPr>
        <w:spacing w:after="0"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Scandinavian regions are all above the EU average</w:t>
      </w:r>
    </w:p>
    <w:p w14:paraId="1DCCFF86" w14:textId="757941E4" w:rsidR="000E191C" w:rsidRPr="008D7635" w:rsidRDefault="000E191C" w:rsidP="003610EA">
      <w:pPr>
        <w:numPr>
          <w:ilvl w:val="0"/>
          <w:numId w:val="8"/>
        </w:numPr>
        <w:spacing w:after="0"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Regions hosting the capital cities have the largest number of well-being indicators performing both above the EU average and above the other regions considered </w:t>
      </w:r>
    </w:p>
    <w:p w14:paraId="5C736B3B" w14:textId="77777777" w:rsidR="000E191C" w:rsidRPr="008D7635" w:rsidRDefault="000E191C" w:rsidP="003610EA">
      <w:pPr>
        <w:numPr>
          <w:ilvl w:val="0"/>
          <w:numId w:val="8"/>
        </w:numPr>
        <w:spacing w:after="0"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The Mediterranean regions, together with central England and eastern France performing a bit below the EU average</w:t>
      </w:r>
    </w:p>
    <w:p w14:paraId="52E58F13" w14:textId="77777777" w:rsidR="000E191C" w:rsidRPr="008D7635" w:rsidRDefault="000E191C" w:rsidP="003610EA">
      <w:pPr>
        <w:numPr>
          <w:ilvl w:val="0"/>
          <w:numId w:val="8"/>
        </w:numPr>
        <w:spacing w:after="0"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The central European regions, together with Ireland and Cyprus performing a bit over the EU average</w:t>
      </w:r>
    </w:p>
    <w:p w14:paraId="4BAEA12C" w14:textId="77777777" w:rsidR="001D2D85" w:rsidRPr="008D7635" w:rsidRDefault="000E191C" w:rsidP="00E24300">
      <w:pPr>
        <w:numPr>
          <w:ilvl w:val="0"/>
          <w:numId w:val="8"/>
        </w:numPr>
        <w:spacing w:line="360" w:lineRule="auto"/>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The across border concept which was one of the research questions put up for exploration was confirmed by the presence of across national bands of regions sharing the same number of indicators above and below the average. </w:t>
      </w:r>
    </w:p>
    <w:p w14:paraId="5488FCC2" w14:textId="34B0E8AC" w:rsidR="00C75AF1" w:rsidRPr="008D7635" w:rsidRDefault="003610EA" w:rsidP="00E24300">
      <w:pPr>
        <w:spacing w:line="360" w:lineRule="auto"/>
        <w:jc w:val="both"/>
        <w:rPr>
          <w:rFonts w:ascii="Times New Roman" w:eastAsia="Times New Roman" w:hAnsi="Times New Roman"/>
          <w:b/>
          <w:sz w:val="24"/>
          <w:szCs w:val="24"/>
          <w:lang w:eastAsia="en-GB"/>
        </w:rPr>
      </w:pPr>
      <w:r w:rsidRPr="008D7635">
        <w:rPr>
          <w:rFonts w:ascii="Times New Roman" w:eastAsia="Times New Roman" w:hAnsi="Times New Roman"/>
          <w:sz w:val="24"/>
          <w:szCs w:val="24"/>
          <w:lang w:eastAsia="en-GB"/>
        </w:rPr>
        <w:t>The results and the methodological approach proposed in this paper can be useful in a context of policy support. By providing an overview of the present well-being situation and by highlighting the main gap between EU regions, a set of policy initiatives could be designed to promote convergences across EU areas. In particular, in the context of the EU 2020 strategy, where well-being promotion is considered as a priority, the main findings of this paper can be useful to scan the</w:t>
      </w:r>
      <w:r w:rsidR="001D2D85" w:rsidRPr="008D7635">
        <w:rPr>
          <w:rFonts w:ascii="Times New Roman" w:eastAsia="Times New Roman" w:hAnsi="Times New Roman"/>
          <w:sz w:val="24"/>
          <w:szCs w:val="24"/>
          <w:lang w:eastAsia="en-GB"/>
        </w:rPr>
        <w:t xml:space="preserve"> present</w:t>
      </w:r>
      <w:r w:rsidRPr="008D7635">
        <w:rPr>
          <w:rFonts w:ascii="Times New Roman" w:eastAsia="Times New Roman" w:hAnsi="Times New Roman"/>
          <w:sz w:val="24"/>
          <w:szCs w:val="24"/>
          <w:lang w:eastAsia="en-GB"/>
        </w:rPr>
        <w:t xml:space="preserve"> situation and to design policies able to effectively address and reduce the ma</w:t>
      </w:r>
      <w:r w:rsidR="001D2D85" w:rsidRPr="008D7635">
        <w:rPr>
          <w:rFonts w:ascii="Times New Roman" w:eastAsia="Times New Roman" w:hAnsi="Times New Roman"/>
          <w:sz w:val="24"/>
          <w:szCs w:val="24"/>
          <w:lang w:eastAsia="en-GB"/>
        </w:rPr>
        <w:t>in disparities across EU</w:t>
      </w:r>
      <w:r w:rsidRPr="008D7635">
        <w:rPr>
          <w:rFonts w:ascii="Times New Roman" w:eastAsia="Times New Roman" w:hAnsi="Times New Roman"/>
          <w:sz w:val="24"/>
          <w:szCs w:val="24"/>
          <w:lang w:eastAsia="en-GB"/>
        </w:rPr>
        <w:t>.</w:t>
      </w:r>
      <w:r w:rsidR="00465271" w:rsidRPr="008D7635">
        <w:rPr>
          <w:rFonts w:ascii="Times New Roman" w:eastAsia="Times New Roman" w:hAnsi="Times New Roman"/>
          <w:sz w:val="24"/>
          <w:szCs w:val="24"/>
          <w:lang w:eastAsia="en-GB"/>
        </w:rPr>
        <w:t xml:space="preserve"> The methodology presented in this paper</w:t>
      </w:r>
      <w:r w:rsidR="00E13B15" w:rsidRPr="008D7635">
        <w:rPr>
          <w:rFonts w:ascii="Times New Roman" w:eastAsia="Times New Roman" w:hAnsi="Times New Roman"/>
          <w:sz w:val="24"/>
          <w:szCs w:val="24"/>
          <w:lang w:eastAsia="en-GB"/>
        </w:rPr>
        <w:t xml:space="preserve"> can be used to monitor situation or to alert on hot spots thus triggering a closer investigations on the reasons for </w:t>
      </w:r>
      <w:r w:rsidR="00A11B42" w:rsidRPr="008D7635">
        <w:rPr>
          <w:rFonts w:ascii="Times New Roman" w:eastAsia="Times New Roman" w:hAnsi="Times New Roman"/>
          <w:sz w:val="24"/>
          <w:szCs w:val="24"/>
          <w:lang w:eastAsia="en-GB"/>
        </w:rPr>
        <w:t xml:space="preserve">trends and </w:t>
      </w:r>
      <w:r w:rsidR="00E13B15" w:rsidRPr="008D7635">
        <w:rPr>
          <w:rFonts w:ascii="Times New Roman" w:eastAsia="Times New Roman" w:hAnsi="Times New Roman"/>
          <w:sz w:val="24"/>
          <w:szCs w:val="24"/>
          <w:lang w:eastAsia="en-GB"/>
        </w:rPr>
        <w:t xml:space="preserve">anomaly. </w:t>
      </w:r>
      <w:r w:rsidR="00950B68" w:rsidRPr="008D7635">
        <w:rPr>
          <w:rFonts w:ascii="Times New Roman" w:eastAsia="Times New Roman" w:hAnsi="Times New Roman"/>
          <w:sz w:val="24"/>
          <w:szCs w:val="24"/>
          <w:lang w:eastAsia="en-GB"/>
        </w:rPr>
        <w:t xml:space="preserve">The procedure presented </w:t>
      </w:r>
      <w:r w:rsidR="00E13B15" w:rsidRPr="008D7635">
        <w:rPr>
          <w:rFonts w:ascii="Times New Roman" w:eastAsia="Times New Roman" w:hAnsi="Times New Roman"/>
          <w:sz w:val="24"/>
          <w:szCs w:val="24"/>
          <w:lang w:eastAsia="en-GB"/>
        </w:rPr>
        <w:t>could be an initial trigger</w:t>
      </w:r>
      <w:r w:rsidR="00950B68" w:rsidRPr="008D7635">
        <w:rPr>
          <w:rFonts w:ascii="Times New Roman" w:eastAsia="Times New Roman" w:hAnsi="Times New Roman"/>
          <w:sz w:val="24"/>
          <w:szCs w:val="24"/>
          <w:lang w:eastAsia="en-GB"/>
        </w:rPr>
        <w:t xml:space="preserve"> to start </w:t>
      </w:r>
      <w:r w:rsidR="00E06EA8" w:rsidRPr="008D7635">
        <w:rPr>
          <w:rFonts w:ascii="Times New Roman" w:eastAsia="Times New Roman" w:hAnsi="Times New Roman"/>
          <w:sz w:val="24"/>
          <w:szCs w:val="24"/>
          <w:lang w:eastAsia="en-GB"/>
        </w:rPr>
        <w:t xml:space="preserve">analysis </w:t>
      </w:r>
      <w:r w:rsidR="00950B68" w:rsidRPr="008D7635">
        <w:rPr>
          <w:rFonts w:ascii="Times New Roman" w:eastAsia="Times New Roman" w:hAnsi="Times New Roman"/>
          <w:sz w:val="24"/>
          <w:szCs w:val="24"/>
          <w:lang w:eastAsia="en-GB"/>
        </w:rPr>
        <w:t>on the actual reasons that produce comparable levels of well</w:t>
      </w:r>
      <w:r w:rsidR="00E06EA8" w:rsidRPr="008D7635">
        <w:rPr>
          <w:rFonts w:ascii="Times New Roman" w:eastAsia="Times New Roman" w:hAnsi="Times New Roman"/>
          <w:sz w:val="24"/>
          <w:szCs w:val="24"/>
          <w:lang w:eastAsia="en-GB"/>
        </w:rPr>
        <w:t>-</w:t>
      </w:r>
      <w:r w:rsidR="00950B68" w:rsidRPr="008D7635">
        <w:rPr>
          <w:rFonts w:ascii="Times New Roman" w:eastAsia="Times New Roman" w:hAnsi="Times New Roman"/>
          <w:sz w:val="24"/>
          <w:szCs w:val="24"/>
          <w:lang w:eastAsia="en-GB"/>
        </w:rPr>
        <w:t xml:space="preserve">being across national borders in some areas of </w:t>
      </w:r>
      <w:r w:rsidR="00E13B15" w:rsidRPr="008D7635">
        <w:rPr>
          <w:rFonts w:ascii="Times New Roman" w:eastAsia="Times New Roman" w:hAnsi="Times New Roman"/>
          <w:sz w:val="24"/>
          <w:szCs w:val="24"/>
          <w:lang w:eastAsia="en-GB"/>
        </w:rPr>
        <w:t>EU that</w:t>
      </w:r>
      <w:r w:rsidR="00950B68" w:rsidRPr="008D7635">
        <w:rPr>
          <w:rFonts w:ascii="Times New Roman" w:eastAsia="Times New Roman" w:hAnsi="Times New Roman"/>
          <w:sz w:val="24"/>
          <w:szCs w:val="24"/>
          <w:lang w:eastAsia="en-GB"/>
        </w:rPr>
        <w:t xml:space="preserve"> could lead to the determination of exportable models to other regions. It could be used also to monitor over the years the progress in creating more areas </w:t>
      </w:r>
      <w:r w:rsidR="00E13B15" w:rsidRPr="008D7635">
        <w:rPr>
          <w:rFonts w:ascii="Times New Roman" w:eastAsia="Times New Roman" w:hAnsi="Times New Roman"/>
          <w:sz w:val="24"/>
          <w:szCs w:val="24"/>
          <w:lang w:eastAsia="en-GB"/>
        </w:rPr>
        <w:t>with</w:t>
      </w:r>
      <w:r w:rsidR="00950B68" w:rsidRPr="008D7635">
        <w:rPr>
          <w:rFonts w:ascii="Times New Roman" w:eastAsia="Times New Roman" w:hAnsi="Times New Roman"/>
          <w:sz w:val="24"/>
          <w:szCs w:val="24"/>
          <w:lang w:eastAsia="en-GB"/>
        </w:rPr>
        <w:t xml:space="preserve"> high level of well-being and extending those where it already exists.</w:t>
      </w:r>
      <w:r w:rsidR="00E13B15" w:rsidRPr="008D7635">
        <w:rPr>
          <w:rFonts w:ascii="Times New Roman" w:eastAsia="Times New Roman" w:hAnsi="Times New Roman"/>
          <w:sz w:val="24"/>
          <w:szCs w:val="24"/>
          <w:lang w:eastAsia="en-GB"/>
        </w:rPr>
        <w:t xml:space="preserve"> </w:t>
      </w:r>
      <w:r w:rsidR="00950B68" w:rsidRPr="008D7635">
        <w:rPr>
          <w:rFonts w:ascii="Times New Roman" w:eastAsia="Times New Roman" w:hAnsi="Times New Roman"/>
          <w:sz w:val="24"/>
          <w:szCs w:val="24"/>
          <w:lang w:eastAsia="en-GB"/>
        </w:rPr>
        <w:t>A primary example of that are the metropolitan areas where sharp gradients of well being exist</w:t>
      </w:r>
      <w:r w:rsidR="00E13B15" w:rsidRPr="008D7635">
        <w:rPr>
          <w:rFonts w:ascii="Times New Roman" w:eastAsia="Times New Roman" w:hAnsi="Times New Roman"/>
          <w:sz w:val="24"/>
          <w:szCs w:val="24"/>
          <w:lang w:eastAsia="en-GB"/>
        </w:rPr>
        <w:t xml:space="preserve"> with </w:t>
      </w:r>
      <w:r w:rsidR="00E13B15" w:rsidRPr="008D7635">
        <w:rPr>
          <w:rFonts w:ascii="Times New Roman" w:eastAsia="Times New Roman" w:hAnsi="Times New Roman"/>
          <w:sz w:val="24"/>
          <w:szCs w:val="24"/>
          <w:lang w:eastAsia="en-GB"/>
        </w:rPr>
        <w:lastRenderedPageBreak/>
        <w:t>neighbouring regions</w:t>
      </w:r>
      <w:r w:rsidR="00950B68" w:rsidRPr="008D7635">
        <w:rPr>
          <w:rFonts w:ascii="Times New Roman" w:eastAsia="Times New Roman" w:hAnsi="Times New Roman"/>
          <w:sz w:val="24"/>
          <w:szCs w:val="24"/>
          <w:lang w:eastAsia="en-GB"/>
        </w:rPr>
        <w:t xml:space="preserve">. It remains to be determined whether this is connected to the independent administrative management </w:t>
      </w:r>
      <w:r w:rsidR="00E13B15" w:rsidRPr="008D7635">
        <w:rPr>
          <w:rFonts w:ascii="Times New Roman" w:eastAsia="Times New Roman" w:hAnsi="Times New Roman"/>
          <w:sz w:val="24"/>
          <w:szCs w:val="24"/>
          <w:lang w:eastAsia="en-GB"/>
        </w:rPr>
        <w:t>of the information in the relatively smaller areas occupied by a metropolitan area</w:t>
      </w:r>
      <w:r w:rsidR="00DF36AC" w:rsidRPr="008D7635">
        <w:rPr>
          <w:rFonts w:ascii="Times New Roman" w:eastAsia="Times New Roman" w:hAnsi="Times New Roman"/>
          <w:sz w:val="24"/>
          <w:szCs w:val="24"/>
          <w:lang w:eastAsia="en-GB"/>
        </w:rPr>
        <w:t xml:space="preserve">. Different would be the case, as proven by many evidences, that outskirts regions of metropolitan areas are normally neglected areas by services, </w:t>
      </w:r>
      <w:r w:rsidR="00E13B15" w:rsidRPr="008D7635">
        <w:rPr>
          <w:rFonts w:ascii="Times New Roman" w:eastAsia="Times New Roman" w:hAnsi="Times New Roman"/>
          <w:sz w:val="24"/>
          <w:szCs w:val="24"/>
          <w:lang w:eastAsia="en-GB"/>
        </w:rPr>
        <w:t xml:space="preserve">occupied by </w:t>
      </w:r>
      <w:r w:rsidR="00DF36AC" w:rsidRPr="008D7635">
        <w:rPr>
          <w:rFonts w:ascii="Times New Roman" w:eastAsia="Times New Roman" w:hAnsi="Times New Roman"/>
          <w:sz w:val="24"/>
          <w:szCs w:val="24"/>
          <w:lang w:eastAsia="en-GB"/>
        </w:rPr>
        <w:t>sleeping neighbourhoods affected by high levels of unemployment and social degradation.</w:t>
      </w:r>
      <w:r w:rsidR="009019C4" w:rsidRPr="008D7635">
        <w:rPr>
          <w:rFonts w:ascii="Times New Roman" w:eastAsia="Times New Roman" w:hAnsi="Times New Roman"/>
          <w:sz w:val="24"/>
          <w:szCs w:val="24"/>
          <w:lang w:eastAsia="en-GB"/>
        </w:rPr>
        <w:t xml:space="preserve">  In addition, the different economic development trends and political background that characterized the western and the eastern European areas could be a possible explanation of the regional differences existing between new and old EU MS. Further analyses are needed to better investigate these hypotheses and a larger set of indicators would be helpful on that. However, in spite of the limitations related to data availability, the model presented in this paper and any further applications can be useful to support policy and to design effective well-being development strategies. </w:t>
      </w:r>
      <w:r w:rsidR="00C75AF1" w:rsidRPr="008D7635">
        <w:rPr>
          <w:rFonts w:ascii="Times New Roman" w:eastAsia="Times New Roman" w:hAnsi="Times New Roman"/>
          <w:b/>
          <w:sz w:val="24"/>
          <w:szCs w:val="24"/>
          <w:lang w:eastAsia="en-GB"/>
        </w:rPr>
        <w:br w:type="page"/>
      </w:r>
    </w:p>
    <w:p w14:paraId="26558E1F" w14:textId="77777777" w:rsidR="00B314A6" w:rsidRPr="008D7635" w:rsidRDefault="00CE68CC" w:rsidP="00F24928">
      <w:pPr>
        <w:spacing w:line="360" w:lineRule="auto"/>
        <w:jc w:val="both"/>
        <w:rPr>
          <w:rFonts w:ascii="Times New Roman" w:eastAsia="Times New Roman" w:hAnsi="Times New Roman"/>
          <w:b/>
          <w:sz w:val="24"/>
          <w:szCs w:val="24"/>
          <w:lang w:eastAsia="en-GB"/>
        </w:rPr>
      </w:pPr>
      <w:r w:rsidRPr="008D7635">
        <w:rPr>
          <w:rFonts w:ascii="Times New Roman" w:eastAsia="Times New Roman" w:hAnsi="Times New Roman"/>
          <w:b/>
          <w:sz w:val="24"/>
          <w:szCs w:val="24"/>
          <w:lang w:eastAsia="en-GB"/>
        </w:rPr>
        <w:lastRenderedPageBreak/>
        <w:t>References</w:t>
      </w:r>
    </w:p>
    <w:p w14:paraId="3B3A12EE" w14:textId="77777777" w:rsidR="00B314A6" w:rsidRPr="008D7635" w:rsidRDefault="00525225" w:rsidP="00CB3533">
      <w:pPr>
        <w:spacing w:after="0" w:line="240" w:lineRule="auto"/>
        <w:ind w:left="720" w:hanging="720"/>
        <w:jc w:val="both"/>
        <w:rPr>
          <w:rFonts w:ascii="Times New Roman" w:eastAsia="Times New Roman" w:hAnsi="Times New Roman"/>
          <w:sz w:val="24"/>
          <w:szCs w:val="24"/>
          <w:lang w:eastAsia="en-GB"/>
        </w:rPr>
      </w:pPr>
      <w:proofErr w:type="spellStart"/>
      <w:proofErr w:type="gramStart"/>
      <w:r w:rsidRPr="008D7635">
        <w:rPr>
          <w:rFonts w:ascii="Times New Roman" w:eastAsia="Times New Roman" w:hAnsi="Times New Roman"/>
          <w:sz w:val="24"/>
          <w:szCs w:val="24"/>
          <w:lang w:eastAsia="en-GB"/>
        </w:rPr>
        <w:t>Andreoni</w:t>
      </w:r>
      <w:proofErr w:type="spellEnd"/>
      <w:r w:rsidRPr="008D7635">
        <w:rPr>
          <w:rFonts w:ascii="Times New Roman" w:eastAsia="Times New Roman" w:hAnsi="Times New Roman"/>
          <w:sz w:val="24"/>
          <w:szCs w:val="24"/>
          <w:lang w:eastAsia="en-GB"/>
        </w:rPr>
        <w:t>, V., Galmarini, S.</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2014</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i/>
          <w:sz w:val="24"/>
          <w:szCs w:val="24"/>
          <w:lang w:eastAsia="en-GB"/>
        </w:rPr>
        <w:t xml:space="preserve">Mapping </w:t>
      </w:r>
      <w:r w:rsidR="00443D3D" w:rsidRPr="008D7635">
        <w:rPr>
          <w:rFonts w:ascii="Times New Roman" w:eastAsia="Times New Roman" w:hAnsi="Times New Roman"/>
          <w:i/>
          <w:sz w:val="24"/>
          <w:szCs w:val="24"/>
          <w:lang w:eastAsia="en-GB"/>
        </w:rPr>
        <w:t>the beyond-national-border distribution of well-being: a multidimensional study with socio-economic, health and environmental indicators</w:t>
      </w:r>
      <w:r w:rsidR="00B314A6" w:rsidRPr="008D7635">
        <w:rPr>
          <w:rFonts w:ascii="Times New Roman" w:eastAsia="Times New Roman" w:hAnsi="Times New Roman"/>
          <w:i/>
          <w:sz w:val="24"/>
          <w:szCs w:val="24"/>
          <w:lang w:eastAsia="en-GB"/>
        </w:rPr>
        <w:t>.</w:t>
      </w:r>
      <w:proofErr w:type="gramEnd"/>
      <w:r w:rsidR="00B314A6" w:rsidRPr="008D7635">
        <w:rPr>
          <w:rFonts w:ascii="Times New Roman" w:eastAsia="Times New Roman" w:hAnsi="Times New Roman"/>
          <w:sz w:val="24"/>
          <w:szCs w:val="24"/>
          <w:lang w:eastAsia="en-GB"/>
        </w:rPr>
        <w:t xml:space="preserve"> Technical and Scientific Report, Institute for Environment and Sustainability – Joint Research </w:t>
      </w:r>
      <w:proofErr w:type="spellStart"/>
      <w:r w:rsidR="00B314A6" w:rsidRPr="008D7635">
        <w:rPr>
          <w:rFonts w:ascii="Times New Roman" w:eastAsia="Times New Roman" w:hAnsi="Times New Roman"/>
          <w:sz w:val="24"/>
          <w:szCs w:val="24"/>
          <w:lang w:eastAsia="en-GB"/>
        </w:rPr>
        <w:t>Center</w:t>
      </w:r>
      <w:proofErr w:type="spellEnd"/>
      <w:r w:rsidR="00B314A6" w:rsidRPr="008D7635">
        <w:rPr>
          <w:rFonts w:ascii="Times New Roman" w:eastAsia="Times New Roman" w:hAnsi="Times New Roman"/>
          <w:sz w:val="24"/>
          <w:szCs w:val="24"/>
          <w:lang w:eastAsia="en-GB"/>
        </w:rPr>
        <w:t>. European Commission (in press)</w:t>
      </w:r>
    </w:p>
    <w:p w14:paraId="3DF4FBDE" w14:textId="77777777" w:rsidR="00987BFB" w:rsidRPr="008D7635" w:rsidRDefault="00987BFB" w:rsidP="00CB3533">
      <w:pPr>
        <w:spacing w:after="0" w:line="240" w:lineRule="auto"/>
        <w:ind w:left="720" w:hanging="720"/>
        <w:jc w:val="both"/>
        <w:rPr>
          <w:rFonts w:ascii="Times New Roman" w:eastAsia="Times New Roman" w:hAnsi="Times New Roman"/>
          <w:sz w:val="24"/>
          <w:szCs w:val="24"/>
          <w:lang w:eastAsia="en-GB"/>
        </w:rPr>
      </w:pPr>
      <w:proofErr w:type="spellStart"/>
      <w:proofErr w:type="gramStart"/>
      <w:r w:rsidRPr="008D7635">
        <w:rPr>
          <w:rFonts w:ascii="Times New Roman" w:eastAsia="Times New Roman" w:hAnsi="Times New Roman"/>
          <w:sz w:val="24"/>
          <w:szCs w:val="24"/>
          <w:lang w:val="en-US" w:eastAsia="en-GB"/>
        </w:rPr>
        <w:t>Andreoni</w:t>
      </w:r>
      <w:proofErr w:type="spellEnd"/>
      <w:r w:rsidRPr="008D7635">
        <w:rPr>
          <w:rFonts w:ascii="Times New Roman" w:eastAsia="Times New Roman" w:hAnsi="Times New Roman"/>
          <w:sz w:val="24"/>
          <w:szCs w:val="24"/>
          <w:lang w:val="en-US" w:eastAsia="en-GB"/>
        </w:rPr>
        <w:t>, V., Galmarini, S., (2014a).</w:t>
      </w:r>
      <w:proofErr w:type="gramEnd"/>
      <w:r w:rsidRPr="008D7635">
        <w:rPr>
          <w:rFonts w:ascii="Times New Roman" w:eastAsia="Times New Roman" w:hAnsi="Times New Roman"/>
          <w:sz w:val="24"/>
          <w:szCs w:val="24"/>
          <w:lang w:val="en-US" w:eastAsia="en-GB"/>
        </w:rPr>
        <w:t xml:space="preserve"> </w:t>
      </w:r>
      <w:proofErr w:type="gramStart"/>
      <w:r w:rsidR="00E162E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How to increase well-being in a context of </w:t>
      </w:r>
      <w:proofErr w:type="spellStart"/>
      <w:r w:rsidRPr="008D7635">
        <w:rPr>
          <w:rFonts w:ascii="Times New Roman" w:eastAsia="Times New Roman" w:hAnsi="Times New Roman"/>
          <w:sz w:val="24"/>
          <w:szCs w:val="24"/>
          <w:lang w:eastAsia="en-GB"/>
        </w:rPr>
        <w:t>Degrowth</w:t>
      </w:r>
      <w:proofErr w:type="spellEnd"/>
      <w:r w:rsidR="00E162E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w:t>
      </w:r>
      <w:proofErr w:type="gramEnd"/>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Future</w:t>
      </w:r>
      <w:r w:rsidR="00FC5C13" w:rsidRPr="008D7635">
        <w:rPr>
          <w:rFonts w:ascii="Times New Roman" w:eastAsia="Times New Roman" w:hAnsi="Times New Roman"/>
          <w:sz w:val="24"/>
          <w:szCs w:val="24"/>
          <w:lang w:eastAsia="en-GB"/>
        </w:rPr>
        <w:t xml:space="preserve"> 55, 78-89</w:t>
      </w:r>
    </w:p>
    <w:p w14:paraId="7A6F5175" w14:textId="77777777" w:rsidR="00B314A6" w:rsidRPr="008D7635" w:rsidRDefault="00525225" w:rsidP="00CB3533">
      <w:pPr>
        <w:spacing w:after="0" w:line="240" w:lineRule="auto"/>
        <w:ind w:left="720" w:hanging="709"/>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Andrews, F. M., </w:t>
      </w:r>
      <w:proofErr w:type="spellStart"/>
      <w:r w:rsidRPr="008D7635">
        <w:rPr>
          <w:rFonts w:ascii="Times New Roman" w:eastAsia="Times New Roman" w:hAnsi="Times New Roman"/>
          <w:sz w:val="24"/>
          <w:szCs w:val="24"/>
          <w:lang w:eastAsia="en-GB"/>
        </w:rPr>
        <w:t>Withey</w:t>
      </w:r>
      <w:proofErr w:type="spellEnd"/>
      <w:r w:rsidRPr="008D7635">
        <w:rPr>
          <w:rFonts w:ascii="Times New Roman" w:eastAsia="Times New Roman" w:hAnsi="Times New Roman"/>
          <w:sz w:val="24"/>
          <w:szCs w:val="24"/>
          <w:lang w:eastAsia="en-GB"/>
        </w:rPr>
        <w:t>, S. B.</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1976</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iCs/>
          <w:sz w:val="24"/>
          <w:szCs w:val="24"/>
          <w:lang w:eastAsia="en-GB"/>
        </w:rPr>
        <w:t>Social indicators of well-being: Americans’ perceptions of life quality</w:t>
      </w:r>
      <w:r w:rsidR="00B314A6" w:rsidRPr="008D7635">
        <w:rPr>
          <w:rFonts w:ascii="Times New Roman" w:eastAsia="Times New Roman" w:hAnsi="Times New Roman"/>
          <w:sz w:val="24"/>
          <w:szCs w:val="24"/>
          <w:lang w:eastAsia="en-GB"/>
        </w:rPr>
        <w:t>. New York: Plenum Press.</w:t>
      </w:r>
    </w:p>
    <w:p w14:paraId="1B94DF3B" w14:textId="77777777" w:rsidR="007172C2" w:rsidRPr="008D7635" w:rsidRDefault="00B314A6" w:rsidP="00CB3533">
      <w:pPr>
        <w:spacing w:after="0" w:line="240" w:lineRule="auto"/>
        <w:ind w:left="720" w:hanging="720"/>
        <w:jc w:val="both"/>
        <w:rPr>
          <w:rFonts w:ascii="Times New Roman" w:eastAsia="Times New Roman" w:hAnsi="Times New Roman"/>
          <w:sz w:val="24"/>
          <w:szCs w:val="24"/>
          <w:lang w:val="en" w:eastAsia="en-GB"/>
        </w:rPr>
      </w:pPr>
      <w:r w:rsidRPr="008D7635">
        <w:rPr>
          <w:rFonts w:ascii="Times New Roman" w:eastAsia="Times New Roman" w:hAnsi="Times New Roman"/>
          <w:sz w:val="24"/>
          <w:szCs w:val="24"/>
          <w:lang w:val="en" w:eastAsia="en-GB"/>
        </w:rPr>
        <w:t xml:space="preserve">Aristotle. </w:t>
      </w:r>
      <w:r w:rsidRPr="008D7635">
        <w:rPr>
          <w:rFonts w:ascii="Times New Roman" w:eastAsia="Times New Roman" w:hAnsi="Times New Roman"/>
          <w:i/>
          <w:iCs/>
          <w:sz w:val="24"/>
          <w:szCs w:val="24"/>
          <w:lang w:val="en" w:eastAsia="en-GB"/>
        </w:rPr>
        <w:t>The Nichomachean Ethics</w:t>
      </w:r>
      <w:r w:rsidR="00525225" w:rsidRPr="008D7635">
        <w:rPr>
          <w:rFonts w:ascii="Times New Roman" w:eastAsia="Times New Roman" w:hAnsi="Times New Roman"/>
          <w:sz w:val="24"/>
          <w:szCs w:val="24"/>
          <w:lang w:val="en" w:eastAsia="en-GB"/>
        </w:rPr>
        <w:t>, translated by Oswald, M.</w:t>
      </w:r>
      <w:r w:rsidRPr="008D7635">
        <w:rPr>
          <w:rFonts w:ascii="Times New Roman" w:eastAsia="Times New Roman" w:hAnsi="Times New Roman"/>
          <w:sz w:val="24"/>
          <w:szCs w:val="24"/>
          <w:lang w:val="en" w:eastAsia="en-GB"/>
        </w:rPr>
        <w:t xml:space="preserve"> </w:t>
      </w:r>
      <w:r w:rsidR="00525225" w:rsidRPr="008D7635">
        <w:rPr>
          <w:rFonts w:ascii="Times New Roman" w:eastAsia="Times New Roman" w:hAnsi="Times New Roman"/>
          <w:sz w:val="24"/>
          <w:szCs w:val="24"/>
          <w:lang w:val="en" w:eastAsia="en-GB"/>
        </w:rPr>
        <w:t>(</w:t>
      </w:r>
      <w:r w:rsidRPr="008D7635">
        <w:rPr>
          <w:rFonts w:ascii="Times New Roman" w:eastAsia="Times New Roman" w:hAnsi="Times New Roman"/>
          <w:sz w:val="24"/>
          <w:szCs w:val="24"/>
          <w:lang w:val="en" w:eastAsia="en-GB"/>
        </w:rPr>
        <w:t>1962</w:t>
      </w:r>
      <w:r w:rsidR="00525225" w:rsidRPr="008D7635">
        <w:rPr>
          <w:rFonts w:ascii="Times New Roman" w:eastAsia="Times New Roman" w:hAnsi="Times New Roman"/>
          <w:sz w:val="24"/>
          <w:szCs w:val="24"/>
          <w:lang w:val="en" w:eastAsia="en-GB"/>
        </w:rPr>
        <w:t>)</w:t>
      </w:r>
      <w:r w:rsidRPr="008D7635">
        <w:rPr>
          <w:rFonts w:ascii="Times New Roman" w:eastAsia="Times New Roman" w:hAnsi="Times New Roman"/>
          <w:sz w:val="24"/>
          <w:szCs w:val="24"/>
          <w:lang w:val="en" w:eastAsia="en-GB"/>
        </w:rPr>
        <w:t>. New York: The Bobs-Merrill Company.</w:t>
      </w:r>
    </w:p>
    <w:p w14:paraId="3944994D" w14:textId="77777777" w:rsidR="0071353F" w:rsidRPr="008D7635" w:rsidRDefault="0071353F"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Bentham, J. (1789). </w:t>
      </w:r>
      <w:proofErr w:type="gramStart"/>
      <w:r w:rsidRPr="008D7635">
        <w:rPr>
          <w:rFonts w:ascii="Times New Roman" w:eastAsia="Times New Roman" w:hAnsi="Times New Roman"/>
          <w:i/>
          <w:sz w:val="24"/>
          <w:szCs w:val="24"/>
          <w:lang w:eastAsia="en-GB"/>
        </w:rPr>
        <w:t>An Introduction to the Principles of Morals and Legislation</w:t>
      </w:r>
      <w:r w:rsidRPr="008D7635">
        <w:rPr>
          <w:rFonts w:ascii="Times New Roman" w:eastAsia="Times New Roman" w:hAnsi="Times New Roman"/>
          <w:sz w:val="24"/>
          <w:szCs w:val="24"/>
          <w:lang w:eastAsia="en-GB"/>
        </w:rPr>
        <w:t>.</w:t>
      </w:r>
      <w:proofErr w:type="gramEnd"/>
      <w:r w:rsidRPr="008D7635">
        <w:rPr>
          <w:rFonts w:ascii="Times New Roman" w:eastAsia="Times New Roman" w:hAnsi="Times New Roman"/>
          <w:sz w:val="24"/>
          <w:szCs w:val="24"/>
          <w:lang w:eastAsia="en-GB"/>
        </w:rPr>
        <w:t xml:space="preserve"> Oxford: Clarendon Press.</w:t>
      </w:r>
    </w:p>
    <w:p w14:paraId="17B9E1A9" w14:textId="77777777" w:rsidR="00B314A6" w:rsidRPr="008D7635" w:rsidRDefault="00B314A6" w:rsidP="00CB3533">
      <w:pPr>
        <w:spacing w:after="0" w:line="240" w:lineRule="auto"/>
        <w:jc w:val="both"/>
        <w:rPr>
          <w:rFonts w:ascii="Times New Roman" w:hAnsi="Times New Roman"/>
          <w:color w:val="0000FF"/>
          <w:sz w:val="24"/>
          <w:szCs w:val="24"/>
          <w:u w:val="single"/>
        </w:rPr>
      </w:pPr>
      <w:proofErr w:type="spellStart"/>
      <w:r w:rsidRPr="008D7635">
        <w:rPr>
          <w:rFonts w:ascii="Times New Roman" w:hAnsi="Times New Roman"/>
          <w:sz w:val="24"/>
          <w:szCs w:val="24"/>
        </w:rPr>
        <w:t>BRAINPOol</w:t>
      </w:r>
      <w:proofErr w:type="spellEnd"/>
      <w:r w:rsidRPr="008D7635">
        <w:rPr>
          <w:rFonts w:ascii="Times New Roman" w:hAnsi="Times New Roman"/>
          <w:sz w:val="24"/>
          <w:szCs w:val="24"/>
        </w:rPr>
        <w:t xml:space="preserve"> Project website: </w:t>
      </w:r>
      <w:hyperlink r:id="rId11" w:history="1">
        <w:r w:rsidRPr="008D7635">
          <w:rPr>
            <w:rFonts w:ascii="Times New Roman" w:hAnsi="Times New Roman"/>
            <w:color w:val="0000FF"/>
            <w:sz w:val="24"/>
            <w:szCs w:val="24"/>
            <w:u w:val="single"/>
          </w:rPr>
          <w:t>http://www.brainpoolproject.eu/</w:t>
        </w:r>
      </w:hyperlink>
    </w:p>
    <w:p w14:paraId="5112DD32" w14:textId="77777777" w:rsidR="005F35FE" w:rsidRPr="008D7635" w:rsidRDefault="005F35FE" w:rsidP="00CB3533">
      <w:pPr>
        <w:spacing w:after="0" w:line="240" w:lineRule="auto"/>
        <w:ind w:left="720" w:hanging="720"/>
        <w:jc w:val="both"/>
        <w:rPr>
          <w:rFonts w:ascii="Times New Roman" w:eastAsia="Times New Roman" w:hAnsi="Times New Roman"/>
          <w:lang w:eastAsia="en-GB"/>
        </w:rPr>
      </w:pPr>
      <w:r w:rsidRPr="008D7635">
        <w:rPr>
          <w:rFonts w:ascii="Times New Roman" w:eastAsia="Times New Roman" w:hAnsi="Times New Roman"/>
          <w:lang w:eastAsia="en-GB"/>
        </w:rPr>
        <w:t xml:space="preserve">Clark, A., </w:t>
      </w:r>
      <w:proofErr w:type="spellStart"/>
      <w:r w:rsidRPr="008D7635">
        <w:rPr>
          <w:rFonts w:ascii="Times New Roman" w:eastAsia="Times New Roman" w:hAnsi="Times New Roman"/>
          <w:lang w:eastAsia="en-GB"/>
        </w:rPr>
        <w:t>Frijters</w:t>
      </w:r>
      <w:proofErr w:type="spellEnd"/>
      <w:r w:rsidRPr="008D7635">
        <w:rPr>
          <w:rFonts w:ascii="Times New Roman" w:eastAsia="Times New Roman" w:hAnsi="Times New Roman"/>
          <w:lang w:eastAsia="en-GB"/>
        </w:rPr>
        <w:t xml:space="preserve">, P., Shields, M. (2008). </w:t>
      </w:r>
      <w:r w:rsidR="00F63419" w:rsidRPr="008D7635">
        <w:rPr>
          <w:rFonts w:ascii="Times New Roman" w:eastAsia="Times New Roman" w:hAnsi="Times New Roman"/>
          <w:lang w:eastAsia="en-GB"/>
        </w:rPr>
        <w:t>“</w:t>
      </w:r>
      <w:r w:rsidRPr="008D7635">
        <w:rPr>
          <w:rFonts w:ascii="Times New Roman" w:eastAsia="Times New Roman" w:hAnsi="Times New Roman"/>
          <w:lang w:eastAsia="en-GB"/>
        </w:rPr>
        <w:t xml:space="preserve">Relative income, happiness and utility: An explanation for the </w:t>
      </w:r>
      <w:proofErr w:type="spellStart"/>
      <w:r w:rsidRPr="008D7635">
        <w:rPr>
          <w:rFonts w:ascii="Times New Roman" w:eastAsia="Times New Roman" w:hAnsi="Times New Roman"/>
          <w:lang w:eastAsia="en-GB"/>
        </w:rPr>
        <w:t>Easterlin</w:t>
      </w:r>
      <w:proofErr w:type="spellEnd"/>
      <w:r w:rsidRPr="008D7635">
        <w:rPr>
          <w:rFonts w:ascii="Times New Roman" w:eastAsia="Times New Roman" w:hAnsi="Times New Roman"/>
          <w:lang w:eastAsia="en-GB"/>
        </w:rPr>
        <w:t xml:space="preserve"> Paradox and other puzzles</w:t>
      </w:r>
      <w:r w:rsidR="00F63419" w:rsidRPr="008D7635">
        <w:rPr>
          <w:rFonts w:ascii="Times New Roman" w:eastAsia="Times New Roman" w:hAnsi="Times New Roman"/>
          <w:lang w:eastAsia="en-GB"/>
        </w:rPr>
        <w:t>”</w:t>
      </w:r>
      <w:r w:rsidRPr="008D7635">
        <w:rPr>
          <w:rFonts w:ascii="Times New Roman" w:eastAsia="Times New Roman" w:hAnsi="Times New Roman"/>
          <w:lang w:eastAsia="en-GB"/>
        </w:rPr>
        <w:t xml:space="preserve">. </w:t>
      </w:r>
      <w:r w:rsidRPr="008D7635">
        <w:rPr>
          <w:rFonts w:ascii="Times New Roman" w:eastAsia="Times New Roman" w:hAnsi="Times New Roman"/>
          <w:i/>
          <w:lang w:eastAsia="en-GB"/>
        </w:rPr>
        <w:t>Journal of Economic Literature</w:t>
      </w:r>
      <w:r w:rsidRPr="008D7635">
        <w:rPr>
          <w:rFonts w:ascii="Times New Roman" w:eastAsia="Times New Roman" w:hAnsi="Times New Roman"/>
          <w:lang w:eastAsia="en-GB"/>
        </w:rPr>
        <w:t xml:space="preserve"> 46, 95-144.</w:t>
      </w:r>
    </w:p>
    <w:p w14:paraId="5BBCA7F8"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eastAsia="en-GB"/>
        </w:rPr>
        <w:t>Costanza</w:t>
      </w:r>
      <w:proofErr w:type="spellEnd"/>
      <w:r w:rsidRPr="008D7635">
        <w:rPr>
          <w:rFonts w:ascii="Times New Roman" w:eastAsia="Times New Roman" w:hAnsi="Times New Roman"/>
          <w:sz w:val="24"/>
          <w:szCs w:val="24"/>
          <w:lang w:eastAsia="en-GB"/>
        </w:rPr>
        <w:t xml:space="preserve">, R., Fisher, B.,  Ali, S., Beer, C., Bond, L., </w:t>
      </w:r>
      <w:proofErr w:type="spellStart"/>
      <w:r w:rsidRPr="008D7635">
        <w:rPr>
          <w:rFonts w:ascii="Times New Roman" w:eastAsia="Times New Roman" w:hAnsi="Times New Roman"/>
          <w:sz w:val="24"/>
          <w:szCs w:val="24"/>
          <w:lang w:eastAsia="en-GB"/>
        </w:rPr>
        <w:t>Boumans</w:t>
      </w:r>
      <w:proofErr w:type="spellEnd"/>
      <w:r w:rsidRPr="008D7635">
        <w:rPr>
          <w:rFonts w:ascii="Times New Roman" w:eastAsia="Times New Roman" w:hAnsi="Times New Roman"/>
          <w:sz w:val="24"/>
          <w:szCs w:val="24"/>
          <w:lang w:eastAsia="en-GB"/>
        </w:rPr>
        <w:t xml:space="preserve">, R., </w:t>
      </w:r>
      <w:proofErr w:type="spellStart"/>
      <w:r w:rsidRPr="008D7635">
        <w:rPr>
          <w:rFonts w:ascii="Times New Roman" w:eastAsia="Times New Roman" w:hAnsi="Times New Roman"/>
          <w:sz w:val="24"/>
          <w:szCs w:val="24"/>
          <w:lang w:eastAsia="en-GB"/>
        </w:rPr>
        <w:t>Danigelis</w:t>
      </w:r>
      <w:proofErr w:type="spellEnd"/>
      <w:r w:rsidRPr="008D7635">
        <w:rPr>
          <w:rFonts w:ascii="Times New Roman" w:eastAsia="Times New Roman" w:hAnsi="Times New Roman"/>
          <w:sz w:val="24"/>
          <w:szCs w:val="24"/>
          <w:lang w:eastAsia="en-GB"/>
        </w:rPr>
        <w:t xml:space="preserve">, N.L., Dickinson, J., Elliott, C., Farley, J., Gayer, D.E., MacDonald Glenn, L., </w:t>
      </w:r>
      <w:proofErr w:type="spellStart"/>
      <w:r w:rsidRPr="008D7635">
        <w:rPr>
          <w:rFonts w:ascii="Times New Roman" w:eastAsia="Times New Roman" w:hAnsi="Times New Roman"/>
          <w:sz w:val="24"/>
          <w:szCs w:val="24"/>
          <w:lang w:eastAsia="en-GB"/>
        </w:rPr>
        <w:t>Hudspeth</w:t>
      </w:r>
      <w:proofErr w:type="spellEnd"/>
      <w:r w:rsidRPr="008D7635">
        <w:rPr>
          <w:rFonts w:ascii="Times New Roman" w:eastAsia="Times New Roman" w:hAnsi="Times New Roman"/>
          <w:sz w:val="24"/>
          <w:szCs w:val="24"/>
          <w:lang w:eastAsia="en-GB"/>
        </w:rPr>
        <w:t xml:space="preserve">, T., Mahoney, D., </w:t>
      </w:r>
      <w:proofErr w:type="spellStart"/>
      <w:r w:rsidRPr="008D7635">
        <w:rPr>
          <w:rFonts w:ascii="Times New Roman" w:eastAsia="Times New Roman" w:hAnsi="Times New Roman"/>
          <w:sz w:val="24"/>
          <w:szCs w:val="24"/>
          <w:lang w:eastAsia="en-GB"/>
        </w:rPr>
        <w:t>McCahill</w:t>
      </w:r>
      <w:proofErr w:type="spellEnd"/>
      <w:r w:rsidRPr="008D7635">
        <w:rPr>
          <w:rFonts w:ascii="Times New Roman" w:eastAsia="Times New Roman" w:hAnsi="Times New Roman"/>
          <w:sz w:val="24"/>
          <w:szCs w:val="24"/>
          <w:lang w:eastAsia="en-GB"/>
        </w:rPr>
        <w:t xml:space="preserve">, L., McIntosh, B, Reed, B., </w:t>
      </w:r>
      <w:proofErr w:type="spellStart"/>
      <w:r w:rsidRPr="008D7635">
        <w:rPr>
          <w:rFonts w:ascii="Times New Roman" w:eastAsia="Times New Roman" w:hAnsi="Times New Roman"/>
          <w:sz w:val="24"/>
          <w:szCs w:val="24"/>
          <w:lang w:eastAsia="en-GB"/>
        </w:rPr>
        <w:t>Turab</w:t>
      </w:r>
      <w:proofErr w:type="spellEnd"/>
      <w:r w:rsidRPr="008D7635">
        <w:rPr>
          <w:rFonts w:ascii="Times New Roman" w:eastAsia="Times New Roman" w:hAnsi="Times New Roman"/>
          <w:sz w:val="24"/>
          <w:szCs w:val="24"/>
          <w:lang w:eastAsia="en-GB"/>
        </w:rPr>
        <w:t xml:space="preserve"> Rizvi, S.A., Rizzo,</w:t>
      </w:r>
      <w:r w:rsidR="00525225" w:rsidRPr="008D7635">
        <w:rPr>
          <w:rFonts w:ascii="Times New Roman" w:eastAsia="Times New Roman" w:hAnsi="Times New Roman"/>
          <w:sz w:val="24"/>
          <w:szCs w:val="24"/>
          <w:lang w:eastAsia="en-GB"/>
        </w:rPr>
        <w:t xml:space="preserve"> D.M., Simpatico, T., </w:t>
      </w:r>
      <w:proofErr w:type="spellStart"/>
      <w:r w:rsidR="00525225" w:rsidRPr="008D7635">
        <w:rPr>
          <w:rFonts w:ascii="Times New Roman" w:eastAsia="Times New Roman" w:hAnsi="Times New Roman"/>
          <w:sz w:val="24"/>
          <w:szCs w:val="24"/>
          <w:lang w:eastAsia="en-GB"/>
        </w:rPr>
        <w:t>Snapp</w:t>
      </w:r>
      <w:proofErr w:type="spellEnd"/>
      <w:r w:rsidR="00525225" w:rsidRPr="008D7635">
        <w:rPr>
          <w:rFonts w:ascii="Times New Roman" w:eastAsia="Times New Roman" w:hAnsi="Times New Roman"/>
          <w:sz w:val="24"/>
          <w:szCs w:val="24"/>
          <w:lang w:eastAsia="en-GB"/>
        </w:rPr>
        <w:t>, R.</w:t>
      </w:r>
      <w:r w:rsidRPr="008D7635">
        <w:rPr>
          <w:rFonts w:ascii="Times New Roman" w:eastAsia="Times New Roman" w:hAnsi="Times New Roman"/>
          <w:sz w:val="24"/>
          <w:szCs w:val="24"/>
          <w:lang w:eastAsia="en-GB"/>
        </w:rPr>
        <w:t xml:space="preserve"> </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2007</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Quality of life: An approach integrating opportunities, human needs, and subjective well-being</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Ecological Economics</w:t>
      </w:r>
      <w:r w:rsidR="00525225" w:rsidRPr="008D7635">
        <w:rPr>
          <w:rFonts w:ascii="Times New Roman" w:eastAsia="Times New Roman" w:hAnsi="Times New Roman"/>
          <w:sz w:val="24"/>
          <w:szCs w:val="24"/>
          <w:lang w:eastAsia="en-GB"/>
        </w:rPr>
        <w:t xml:space="preserve"> 61: </w:t>
      </w:r>
      <w:r w:rsidRPr="008D7635">
        <w:rPr>
          <w:rFonts w:ascii="Times New Roman" w:eastAsia="Times New Roman" w:hAnsi="Times New Roman"/>
          <w:sz w:val="24"/>
          <w:szCs w:val="24"/>
          <w:lang w:eastAsia="en-GB"/>
        </w:rPr>
        <w:t>267-276.</w:t>
      </w:r>
    </w:p>
    <w:p w14:paraId="6F84C901" w14:textId="77777777" w:rsidR="00B314A6" w:rsidRPr="008D7635" w:rsidRDefault="00525225"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Cummins, R.A.</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2006</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sz w:val="24"/>
          <w:szCs w:val="24"/>
          <w:lang w:eastAsia="en-GB"/>
        </w:rPr>
        <w:t xml:space="preserve">Australian Unity Wellbeing Index: Report </w:t>
      </w:r>
      <w:r w:rsidR="00B314A6" w:rsidRPr="008D7635">
        <w:rPr>
          <w:rFonts w:ascii="Times New Roman" w:eastAsia="Times New Roman" w:hAnsi="Times New Roman"/>
          <w:sz w:val="24"/>
          <w:szCs w:val="24"/>
          <w:lang w:eastAsia="en-GB"/>
        </w:rPr>
        <w:t xml:space="preserve">14.1 – Fifth Anniversary Special Report – Summarizing the major ﬁndings. Melbourne: Australian Centre on Quality of Life, School of Psychology, </w:t>
      </w:r>
      <w:proofErr w:type="spellStart"/>
      <w:r w:rsidR="00B314A6" w:rsidRPr="008D7635">
        <w:rPr>
          <w:rFonts w:ascii="Times New Roman" w:eastAsia="Times New Roman" w:hAnsi="Times New Roman"/>
          <w:sz w:val="24"/>
          <w:szCs w:val="24"/>
          <w:lang w:eastAsia="en-GB"/>
        </w:rPr>
        <w:t>Deakin</w:t>
      </w:r>
      <w:proofErr w:type="spellEnd"/>
      <w:r w:rsidR="00B314A6" w:rsidRPr="008D7635">
        <w:rPr>
          <w:rFonts w:ascii="Times New Roman" w:eastAsia="Times New Roman" w:hAnsi="Times New Roman"/>
          <w:sz w:val="24"/>
          <w:szCs w:val="24"/>
          <w:lang w:eastAsia="en-GB"/>
        </w:rPr>
        <w:t xml:space="preserve"> University.</w:t>
      </w:r>
    </w:p>
    <w:p w14:paraId="54202B7D" w14:textId="77777777" w:rsidR="00B314A6" w:rsidRPr="008D7635" w:rsidRDefault="00525225"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val="en-US" w:eastAsia="it-IT"/>
        </w:rPr>
        <w:t>Deaton, A.</w:t>
      </w:r>
      <w:r w:rsidR="00B314A6" w:rsidRPr="008D7635">
        <w:rPr>
          <w:rFonts w:ascii="Times New Roman" w:eastAsia="Times New Roman" w:hAnsi="Times New Roman"/>
          <w:sz w:val="24"/>
          <w:szCs w:val="24"/>
          <w:lang w:val="en-US" w:eastAsia="it-IT"/>
        </w:rPr>
        <w:t xml:space="preserve"> </w:t>
      </w:r>
      <w:r w:rsidRPr="008D7635">
        <w:rPr>
          <w:rFonts w:ascii="Times New Roman" w:eastAsia="Times New Roman" w:hAnsi="Times New Roman"/>
          <w:sz w:val="24"/>
          <w:szCs w:val="24"/>
          <w:lang w:val="en-US" w:eastAsia="it-IT"/>
        </w:rPr>
        <w:t>(</w:t>
      </w:r>
      <w:r w:rsidR="00B314A6" w:rsidRPr="008D7635">
        <w:rPr>
          <w:rFonts w:ascii="Times New Roman" w:eastAsia="Times New Roman" w:hAnsi="Times New Roman"/>
          <w:sz w:val="24"/>
          <w:szCs w:val="24"/>
          <w:lang w:val="en-US" w:eastAsia="it-IT"/>
        </w:rPr>
        <w:t>1997</w:t>
      </w:r>
      <w:r w:rsidRPr="008D7635">
        <w:rPr>
          <w:rFonts w:ascii="Times New Roman" w:eastAsia="Times New Roman" w:hAnsi="Times New Roman"/>
          <w:sz w:val="24"/>
          <w:szCs w:val="24"/>
          <w:lang w:val="en-US" w:eastAsia="it-IT"/>
        </w:rPr>
        <w:t>)</w:t>
      </w:r>
      <w:r w:rsidR="00B314A6" w:rsidRPr="008D7635">
        <w:rPr>
          <w:rFonts w:ascii="Times New Roman" w:eastAsia="Times New Roman" w:hAnsi="Times New Roman"/>
          <w:sz w:val="24"/>
          <w:szCs w:val="24"/>
          <w:lang w:val="en-US" w:eastAsia="it-IT"/>
        </w:rPr>
        <w:t>. </w:t>
      </w:r>
      <w:proofErr w:type="gramStart"/>
      <w:r w:rsidR="00B314A6" w:rsidRPr="008D7635">
        <w:rPr>
          <w:rFonts w:ascii="Times New Roman" w:eastAsia="Times New Roman" w:hAnsi="Times New Roman"/>
          <w:i/>
          <w:iCs/>
          <w:sz w:val="24"/>
          <w:szCs w:val="24"/>
          <w:lang w:val="en-US" w:eastAsia="it-IT"/>
        </w:rPr>
        <w:t>Analysis of Household Surveys</w:t>
      </w:r>
      <w:r w:rsidR="00B314A6" w:rsidRPr="008D7635">
        <w:rPr>
          <w:rFonts w:ascii="Times New Roman" w:eastAsia="Times New Roman" w:hAnsi="Times New Roman"/>
          <w:sz w:val="24"/>
          <w:szCs w:val="24"/>
          <w:lang w:val="en-US" w:eastAsia="it-IT"/>
        </w:rPr>
        <w:t>.</w:t>
      </w:r>
      <w:proofErr w:type="gramEnd"/>
      <w:r w:rsidR="00B314A6" w:rsidRPr="008D7635">
        <w:rPr>
          <w:rFonts w:ascii="Times New Roman" w:eastAsia="Times New Roman" w:hAnsi="Times New Roman"/>
          <w:sz w:val="24"/>
          <w:szCs w:val="24"/>
          <w:lang w:val="en-US" w:eastAsia="it-IT"/>
        </w:rPr>
        <w:t xml:space="preserve"> Baltimore MD: Johns Hopkins University Press</w:t>
      </w:r>
    </w:p>
    <w:p w14:paraId="71314BA0"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val="it-IT" w:eastAsia="en-GB"/>
        </w:rPr>
        <w:t>Di Tella,</w:t>
      </w:r>
      <w:r w:rsidR="00525225" w:rsidRPr="008D7635">
        <w:rPr>
          <w:rFonts w:ascii="Times New Roman" w:eastAsia="Times New Roman" w:hAnsi="Times New Roman"/>
          <w:sz w:val="24"/>
          <w:szCs w:val="24"/>
          <w:lang w:val="it-IT" w:eastAsia="en-GB"/>
        </w:rPr>
        <w:t xml:space="preserve"> R., MacCulloch, R., Oswald, A.</w:t>
      </w:r>
      <w:r w:rsidRPr="008D7635">
        <w:rPr>
          <w:rFonts w:ascii="Times New Roman" w:eastAsia="Times New Roman" w:hAnsi="Times New Roman"/>
          <w:sz w:val="24"/>
          <w:szCs w:val="24"/>
          <w:lang w:val="it-IT" w:eastAsia="en-GB"/>
        </w:rPr>
        <w:t xml:space="preserve"> </w:t>
      </w:r>
      <w:r w:rsidR="00525225" w:rsidRPr="008D7635">
        <w:rPr>
          <w:rFonts w:ascii="Times New Roman" w:eastAsia="Times New Roman" w:hAnsi="Times New Roman"/>
          <w:sz w:val="24"/>
          <w:szCs w:val="24"/>
          <w:lang w:val="it-IT" w:eastAsia="en-GB"/>
        </w:rPr>
        <w:t>(</w:t>
      </w:r>
      <w:r w:rsidRPr="008D7635">
        <w:rPr>
          <w:rFonts w:ascii="Times New Roman" w:eastAsia="Times New Roman" w:hAnsi="Times New Roman"/>
          <w:sz w:val="24"/>
          <w:szCs w:val="24"/>
          <w:lang w:val="it-IT" w:eastAsia="en-GB"/>
        </w:rPr>
        <w:t>2001</w:t>
      </w:r>
      <w:r w:rsidR="00525225" w:rsidRPr="008D7635">
        <w:rPr>
          <w:rFonts w:ascii="Times New Roman" w:eastAsia="Times New Roman" w:hAnsi="Times New Roman"/>
          <w:sz w:val="24"/>
          <w:szCs w:val="24"/>
          <w:lang w:val="it-IT" w:eastAsia="en-GB"/>
        </w:rPr>
        <w:t>)</w:t>
      </w:r>
      <w:r w:rsidRPr="008D7635">
        <w:rPr>
          <w:rFonts w:ascii="Times New Roman" w:eastAsia="Times New Roman" w:hAnsi="Times New Roman"/>
          <w:sz w:val="24"/>
          <w:szCs w:val="24"/>
          <w:lang w:val="it-IT" w:eastAsia="en-GB"/>
        </w:rPr>
        <w:t xml:space="preserve">. </w:t>
      </w:r>
      <w:r w:rsidR="00525225" w:rsidRPr="008D7635">
        <w:rPr>
          <w:rFonts w:ascii="Times New Roman" w:eastAsia="Times New Roman" w:hAnsi="Times New Roman"/>
          <w:sz w:val="24"/>
          <w:szCs w:val="24"/>
          <w:lang w:val="en-US" w:eastAsia="en-GB"/>
        </w:rPr>
        <w:t>‘</w:t>
      </w:r>
      <w:r w:rsidRPr="008D7635">
        <w:rPr>
          <w:rFonts w:ascii="Times New Roman" w:eastAsia="Times New Roman" w:hAnsi="Times New Roman"/>
          <w:sz w:val="24"/>
          <w:szCs w:val="24"/>
          <w:lang w:eastAsia="en-GB"/>
        </w:rPr>
        <w:t>Preferences over inflation and unemployment: evidence form surveys of happiness</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 xml:space="preserve">The American Economic Review </w:t>
      </w:r>
      <w:r w:rsidRPr="008D7635">
        <w:rPr>
          <w:rFonts w:ascii="Times New Roman" w:eastAsia="Times New Roman" w:hAnsi="Times New Roman"/>
          <w:sz w:val="24"/>
          <w:szCs w:val="24"/>
          <w:lang w:eastAsia="en-GB"/>
        </w:rPr>
        <w:t>91 (1)</w:t>
      </w:r>
      <w:r w:rsidR="00525225"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335– 341.</w:t>
      </w:r>
    </w:p>
    <w:p w14:paraId="0B2F2493"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eastAsia="en-GB"/>
        </w:rPr>
        <w:t>Diener</w:t>
      </w:r>
      <w:proofErr w:type="spellEnd"/>
      <w:r w:rsidRPr="008D7635">
        <w:rPr>
          <w:rFonts w:ascii="Times New Roman" w:eastAsia="Times New Roman" w:hAnsi="Times New Roman"/>
          <w:sz w:val="24"/>
          <w:szCs w:val="24"/>
          <w:lang w:eastAsia="en-GB"/>
        </w:rPr>
        <w:t>, E.</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2006</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w:t>
      </w:r>
      <w:proofErr w:type="gramStart"/>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Guidelines for national indicators of subjective well-being and ill-being</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iCs/>
          <w:sz w:val="24"/>
          <w:szCs w:val="24"/>
          <w:lang w:eastAsia="en-GB"/>
        </w:rPr>
        <w:t>Applied Research in Quality of Life</w:t>
      </w:r>
      <w:r w:rsidR="00B314A6" w:rsidRPr="008D7635">
        <w:rPr>
          <w:rFonts w:ascii="Times New Roman" w:eastAsia="Times New Roman" w:hAnsi="Times New Roman"/>
          <w:iCs/>
          <w:sz w:val="24"/>
          <w:szCs w:val="24"/>
          <w:lang w:eastAsia="en-GB"/>
        </w:rPr>
        <w:t xml:space="preserve"> 10</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1-7.</w:t>
      </w:r>
    </w:p>
    <w:p w14:paraId="2A9AE12A" w14:textId="77777777" w:rsidR="00B314A6" w:rsidRPr="008D7635" w:rsidRDefault="00B314A6" w:rsidP="00CB3533">
      <w:pPr>
        <w:spacing w:after="0" w:line="240" w:lineRule="auto"/>
        <w:ind w:left="720" w:hanging="720"/>
        <w:jc w:val="both"/>
        <w:rPr>
          <w:rFonts w:ascii="Times New Roman" w:eastAsia="Times New Roman" w:hAnsi="Times New Roman"/>
          <w:sz w:val="24"/>
          <w:szCs w:val="24"/>
          <w:shd w:val="clear" w:color="auto" w:fill="FFFFFF"/>
          <w:lang w:val="en-US" w:eastAsia="it-IT"/>
        </w:rPr>
      </w:pPr>
      <w:r w:rsidRPr="008D7635">
        <w:rPr>
          <w:rFonts w:ascii="Times New Roman" w:eastAsia="Times New Roman" w:hAnsi="Times New Roman"/>
          <w:sz w:val="24"/>
          <w:szCs w:val="24"/>
          <w:shd w:val="clear" w:color="auto" w:fill="FFFFFF"/>
          <w:lang w:val="es-ES" w:eastAsia="it-IT"/>
        </w:rPr>
        <w:t xml:space="preserve">Diener, </w:t>
      </w:r>
      <w:r w:rsidR="007172C2" w:rsidRPr="008D7635">
        <w:rPr>
          <w:rFonts w:ascii="Times New Roman" w:eastAsia="Times New Roman" w:hAnsi="Times New Roman"/>
          <w:sz w:val="24"/>
          <w:szCs w:val="24"/>
          <w:shd w:val="clear" w:color="auto" w:fill="FFFFFF"/>
          <w:lang w:val="es-ES" w:eastAsia="it-IT"/>
        </w:rPr>
        <w:t>E., Lucas, R.E. (</w:t>
      </w:r>
      <w:r w:rsidRPr="008D7635">
        <w:rPr>
          <w:rFonts w:ascii="Times New Roman" w:eastAsia="Times New Roman" w:hAnsi="Times New Roman"/>
          <w:sz w:val="24"/>
          <w:szCs w:val="24"/>
          <w:shd w:val="clear" w:color="auto" w:fill="FFFFFF"/>
          <w:lang w:val="es-ES" w:eastAsia="it-IT"/>
        </w:rPr>
        <w:t>2000</w:t>
      </w:r>
      <w:r w:rsidR="007172C2" w:rsidRPr="008D7635">
        <w:rPr>
          <w:rFonts w:ascii="Times New Roman" w:eastAsia="Times New Roman" w:hAnsi="Times New Roman"/>
          <w:sz w:val="24"/>
          <w:szCs w:val="24"/>
          <w:shd w:val="clear" w:color="auto" w:fill="FFFFFF"/>
          <w:lang w:val="es-ES" w:eastAsia="it-IT"/>
        </w:rPr>
        <w:t>)</w:t>
      </w:r>
      <w:r w:rsidRPr="008D7635">
        <w:rPr>
          <w:rFonts w:ascii="Times New Roman" w:eastAsia="Times New Roman" w:hAnsi="Times New Roman"/>
          <w:sz w:val="24"/>
          <w:szCs w:val="24"/>
          <w:shd w:val="clear" w:color="auto" w:fill="FFFFFF"/>
          <w:lang w:val="es-ES" w:eastAsia="it-IT"/>
        </w:rPr>
        <w:t xml:space="preserve">. </w:t>
      </w:r>
      <w:r w:rsidR="007172C2" w:rsidRPr="008D7635">
        <w:rPr>
          <w:rFonts w:ascii="Times New Roman" w:eastAsia="Times New Roman" w:hAnsi="Times New Roman"/>
          <w:sz w:val="24"/>
          <w:szCs w:val="24"/>
          <w:shd w:val="clear" w:color="auto" w:fill="FFFFFF"/>
          <w:lang w:val="es-ES" w:eastAsia="it-IT"/>
        </w:rPr>
        <w:t>‘</w:t>
      </w:r>
      <w:r w:rsidRPr="008D7635">
        <w:rPr>
          <w:rFonts w:ascii="Times New Roman" w:eastAsia="Times New Roman" w:hAnsi="Times New Roman"/>
          <w:sz w:val="24"/>
          <w:szCs w:val="24"/>
          <w:shd w:val="clear" w:color="auto" w:fill="FFFFFF"/>
          <w:lang w:val="en-US" w:eastAsia="it-IT"/>
        </w:rPr>
        <w:t>Explaining differences in societal levels of happiness: relative standards, need fulfillment, culture, and evaluation theory</w:t>
      </w:r>
      <w:r w:rsidR="007172C2" w:rsidRPr="008D7635">
        <w:rPr>
          <w:rFonts w:ascii="Times New Roman" w:eastAsia="Times New Roman" w:hAnsi="Times New Roman"/>
          <w:sz w:val="24"/>
          <w:szCs w:val="24"/>
          <w:shd w:val="clear" w:color="auto" w:fill="FFFFFF"/>
          <w:lang w:val="en-US" w:eastAsia="it-IT"/>
        </w:rPr>
        <w:t>’</w:t>
      </w:r>
      <w:r w:rsidRPr="008D7635">
        <w:rPr>
          <w:rFonts w:ascii="Times New Roman" w:eastAsia="Times New Roman" w:hAnsi="Times New Roman"/>
          <w:sz w:val="24"/>
          <w:szCs w:val="24"/>
          <w:shd w:val="clear" w:color="auto" w:fill="FFFFFF"/>
          <w:lang w:val="en-US" w:eastAsia="it-IT"/>
        </w:rPr>
        <w:t xml:space="preserve">. </w:t>
      </w:r>
      <w:r w:rsidRPr="008D7635">
        <w:rPr>
          <w:rFonts w:ascii="Times New Roman" w:eastAsia="Times New Roman" w:hAnsi="Times New Roman"/>
          <w:i/>
          <w:iCs/>
          <w:sz w:val="24"/>
          <w:szCs w:val="24"/>
          <w:shd w:val="clear" w:color="auto" w:fill="FFFFFF"/>
          <w:lang w:val="en-US" w:eastAsia="it-IT"/>
        </w:rPr>
        <w:t xml:space="preserve">Journal </w:t>
      </w:r>
      <w:proofErr w:type="gramStart"/>
      <w:r w:rsidRPr="008D7635">
        <w:rPr>
          <w:rFonts w:ascii="Times New Roman" w:eastAsia="Times New Roman" w:hAnsi="Times New Roman"/>
          <w:i/>
          <w:iCs/>
          <w:sz w:val="24"/>
          <w:szCs w:val="24"/>
          <w:shd w:val="clear" w:color="auto" w:fill="FFFFFF"/>
          <w:lang w:val="en-US" w:eastAsia="it-IT"/>
        </w:rPr>
        <w:t>of  Happiness</w:t>
      </w:r>
      <w:proofErr w:type="gramEnd"/>
      <w:r w:rsidRPr="008D7635">
        <w:rPr>
          <w:rFonts w:ascii="Times New Roman" w:eastAsia="Times New Roman" w:hAnsi="Times New Roman"/>
          <w:i/>
          <w:iCs/>
          <w:sz w:val="24"/>
          <w:szCs w:val="24"/>
          <w:shd w:val="clear" w:color="auto" w:fill="FFFFFF"/>
          <w:lang w:val="en-US" w:eastAsia="it-IT"/>
        </w:rPr>
        <w:t xml:space="preserve"> Studies </w:t>
      </w:r>
      <w:r w:rsidR="007172C2" w:rsidRPr="008D7635">
        <w:rPr>
          <w:rFonts w:ascii="Times New Roman" w:eastAsia="Times New Roman" w:hAnsi="Times New Roman"/>
          <w:sz w:val="24"/>
          <w:szCs w:val="24"/>
          <w:shd w:val="clear" w:color="auto" w:fill="FFFFFF"/>
          <w:lang w:val="en-US" w:eastAsia="it-IT"/>
        </w:rPr>
        <w:t>1:</w:t>
      </w:r>
      <w:r w:rsidRPr="008D7635">
        <w:rPr>
          <w:rFonts w:ascii="Times New Roman" w:eastAsia="Times New Roman" w:hAnsi="Times New Roman"/>
          <w:sz w:val="24"/>
          <w:szCs w:val="24"/>
          <w:shd w:val="clear" w:color="auto" w:fill="FFFFFF"/>
          <w:lang w:val="en-US" w:eastAsia="it-IT"/>
        </w:rPr>
        <w:t xml:space="preserve"> 41–78</w:t>
      </w:r>
    </w:p>
    <w:p w14:paraId="12BCBFDC" w14:textId="77777777" w:rsidR="00555D77" w:rsidRPr="008D7635" w:rsidRDefault="00555D77"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eastAsia="en-GB"/>
        </w:rPr>
        <w:t>Diener</w:t>
      </w:r>
      <w:proofErr w:type="spellEnd"/>
      <w:r w:rsidRPr="008D7635">
        <w:rPr>
          <w:rFonts w:ascii="Times New Roman" w:eastAsia="Times New Roman" w:hAnsi="Times New Roman"/>
          <w:sz w:val="24"/>
          <w:szCs w:val="24"/>
          <w:lang w:eastAsia="en-GB"/>
        </w:rPr>
        <w:t xml:space="preserve">, Ed. (2005). </w:t>
      </w:r>
      <w:proofErr w:type="gramStart"/>
      <w:r w:rsidRPr="008D7635">
        <w:rPr>
          <w:rFonts w:ascii="Times New Roman" w:eastAsia="Times New Roman" w:hAnsi="Times New Roman"/>
          <w:i/>
          <w:sz w:val="24"/>
          <w:szCs w:val="24"/>
          <w:lang w:eastAsia="en-GB"/>
        </w:rPr>
        <w:t>Guidelines for National Indicators of Subjective Well-Being and Ill-Being</w:t>
      </w:r>
      <w:r w:rsidRPr="008D7635">
        <w:rPr>
          <w:rFonts w:ascii="Times New Roman" w:eastAsia="Times New Roman" w:hAnsi="Times New Roman"/>
          <w:sz w:val="24"/>
          <w:szCs w:val="24"/>
          <w:lang w:eastAsia="en-GB"/>
        </w:rPr>
        <w:t>.</w:t>
      </w:r>
      <w:proofErr w:type="gramEnd"/>
      <w:r w:rsidRPr="008D7635">
        <w:rPr>
          <w:rFonts w:ascii="Times New Roman" w:eastAsia="Times New Roman" w:hAnsi="Times New Roman"/>
          <w:sz w:val="24"/>
          <w:szCs w:val="24"/>
          <w:lang w:eastAsia="en-GB"/>
        </w:rPr>
        <w:t xml:space="preserve"> </w:t>
      </w:r>
      <w:proofErr w:type="gramStart"/>
      <w:r w:rsidRPr="008D7635">
        <w:rPr>
          <w:rFonts w:ascii="Times New Roman" w:eastAsia="Times New Roman" w:hAnsi="Times New Roman"/>
          <w:sz w:val="24"/>
          <w:szCs w:val="24"/>
          <w:lang w:eastAsia="en-GB"/>
        </w:rPr>
        <w:t>Mimeo, university of Illinois at Urbana Champaign.</w:t>
      </w:r>
      <w:proofErr w:type="gramEnd"/>
    </w:p>
    <w:p w14:paraId="6E1905DA" w14:textId="77777777" w:rsidR="00B314A6" w:rsidRPr="008D7635" w:rsidRDefault="007172C2" w:rsidP="00CB3533">
      <w:pPr>
        <w:spacing w:after="0" w:line="240" w:lineRule="auto"/>
        <w:ind w:left="720" w:hanging="720"/>
        <w:jc w:val="both"/>
        <w:rPr>
          <w:rFonts w:ascii="Times New Roman" w:eastAsia="Times New Roman" w:hAnsi="Times New Roman"/>
          <w:color w:val="000000"/>
          <w:sz w:val="24"/>
          <w:szCs w:val="24"/>
          <w:lang w:eastAsia="en-GB"/>
        </w:rPr>
      </w:pPr>
      <w:r w:rsidRPr="008D7635">
        <w:rPr>
          <w:rFonts w:ascii="Times New Roman" w:eastAsia="Times New Roman" w:hAnsi="Times New Roman"/>
          <w:color w:val="000000"/>
          <w:sz w:val="24"/>
          <w:szCs w:val="24"/>
          <w:lang w:val="nb-NO" w:eastAsia="en-GB"/>
        </w:rPr>
        <w:t>Diener, E., Seligman, M.E.P.</w:t>
      </w:r>
      <w:r w:rsidR="00B314A6" w:rsidRPr="008D7635">
        <w:rPr>
          <w:rFonts w:ascii="Times New Roman" w:eastAsia="Times New Roman" w:hAnsi="Times New Roman"/>
          <w:color w:val="000000"/>
          <w:sz w:val="24"/>
          <w:szCs w:val="24"/>
          <w:lang w:val="nb-NO" w:eastAsia="en-GB"/>
        </w:rPr>
        <w:t xml:space="preserve"> </w:t>
      </w:r>
      <w:r w:rsidRPr="008D7635">
        <w:rPr>
          <w:rFonts w:ascii="Times New Roman" w:eastAsia="Times New Roman" w:hAnsi="Times New Roman"/>
          <w:color w:val="000000"/>
          <w:sz w:val="24"/>
          <w:szCs w:val="24"/>
          <w:lang w:val="nb-NO" w:eastAsia="en-GB"/>
        </w:rPr>
        <w:t>(</w:t>
      </w:r>
      <w:r w:rsidR="00B314A6" w:rsidRPr="008D7635">
        <w:rPr>
          <w:rFonts w:ascii="Times New Roman" w:eastAsia="Times New Roman" w:hAnsi="Times New Roman"/>
          <w:color w:val="000000"/>
          <w:sz w:val="24"/>
          <w:szCs w:val="24"/>
          <w:lang w:val="nb-NO" w:eastAsia="en-GB"/>
        </w:rPr>
        <w:t>2004</w:t>
      </w:r>
      <w:r w:rsidRPr="008D7635">
        <w:rPr>
          <w:rFonts w:ascii="Times New Roman" w:eastAsia="Times New Roman" w:hAnsi="Times New Roman"/>
          <w:color w:val="000000"/>
          <w:sz w:val="24"/>
          <w:szCs w:val="24"/>
          <w:lang w:val="nb-NO" w:eastAsia="en-GB"/>
        </w:rPr>
        <w:t>)</w:t>
      </w:r>
      <w:r w:rsidR="00B314A6" w:rsidRPr="008D7635">
        <w:rPr>
          <w:rFonts w:ascii="Times New Roman" w:eastAsia="Times New Roman" w:hAnsi="Times New Roman"/>
          <w:color w:val="000000"/>
          <w:sz w:val="24"/>
          <w:szCs w:val="24"/>
          <w:lang w:val="nb-NO" w:eastAsia="en-GB"/>
        </w:rPr>
        <w:t xml:space="preserve">. </w:t>
      </w:r>
      <w:r w:rsidRPr="008D7635">
        <w:rPr>
          <w:rFonts w:ascii="Times New Roman" w:eastAsia="Times New Roman" w:hAnsi="Times New Roman"/>
          <w:color w:val="000000"/>
          <w:sz w:val="24"/>
          <w:szCs w:val="24"/>
          <w:lang w:val="nb-NO" w:eastAsia="en-GB"/>
        </w:rPr>
        <w:t>‘</w:t>
      </w:r>
      <w:r w:rsidR="00B314A6" w:rsidRPr="008D7635">
        <w:rPr>
          <w:rFonts w:ascii="Times New Roman" w:eastAsia="Times New Roman" w:hAnsi="Times New Roman"/>
          <w:color w:val="000000"/>
          <w:sz w:val="24"/>
          <w:szCs w:val="24"/>
          <w:lang w:eastAsia="en-GB"/>
        </w:rPr>
        <w:t>Beyond Money: Toward an economy of well-being</w:t>
      </w:r>
      <w:r w:rsidRPr="008D7635">
        <w:rPr>
          <w:rFonts w:ascii="Times New Roman" w:eastAsia="Times New Roman" w:hAnsi="Times New Roman"/>
          <w:color w:val="000000"/>
          <w:sz w:val="24"/>
          <w:szCs w:val="24"/>
          <w:lang w:eastAsia="en-GB"/>
        </w:rPr>
        <w:t>’</w:t>
      </w:r>
      <w:r w:rsidR="00B314A6" w:rsidRPr="008D7635">
        <w:rPr>
          <w:rFonts w:ascii="Times New Roman" w:eastAsia="Times New Roman" w:hAnsi="Times New Roman"/>
          <w:color w:val="000000"/>
          <w:sz w:val="24"/>
          <w:szCs w:val="24"/>
          <w:lang w:eastAsia="en-GB"/>
        </w:rPr>
        <w:t xml:space="preserve">. </w:t>
      </w:r>
      <w:r w:rsidR="00B314A6" w:rsidRPr="008D7635">
        <w:rPr>
          <w:rFonts w:ascii="Times New Roman" w:eastAsia="Times New Roman" w:hAnsi="Times New Roman"/>
          <w:i/>
          <w:color w:val="000000"/>
          <w:sz w:val="24"/>
          <w:szCs w:val="24"/>
          <w:lang w:eastAsia="en-GB"/>
        </w:rPr>
        <w:t>Psychological Science in the Public Interest</w:t>
      </w:r>
      <w:r w:rsidRPr="008D7635">
        <w:rPr>
          <w:rFonts w:ascii="Times New Roman" w:eastAsia="Times New Roman" w:hAnsi="Times New Roman"/>
          <w:color w:val="000000"/>
          <w:sz w:val="24"/>
          <w:szCs w:val="24"/>
          <w:lang w:eastAsia="en-GB"/>
        </w:rPr>
        <w:t xml:space="preserve"> 5(1):</w:t>
      </w:r>
      <w:r w:rsidR="00B314A6" w:rsidRPr="008D7635">
        <w:rPr>
          <w:rFonts w:ascii="Times New Roman" w:eastAsia="Times New Roman" w:hAnsi="Times New Roman"/>
          <w:color w:val="000000"/>
          <w:sz w:val="24"/>
          <w:szCs w:val="24"/>
          <w:lang w:eastAsia="en-GB"/>
        </w:rPr>
        <w:t xml:space="preserve"> 1-31.</w:t>
      </w:r>
    </w:p>
    <w:p w14:paraId="51027F78" w14:textId="77777777" w:rsidR="005F35FE" w:rsidRPr="008D7635" w:rsidRDefault="005F35FE" w:rsidP="00CB3533">
      <w:pPr>
        <w:spacing w:after="0" w:line="240" w:lineRule="auto"/>
        <w:ind w:left="720" w:hanging="720"/>
        <w:jc w:val="both"/>
        <w:rPr>
          <w:rFonts w:ascii="Times New Roman" w:eastAsia="Times New Roman" w:hAnsi="Times New Roman"/>
          <w:lang w:eastAsia="en-GB"/>
        </w:rPr>
      </w:pPr>
      <w:proofErr w:type="spellStart"/>
      <w:r w:rsidRPr="008D7635">
        <w:rPr>
          <w:rFonts w:ascii="Times New Roman" w:eastAsia="Times New Roman" w:hAnsi="Times New Roman"/>
          <w:lang w:eastAsia="en-GB"/>
        </w:rPr>
        <w:t>Easterlin</w:t>
      </w:r>
      <w:proofErr w:type="spellEnd"/>
      <w:r w:rsidRPr="008D7635">
        <w:rPr>
          <w:rFonts w:ascii="Times New Roman" w:eastAsia="Times New Roman" w:hAnsi="Times New Roman"/>
          <w:lang w:eastAsia="en-GB"/>
        </w:rPr>
        <w:t xml:space="preserve">, R.A. (1974). Does economic growth improve the human lot? Some empirical evidence, in: Davis, P.A., </w:t>
      </w:r>
      <w:proofErr w:type="spellStart"/>
      <w:r w:rsidRPr="008D7635">
        <w:rPr>
          <w:rFonts w:ascii="Times New Roman" w:eastAsia="Times New Roman" w:hAnsi="Times New Roman"/>
          <w:lang w:eastAsia="en-GB"/>
        </w:rPr>
        <w:t>Reder</w:t>
      </w:r>
      <w:proofErr w:type="spellEnd"/>
      <w:r w:rsidRPr="008D7635">
        <w:rPr>
          <w:rFonts w:ascii="Times New Roman" w:eastAsia="Times New Roman" w:hAnsi="Times New Roman"/>
          <w:lang w:eastAsia="en-GB"/>
        </w:rPr>
        <w:t xml:space="preserve">, M.W. (Eds.), </w:t>
      </w:r>
      <w:r w:rsidRPr="008D7635">
        <w:rPr>
          <w:rFonts w:ascii="Times New Roman" w:eastAsia="Times New Roman" w:hAnsi="Times New Roman"/>
          <w:i/>
          <w:lang w:eastAsia="en-GB"/>
        </w:rPr>
        <w:t>Nations and Households in Economic Growth</w:t>
      </w:r>
      <w:r w:rsidRPr="008D7635">
        <w:rPr>
          <w:rFonts w:ascii="Times New Roman" w:eastAsia="Times New Roman" w:hAnsi="Times New Roman"/>
          <w:lang w:eastAsia="en-GB"/>
        </w:rPr>
        <w:t xml:space="preserve">. Academic Press, New York, London </w:t>
      </w:r>
    </w:p>
    <w:p w14:paraId="67E1016C"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val="en" w:eastAsia="en-GB"/>
        </w:rPr>
      </w:pPr>
      <w:r w:rsidRPr="008D7635">
        <w:rPr>
          <w:rFonts w:ascii="Times New Roman" w:eastAsia="Times New Roman" w:hAnsi="Times New Roman"/>
          <w:sz w:val="24"/>
          <w:szCs w:val="24"/>
          <w:lang w:val="en" w:eastAsia="en-GB"/>
        </w:rPr>
        <w:t xml:space="preserve">E-Frame Project – European Commission: </w:t>
      </w:r>
      <w:hyperlink r:id="rId12" w:history="1">
        <w:r w:rsidRPr="008D7635">
          <w:rPr>
            <w:rFonts w:ascii="Times New Roman" w:eastAsia="Times New Roman" w:hAnsi="Times New Roman"/>
            <w:color w:val="0000FF"/>
            <w:sz w:val="24"/>
            <w:szCs w:val="24"/>
            <w:u w:val="single"/>
            <w:lang w:val="en" w:eastAsia="en-GB"/>
          </w:rPr>
          <w:t>http://www.eframeproject.eu/</w:t>
        </w:r>
      </w:hyperlink>
      <w:r w:rsidRPr="008D7635">
        <w:rPr>
          <w:rFonts w:ascii="Times New Roman" w:eastAsia="Times New Roman" w:hAnsi="Times New Roman"/>
          <w:sz w:val="24"/>
          <w:szCs w:val="24"/>
          <w:lang w:val="en" w:eastAsia="en-GB"/>
        </w:rPr>
        <w:t xml:space="preserve"> </w:t>
      </w:r>
    </w:p>
    <w:p w14:paraId="3E007C7A"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eastAsia="en-GB"/>
        </w:rPr>
        <w:t>European Commission</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2010</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sz w:val="24"/>
          <w:szCs w:val="24"/>
          <w:lang w:eastAsia="en-GB"/>
        </w:rPr>
        <w:t>Europe 2020 - a strategy for smart, sustainable and inclusive growth.</w:t>
      </w:r>
      <w:proofErr w:type="gramEnd"/>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sz w:val="24"/>
          <w:szCs w:val="24"/>
          <w:lang w:eastAsia="en-GB"/>
        </w:rPr>
        <w:t>Communication from the Commission.</w:t>
      </w:r>
      <w:proofErr w:type="gramEnd"/>
      <w:r w:rsidR="00B314A6" w:rsidRPr="008D7635">
        <w:rPr>
          <w:rFonts w:ascii="Times New Roman" w:eastAsia="Times New Roman" w:hAnsi="Times New Roman"/>
          <w:sz w:val="24"/>
          <w:szCs w:val="24"/>
          <w:lang w:eastAsia="en-GB"/>
        </w:rPr>
        <w:t xml:space="preserve"> Available at:</w:t>
      </w:r>
      <w:r w:rsidR="00B314A6" w:rsidRPr="008D7635">
        <w:t xml:space="preserve"> </w:t>
      </w:r>
      <w:hyperlink r:id="rId13" w:history="1">
        <w:r w:rsidR="00B314A6" w:rsidRPr="008D7635">
          <w:rPr>
            <w:rFonts w:ascii="Times New Roman" w:eastAsia="Times New Roman" w:hAnsi="Times New Roman"/>
            <w:color w:val="0000FF"/>
            <w:sz w:val="24"/>
            <w:szCs w:val="24"/>
            <w:u w:val="single"/>
            <w:lang w:eastAsia="en-GB"/>
          </w:rPr>
          <w:t>http://eur-lex.europa.eu/LexUriServ/LexUriServ.do?uri=COM:2010:2020:FIN:EN:PDF</w:t>
        </w:r>
      </w:hyperlink>
    </w:p>
    <w:p w14:paraId="33B431E8"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European quality of life survey (EQLS) – website:</w:t>
      </w:r>
      <w:r w:rsidRPr="008D7635">
        <w:t xml:space="preserve"> </w:t>
      </w:r>
      <w:hyperlink r:id="rId14" w:history="1">
        <w:r w:rsidRPr="008D7635">
          <w:rPr>
            <w:color w:val="0000FF"/>
            <w:u w:val="single"/>
          </w:rPr>
          <w:t>http://www.eurofound.europa.eu/areas/qualityoflife/eqls/</w:t>
        </w:r>
      </w:hyperlink>
    </w:p>
    <w:p w14:paraId="22EB661A"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lastRenderedPageBreak/>
        <w:t>Eurostat website – Headline indicators: http://epp.eurostat.ec.europa.eu/portal/page/portal/sdi/indicators</w:t>
      </w:r>
    </w:p>
    <w:p w14:paraId="3BB8BE99"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eastAsia="en-GB"/>
        </w:rPr>
        <w:t>Eurostat (</w:t>
      </w:r>
      <w:r w:rsidR="00B314A6" w:rsidRPr="008D7635">
        <w:rPr>
          <w:rFonts w:ascii="Times New Roman" w:eastAsia="Times New Roman" w:hAnsi="Times New Roman"/>
          <w:sz w:val="24"/>
          <w:szCs w:val="24"/>
          <w:lang w:eastAsia="en-GB"/>
        </w:rPr>
        <w:t>2009</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i/>
          <w:sz w:val="24"/>
          <w:szCs w:val="24"/>
          <w:lang w:eastAsia="en-GB"/>
        </w:rPr>
        <w:t>Health statistics – Atlas on mortality in the European Union</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Luxembourg</w:t>
      </w:r>
    </w:p>
    <w:p w14:paraId="3974D48A" w14:textId="77777777" w:rsidR="00B314A6" w:rsidRPr="008D7635" w:rsidRDefault="00B314A6" w:rsidP="00CB3533">
      <w:pPr>
        <w:spacing w:after="0" w:line="240" w:lineRule="auto"/>
        <w:ind w:left="720" w:hanging="709"/>
        <w:jc w:val="both"/>
        <w:rPr>
          <w:rFonts w:ascii="Times New Roman" w:eastAsia="Times New Roman" w:hAnsi="Times New Roman"/>
          <w:color w:val="333333"/>
          <w:sz w:val="24"/>
          <w:szCs w:val="24"/>
          <w:lang w:eastAsia="en-GB"/>
        </w:rPr>
      </w:pPr>
      <w:r w:rsidRPr="008D7635">
        <w:rPr>
          <w:rFonts w:ascii="Times New Roman" w:eastAsia="Times New Roman" w:hAnsi="Times New Roman"/>
          <w:color w:val="333333"/>
          <w:sz w:val="24"/>
          <w:szCs w:val="24"/>
          <w:lang w:eastAsia="en-GB"/>
        </w:rPr>
        <w:t>F</w:t>
      </w:r>
      <w:r w:rsidR="007172C2" w:rsidRPr="008D7635">
        <w:rPr>
          <w:rFonts w:ascii="Times New Roman" w:eastAsia="Times New Roman" w:hAnsi="Times New Roman"/>
          <w:color w:val="333333"/>
          <w:sz w:val="24"/>
          <w:szCs w:val="24"/>
          <w:lang w:eastAsia="en-GB"/>
        </w:rPr>
        <w:t xml:space="preserve">rey, B., </w:t>
      </w:r>
      <w:proofErr w:type="spellStart"/>
      <w:r w:rsidR="007172C2" w:rsidRPr="008D7635">
        <w:rPr>
          <w:rFonts w:ascii="Times New Roman" w:eastAsia="Times New Roman" w:hAnsi="Times New Roman"/>
          <w:color w:val="333333"/>
          <w:sz w:val="24"/>
          <w:szCs w:val="24"/>
          <w:lang w:eastAsia="en-GB"/>
        </w:rPr>
        <w:t>Stutzer</w:t>
      </w:r>
      <w:proofErr w:type="spellEnd"/>
      <w:r w:rsidR="007172C2" w:rsidRPr="008D7635">
        <w:rPr>
          <w:rFonts w:ascii="Times New Roman" w:eastAsia="Times New Roman" w:hAnsi="Times New Roman"/>
          <w:color w:val="333333"/>
          <w:sz w:val="24"/>
          <w:szCs w:val="24"/>
          <w:lang w:eastAsia="en-GB"/>
        </w:rPr>
        <w:t>, A.</w:t>
      </w:r>
      <w:r w:rsidRPr="008D7635">
        <w:rPr>
          <w:rFonts w:ascii="Times New Roman" w:eastAsia="Times New Roman" w:hAnsi="Times New Roman"/>
          <w:color w:val="333333"/>
          <w:sz w:val="24"/>
          <w:szCs w:val="24"/>
          <w:lang w:eastAsia="en-GB"/>
        </w:rPr>
        <w:t xml:space="preserve"> </w:t>
      </w:r>
      <w:r w:rsidR="007172C2" w:rsidRPr="008D7635">
        <w:rPr>
          <w:rFonts w:ascii="Times New Roman" w:eastAsia="Times New Roman" w:hAnsi="Times New Roman"/>
          <w:color w:val="333333"/>
          <w:sz w:val="24"/>
          <w:szCs w:val="24"/>
          <w:lang w:eastAsia="en-GB"/>
        </w:rPr>
        <w:t>(</w:t>
      </w:r>
      <w:r w:rsidRPr="008D7635">
        <w:rPr>
          <w:rFonts w:ascii="Times New Roman" w:eastAsia="Times New Roman" w:hAnsi="Times New Roman"/>
          <w:color w:val="333333"/>
          <w:sz w:val="24"/>
          <w:szCs w:val="24"/>
          <w:lang w:eastAsia="en-GB"/>
        </w:rPr>
        <w:t>2002</w:t>
      </w:r>
      <w:r w:rsidR="007172C2" w:rsidRPr="008D7635">
        <w:rPr>
          <w:rFonts w:ascii="Times New Roman" w:eastAsia="Times New Roman" w:hAnsi="Times New Roman"/>
          <w:color w:val="333333"/>
          <w:sz w:val="24"/>
          <w:szCs w:val="24"/>
          <w:lang w:eastAsia="en-GB"/>
        </w:rPr>
        <w:t>)</w:t>
      </w:r>
      <w:r w:rsidRPr="008D7635">
        <w:rPr>
          <w:rFonts w:ascii="Times New Roman" w:eastAsia="Times New Roman" w:hAnsi="Times New Roman"/>
          <w:color w:val="333333"/>
          <w:sz w:val="24"/>
          <w:szCs w:val="24"/>
          <w:lang w:eastAsia="en-GB"/>
        </w:rPr>
        <w:t xml:space="preserve">. </w:t>
      </w:r>
      <w:hyperlink r:id="rId15" w:history="1">
        <w:proofErr w:type="gramStart"/>
        <w:r w:rsidRPr="008D7635">
          <w:rPr>
            <w:rFonts w:ascii="Times New Roman" w:eastAsia="Times New Roman" w:hAnsi="Times New Roman"/>
            <w:bCs/>
            <w:i/>
            <w:color w:val="000000"/>
            <w:sz w:val="24"/>
            <w:szCs w:val="24"/>
            <w:lang w:eastAsia="en-GB"/>
          </w:rPr>
          <w:t>The Economics of Happiness</w:t>
        </w:r>
      </w:hyperlink>
      <w:r w:rsidRPr="008D7635">
        <w:rPr>
          <w:rFonts w:ascii="Times New Roman" w:eastAsia="Times New Roman" w:hAnsi="Times New Roman"/>
          <w:color w:val="000000"/>
          <w:sz w:val="24"/>
          <w:szCs w:val="24"/>
          <w:lang w:eastAsia="en-GB"/>
        </w:rPr>
        <w:t>.</w:t>
      </w:r>
      <w:proofErr w:type="gramEnd"/>
      <w:r w:rsidRPr="008D7635">
        <w:rPr>
          <w:rFonts w:ascii="Times New Roman" w:eastAsia="Times New Roman" w:hAnsi="Times New Roman"/>
          <w:color w:val="000000"/>
          <w:sz w:val="24"/>
          <w:szCs w:val="24"/>
          <w:lang w:eastAsia="en-GB"/>
        </w:rPr>
        <w:t xml:space="preserve"> </w:t>
      </w:r>
      <w:r w:rsidRPr="008D7635">
        <w:rPr>
          <w:rFonts w:ascii="Times New Roman" w:eastAsia="Times New Roman" w:hAnsi="Times New Roman"/>
          <w:color w:val="333333"/>
          <w:sz w:val="24"/>
          <w:szCs w:val="24"/>
          <w:lang w:eastAsia="en-GB"/>
        </w:rPr>
        <w:t>World Economics, Economic &amp; Financial Publishing, PO Box 69, Henley-on-Thames, Oxfordshire, United Kingdom, RG9 1GB, vol. 3(1), pages 25-41, January</w:t>
      </w:r>
    </w:p>
    <w:p w14:paraId="520A8D9F" w14:textId="77777777" w:rsidR="00555D77" w:rsidRPr="008D7635" w:rsidRDefault="00555D77" w:rsidP="00CB3533">
      <w:pPr>
        <w:spacing w:after="0" w:line="240" w:lineRule="auto"/>
        <w:ind w:left="720" w:hanging="720"/>
        <w:jc w:val="both"/>
        <w:rPr>
          <w:rFonts w:ascii="Times New Roman" w:eastAsia="Times New Roman" w:hAnsi="Times New Roman"/>
          <w:color w:val="000000"/>
          <w:sz w:val="24"/>
          <w:szCs w:val="24"/>
          <w:lang w:val="fr-FR" w:eastAsia="en-GB"/>
        </w:rPr>
      </w:pPr>
      <w:proofErr w:type="spellStart"/>
      <w:r w:rsidRPr="008D7635">
        <w:rPr>
          <w:rFonts w:ascii="Times New Roman" w:eastAsia="Times New Roman" w:hAnsi="Times New Roman"/>
          <w:color w:val="000000"/>
          <w:sz w:val="24"/>
          <w:szCs w:val="24"/>
          <w:lang w:val="fr-FR" w:eastAsia="en-GB"/>
        </w:rPr>
        <w:t>Gadrey</w:t>
      </w:r>
      <w:proofErr w:type="spellEnd"/>
      <w:r w:rsidRPr="008D7635">
        <w:rPr>
          <w:rFonts w:ascii="Times New Roman" w:eastAsia="Times New Roman" w:hAnsi="Times New Roman"/>
          <w:color w:val="000000"/>
          <w:sz w:val="24"/>
          <w:szCs w:val="24"/>
          <w:lang w:val="fr-FR" w:eastAsia="en-GB"/>
        </w:rPr>
        <w:t xml:space="preserve">, J., </w:t>
      </w:r>
      <w:proofErr w:type="spellStart"/>
      <w:r w:rsidRPr="008D7635">
        <w:rPr>
          <w:rFonts w:ascii="Times New Roman" w:eastAsia="Times New Roman" w:hAnsi="Times New Roman"/>
          <w:color w:val="000000"/>
          <w:sz w:val="24"/>
          <w:szCs w:val="24"/>
          <w:lang w:val="fr-FR" w:eastAsia="en-GB"/>
        </w:rPr>
        <w:t>Jany-Catrice</w:t>
      </w:r>
      <w:proofErr w:type="spellEnd"/>
      <w:r w:rsidRPr="008D7635">
        <w:rPr>
          <w:rFonts w:ascii="Times New Roman" w:eastAsia="Times New Roman" w:hAnsi="Times New Roman"/>
          <w:color w:val="000000"/>
          <w:sz w:val="24"/>
          <w:szCs w:val="24"/>
          <w:lang w:val="fr-FR" w:eastAsia="en-GB"/>
        </w:rPr>
        <w:t xml:space="preserve">, F. (2007). </w:t>
      </w:r>
      <w:r w:rsidRPr="008D7635">
        <w:rPr>
          <w:rFonts w:ascii="Times New Roman" w:eastAsia="Times New Roman" w:hAnsi="Times New Roman"/>
          <w:iCs/>
          <w:color w:val="000000"/>
          <w:sz w:val="24"/>
          <w:szCs w:val="24"/>
          <w:lang w:val="fr-FR" w:eastAsia="en-GB"/>
        </w:rPr>
        <w:t>Les nouveaux indicateurs de richesse</w:t>
      </w:r>
      <w:r w:rsidRPr="008D7635">
        <w:rPr>
          <w:rFonts w:ascii="Times New Roman" w:eastAsia="Times New Roman" w:hAnsi="Times New Roman"/>
          <w:color w:val="000000"/>
          <w:sz w:val="24"/>
          <w:szCs w:val="24"/>
          <w:lang w:val="fr-FR" w:eastAsia="en-GB"/>
        </w:rPr>
        <w:t>, 2nd Edition, Repères-La Découverte.</w:t>
      </w:r>
    </w:p>
    <w:p w14:paraId="79E7DE48" w14:textId="77777777" w:rsidR="0071353F" w:rsidRPr="008D7635" w:rsidRDefault="0071353F" w:rsidP="00CB3533">
      <w:pPr>
        <w:autoSpaceDE w:val="0"/>
        <w:autoSpaceDN w:val="0"/>
        <w:adjustRightInd w:val="0"/>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Huppert, F. (2008). </w:t>
      </w:r>
      <w:r w:rsidRPr="008D7635">
        <w:rPr>
          <w:rFonts w:ascii="Times New Roman" w:eastAsia="Times New Roman" w:hAnsi="Times New Roman"/>
          <w:i/>
          <w:iCs/>
          <w:sz w:val="24"/>
          <w:szCs w:val="24"/>
          <w:lang w:eastAsia="en-GB"/>
        </w:rPr>
        <w:t>Psychological well-being: evidence regarding its causes and its consequences.</w:t>
      </w:r>
      <w:r w:rsidRPr="008D7635">
        <w:rPr>
          <w:rFonts w:ascii="Times New Roman" w:eastAsia="Times New Roman" w:hAnsi="Times New Roman"/>
          <w:iCs/>
          <w:sz w:val="24"/>
          <w:szCs w:val="24"/>
          <w:lang w:eastAsia="en-GB"/>
        </w:rPr>
        <w:t xml:space="preserve"> </w:t>
      </w:r>
      <w:r w:rsidRPr="008D7635">
        <w:rPr>
          <w:rFonts w:ascii="Times New Roman" w:eastAsia="Times New Roman" w:hAnsi="Times New Roman"/>
          <w:sz w:val="24"/>
          <w:szCs w:val="24"/>
          <w:lang w:eastAsia="en-GB"/>
        </w:rPr>
        <w:t>London: Foresight Mental Capital and Wellbeing Project 2008.</w:t>
      </w:r>
    </w:p>
    <w:p w14:paraId="4F4761F9" w14:textId="77777777" w:rsidR="00B314A6" w:rsidRPr="008D7635" w:rsidRDefault="00B314A6" w:rsidP="00CB3533">
      <w:pPr>
        <w:autoSpaceDE w:val="0"/>
        <w:autoSpaceDN w:val="0"/>
        <w:adjustRightInd w:val="0"/>
        <w:spacing w:after="0" w:line="240" w:lineRule="auto"/>
        <w:ind w:left="720" w:hanging="720"/>
        <w:jc w:val="both"/>
        <w:rPr>
          <w:rFonts w:ascii="Times New Roman" w:eastAsia="Times New Roman" w:hAnsi="Times New Roman"/>
          <w:sz w:val="24"/>
          <w:szCs w:val="24"/>
          <w:lang w:val="it-IT" w:eastAsia="en-GB"/>
        </w:rPr>
      </w:pPr>
      <w:r w:rsidRPr="008D7635">
        <w:rPr>
          <w:rFonts w:ascii="Times New Roman" w:eastAsia="Arial Unicode MS" w:hAnsi="Times New Roman"/>
          <w:sz w:val="24"/>
          <w:szCs w:val="24"/>
          <w:lang w:val="it-IT"/>
        </w:rPr>
        <w:t xml:space="preserve">IFOAM website: www.ifoam.org </w:t>
      </w:r>
    </w:p>
    <w:p w14:paraId="00866401"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color w:val="000000"/>
          <w:sz w:val="24"/>
          <w:szCs w:val="24"/>
          <w:lang w:val="it-IT" w:eastAsia="en-GB"/>
        </w:rPr>
        <w:t>Ivanova, I., A</w:t>
      </w:r>
      <w:r w:rsidR="007172C2" w:rsidRPr="008D7635">
        <w:rPr>
          <w:rFonts w:ascii="Times New Roman" w:eastAsia="Times New Roman" w:hAnsi="Times New Roman"/>
          <w:color w:val="000000"/>
          <w:sz w:val="24"/>
          <w:szCs w:val="24"/>
          <w:lang w:val="it-IT" w:eastAsia="en-GB"/>
        </w:rPr>
        <w:t>rcelus, F., J., Srinivasan, G. (</w:t>
      </w:r>
      <w:r w:rsidR="007C5C42" w:rsidRPr="008D7635">
        <w:rPr>
          <w:rFonts w:ascii="Times New Roman" w:eastAsia="Times New Roman" w:hAnsi="Times New Roman"/>
          <w:color w:val="000000"/>
          <w:sz w:val="24"/>
          <w:szCs w:val="24"/>
          <w:lang w:val="it-IT" w:eastAsia="en-GB"/>
        </w:rPr>
        <w:t>1999</w:t>
      </w:r>
      <w:r w:rsidR="007172C2" w:rsidRPr="008D7635">
        <w:rPr>
          <w:rFonts w:ascii="Times New Roman" w:eastAsia="Times New Roman" w:hAnsi="Times New Roman"/>
          <w:color w:val="000000"/>
          <w:sz w:val="24"/>
          <w:szCs w:val="24"/>
          <w:lang w:val="it-IT" w:eastAsia="en-GB"/>
        </w:rPr>
        <w:t>)</w:t>
      </w:r>
      <w:r w:rsidRPr="008D7635">
        <w:rPr>
          <w:rFonts w:ascii="Times New Roman" w:eastAsia="Times New Roman" w:hAnsi="Times New Roman"/>
          <w:color w:val="000000"/>
          <w:sz w:val="24"/>
          <w:szCs w:val="24"/>
          <w:lang w:val="it-IT" w:eastAsia="en-GB"/>
        </w:rPr>
        <w:t xml:space="preserve">. </w:t>
      </w:r>
      <w:proofErr w:type="gramStart"/>
      <w:r w:rsidR="007172C2" w:rsidRPr="008D7635">
        <w:rPr>
          <w:rFonts w:ascii="Times New Roman" w:eastAsia="Times New Roman" w:hAnsi="Times New Roman"/>
          <w:color w:val="000000"/>
          <w:sz w:val="24"/>
          <w:szCs w:val="24"/>
          <w:lang w:eastAsia="en-GB"/>
        </w:rPr>
        <w:t>‘</w:t>
      </w:r>
      <w:r w:rsidRPr="008D7635">
        <w:rPr>
          <w:rFonts w:ascii="Times New Roman" w:eastAsia="Times New Roman" w:hAnsi="Times New Roman"/>
          <w:color w:val="000000"/>
          <w:sz w:val="24"/>
          <w:szCs w:val="24"/>
          <w:lang w:eastAsia="en-GB"/>
        </w:rPr>
        <w:t>An assessment of the measurement properties of the human development index</w:t>
      </w:r>
      <w:r w:rsidR="007172C2" w:rsidRPr="008D7635">
        <w:rPr>
          <w:rFonts w:ascii="Times New Roman" w:eastAsia="Times New Roman" w:hAnsi="Times New Roman"/>
          <w:color w:val="000000"/>
          <w:sz w:val="24"/>
          <w:szCs w:val="24"/>
          <w:lang w:eastAsia="en-GB"/>
        </w:rPr>
        <w:t>’</w:t>
      </w:r>
      <w:r w:rsidRPr="008D7635">
        <w:rPr>
          <w:rFonts w:ascii="Times New Roman" w:eastAsia="Times New Roman" w:hAnsi="Times New Roman"/>
          <w:color w:val="000000"/>
          <w:sz w:val="24"/>
          <w:szCs w:val="24"/>
          <w:lang w:eastAsia="en-GB"/>
        </w:rPr>
        <w:t>.</w:t>
      </w:r>
      <w:proofErr w:type="gramEnd"/>
      <w:r w:rsidRPr="008D7635">
        <w:rPr>
          <w:rFonts w:ascii="Times New Roman" w:eastAsia="Times New Roman" w:hAnsi="Times New Roman"/>
          <w:color w:val="000000"/>
          <w:sz w:val="24"/>
          <w:szCs w:val="24"/>
          <w:lang w:eastAsia="en-GB"/>
        </w:rPr>
        <w:t xml:space="preserve"> </w:t>
      </w:r>
      <w:r w:rsidRPr="008D7635">
        <w:rPr>
          <w:rFonts w:ascii="Times New Roman" w:eastAsia="Times New Roman" w:hAnsi="Times New Roman"/>
          <w:i/>
          <w:color w:val="000000"/>
          <w:sz w:val="24"/>
          <w:szCs w:val="24"/>
          <w:lang w:eastAsia="en-GB"/>
        </w:rPr>
        <w:t>Social Indicators Research</w:t>
      </w:r>
      <w:r w:rsidR="007172C2" w:rsidRPr="008D7635">
        <w:rPr>
          <w:rFonts w:ascii="Times New Roman" w:eastAsia="Times New Roman" w:hAnsi="Times New Roman"/>
          <w:color w:val="000000"/>
          <w:sz w:val="24"/>
          <w:szCs w:val="24"/>
          <w:lang w:eastAsia="en-GB"/>
        </w:rPr>
        <w:t xml:space="preserve"> 46(2):</w:t>
      </w:r>
      <w:r w:rsidRPr="008D7635">
        <w:rPr>
          <w:rFonts w:ascii="Times New Roman" w:eastAsia="Times New Roman" w:hAnsi="Times New Roman"/>
          <w:color w:val="000000"/>
          <w:sz w:val="24"/>
          <w:szCs w:val="24"/>
          <w:lang w:eastAsia="en-GB"/>
        </w:rPr>
        <w:t xml:space="preserve"> 157-179</w:t>
      </w:r>
    </w:p>
    <w:p w14:paraId="3EB725F9"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eastAsia="en-GB"/>
        </w:rPr>
        <w:t>Jackson, T., McBride, N.</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2005</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sz w:val="24"/>
          <w:szCs w:val="24"/>
          <w:lang w:eastAsia="en-GB"/>
        </w:rPr>
        <w:t>Measuring Progress? A review of 'adjusted' measures of economic welfare in Europe</w:t>
      </w:r>
      <w:r w:rsidR="00B314A6" w:rsidRPr="008D7635">
        <w:rPr>
          <w:rFonts w:ascii="Times New Roman" w:eastAsia="Times New Roman" w:hAnsi="Times New Roman"/>
          <w:sz w:val="24"/>
          <w:szCs w:val="24"/>
          <w:lang w:eastAsia="en-GB"/>
        </w:rPr>
        <w:t>, 11</w:t>
      </w:r>
      <w:r w:rsidR="00B314A6" w:rsidRPr="008D7635">
        <w:rPr>
          <w:rFonts w:ascii="Times New Roman" w:eastAsia="Times New Roman" w:hAnsi="Times New Roman"/>
          <w:sz w:val="24"/>
          <w:szCs w:val="24"/>
          <w:vertAlign w:val="superscript"/>
          <w:lang w:eastAsia="en-GB"/>
        </w:rPr>
        <w:t>th</w:t>
      </w:r>
      <w:r w:rsidR="00B314A6" w:rsidRPr="008D7635">
        <w:rPr>
          <w:rFonts w:ascii="Times New Roman" w:eastAsia="Times New Roman" w:hAnsi="Times New Roman"/>
          <w:sz w:val="24"/>
          <w:szCs w:val="24"/>
          <w:lang w:eastAsia="en-GB"/>
        </w:rPr>
        <w:t xml:space="preserve"> July 2005, prepared for the EEA</w:t>
      </w:r>
    </w:p>
    <w:p w14:paraId="1338905C" w14:textId="77777777" w:rsidR="0071353F" w:rsidRPr="008D7635" w:rsidRDefault="0071353F"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Jackson, R.A. (2007). </w:t>
      </w:r>
      <w:proofErr w:type="spellStart"/>
      <w:r w:rsidRPr="008D7635">
        <w:rPr>
          <w:rFonts w:ascii="Times New Roman" w:eastAsia="Times New Roman" w:hAnsi="Times New Roman"/>
          <w:sz w:val="24"/>
          <w:szCs w:val="24"/>
          <w:lang w:eastAsia="en-GB"/>
        </w:rPr>
        <w:t>Aristotele</w:t>
      </w:r>
      <w:proofErr w:type="spellEnd"/>
      <w:r w:rsidRPr="008D7635">
        <w:rPr>
          <w:rFonts w:ascii="Times New Roman" w:eastAsia="Times New Roman" w:hAnsi="Times New Roman"/>
          <w:sz w:val="24"/>
          <w:szCs w:val="24"/>
          <w:lang w:eastAsia="en-GB"/>
        </w:rPr>
        <w:t xml:space="preserve"> on what it means to be happy. </w:t>
      </w:r>
      <w:r w:rsidRPr="008D7635">
        <w:rPr>
          <w:rFonts w:ascii="Times New Roman" w:eastAsia="Times New Roman" w:hAnsi="Times New Roman"/>
          <w:i/>
          <w:sz w:val="24"/>
          <w:szCs w:val="24"/>
          <w:lang w:eastAsia="en-GB"/>
        </w:rPr>
        <w:t xml:space="preserve">Richmond Journal of Philosophy </w:t>
      </w:r>
      <w:r w:rsidRPr="008D7635">
        <w:rPr>
          <w:rFonts w:ascii="Times New Roman" w:eastAsia="Times New Roman" w:hAnsi="Times New Roman"/>
          <w:sz w:val="24"/>
          <w:szCs w:val="24"/>
          <w:lang w:eastAsia="en-GB"/>
        </w:rPr>
        <w:t xml:space="preserve">16, 1-8 </w:t>
      </w:r>
    </w:p>
    <w:p w14:paraId="7C06E2A0" w14:textId="77777777" w:rsidR="0071353F" w:rsidRPr="008D7635" w:rsidRDefault="0071353F" w:rsidP="00CB3533">
      <w:pPr>
        <w:spacing w:after="0" w:line="240" w:lineRule="auto"/>
        <w:ind w:left="720" w:hanging="720"/>
        <w:jc w:val="both"/>
        <w:rPr>
          <w:rFonts w:ascii="Times New Roman" w:eastAsia="Times New Roman" w:hAnsi="Times New Roman"/>
          <w:sz w:val="24"/>
          <w:szCs w:val="24"/>
          <w:lang w:val="en" w:eastAsia="en-GB"/>
        </w:rPr>
      </w:pPr>
      <w:r w:rsidRPr="008D7635">
        <w:rPr>
          <w:rFonts w:ascii="Times New Roman" w:eastAsia="Times New Roman" w:hAnsi="Times New Roman"/>
          <w:sz w:val="24"/>
          <w:szCs w:val="24"/>
          <w:lang w:val="de-DE" w:eastAsia="en-GB"/>
        </w:rPr>
        <w:t xml:space="preserve">Kahneman, D., Diener, E., &amp; Schwarz, N. (Eds.)., (1999). </w:t>
      </w:r>
      <w:r w:rsidRPr="008D7635">
        <w:rPr>
          <w:rFonts w:ascii="Times New Roman" w:eastAsia="Times New Roman" w:hAnsi="Times New Roman"/>
          <w:i/>
          <w:iCs/>
          <w:sz w:val="24"/>
          <w:szCs w:val="24"/>
          <w:lang w:val="en" w:eastAsia="en-GB"/>
        </w:rPr>
        <w:t>Well-being: The foundations of hedonic psychology</w:t>
      </w:r>
      <w:r w:rsidRPr="008D7635">
        <w:rPr>
          <w:rFonts w:ascii="Times New Roman" w:eastAsia="Times New Roman" w:hAnsi="Times New Roman"/>
          <w:sz w:val="24"/>
          <w:szCs w:val="24"/>
          <w:lang w:val="en" w:eastAsia="en-GB"/>
        </w:rPr>
        <w:t>. New York: Russell Sage Foundation.</w:t>
      </w:r>
    </w:p>
    <w:p w14:paraId="2F30FFB9"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val="fr-FR" w:eastAsia="en-GB"/>
        </w:rPr>
      </w:pPr>
      <w:proofErr w:type="spellStart"/>
      <w:r w:rsidRPr="008D7635">
        <w:rPr>
          <w:rFonts w:ascii="Times New Roman" w:eastAsia="Times New Roman" w:hAnsi="Times New Roman"/>
          <w:sz w:val="24"/>
          <w:szCs w:val="24"/>
          <w:lang w:eastAsia="en-GB"/>
        </w:rPr>
        <w:t>Kahneman</w:t>
      </w:r>
      <w:proofErr w:type="spellEnd"/>
      <w:r w:rsidRPr="008D7635">
        <w:rPr>
          <w:rFonts w:ascii="Times New Roman" w:eastAsia="Times New Roman" w:hAnsi="Times New Roman"/>
          <w:sz w:val="24"/>
          <w:szCs w:val="24"/>
          <w:lang w:eastAsia="en-GB"/>
        </w:rPr>
        <w:t xml:space="preserve">, D., Krueger, A., </w:t>
      </w:r>
      <w:proofErr w:type="spellStart"/>
      <w:r w:rsidRPr="008D7635">
        <w:rPr>
          <w:rFonts w:ascii="Times New Roman" w:eastAsia="Times New Roman" w:hAnsi="Times New Roman"/>
          <w:sz w:val="24"/>
          <w:szCs w:val="24"/>
          <w:lang w:eastAsia="en-GB"/>
        </w:rPr>
        <w:t>Schk</w:t>
      </w:r>
      <w:r w:rsidR="007172C2" w:rsidRPr="008D7635">
        <w:rPr>
          <w:rFonts w:ascii="Times New Roman" w:eastAsia="Times New Roman" w:hAnsi="Times New Roman"/>
          <w:sz w:val="24"/>
          <w:szCs w:val="24"/>
          <w:lang w:eastAsia="en-GB"/>
        </w:rPr>
        <w:t>ade</w:t>
      </w:r>
      <w:proofErr w:type="spellEnd"/>
      <w:r w:rsidR="007172C2" w:rsidRPr="008D7635">
        <w:rPr>
          <w:rFonts w:ascii="Times New Roman" w:eastAsia="Times New Roman" w:hAnsi="Times New Roman"/>
          <w:sz w:val="24"/>
          <w:szCs w:val="24"/>
          <w:lang w:eastAsia="en-GB"/>
        </w:rPr>
        <w:t>, D., Schwarz, N., Stone, A.</w:t>
      </w:r>
      <w:r w:rsidRPr="008D7635">
        <w:rPr>
          <w:rFonts w:ascii="Times New Roman" w:eastAsia="Times New Roman" w:hAnsi="Times New Roman"/>
          <w:sz w:val="24"/>
          <w:szCs w:val="24"/>
          <w:lang w:eastAsia="en-GB"/>
        </w:rPr>
        <w:t xml:space="preserve">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2004</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A survey method for characterizing daily life experiences: The day reconstruction method</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iCs/>
          <w:sz w:val="24"/>
          <w:szCs w:val="24"/>
          <w:lang w:val="fr-FR" w:eastAsia="en-GB"/>
        </w:rPr>
        <w:t>Science</w:t>
      </w:r>
      <w:r w:rsidRPr="008D7635">
        <w:rPr>
          <w:rFonts w:ascii="Times New Roman" w:eastAsia="Times New Roman" w:hAnsi="Times New Roman"/>
          <w:iCs/>
          <w:sz w:val="24"/>
          <w:szCs w:val="24"/>
          <w:lang w:val="fr-FR" w:eastAsia="en-GB"/>
        </w:rPr>
        <w:t xml:space="preserve"> 306</w:t>
      </w:r>
      <w:r w:rsidR="007172C2" w:rsidRPr="008D7635">
        <w:rPr>
          <w:rFonts w:ascii="Times New Roman" w:eastAsia="Times New Roman" w:hAnsi="Times New Roman"/>
          <w:iCs/>
          <w:sz w:val="24"/>
          <w:szCs w:val="24"/>
          <w:lang w:val="fr-FR" w:eastAsia="en-GB"/>
        </w:rPr>
        <w:t> </w:t>
      </w:r>
      <w:r w:rsidR="007172C2" w:rsidRPr="008D7635">
        <w:rPr>
          <w:rFonts w:ascii="Times New Roman" w:eastAsia="Times New Roman" w:hAnsi="Times New Roman"/>
          <w:sz w:val="24"/>
          <w:szCs w:val="24"/>
          <w:lang w:val="fr-FR" w:eastAsia="en-GB"/>
        </w:rPr>
        <w:t>:</w:t>
      </w:r>
      <w:r w:rsidRPr="008D7635">
        <w:rPr>
          <w:rFonts w:ascii="Times New Roman" w:eastAsia="Times New Roman" w:hAnsi="Times New Roman"/>
          <w:sz w:val="24"/>
          <w:szCs w:val="24"/>
          <w:lang w:val="fr-FR" w:eastAsia="en-GB"/>
        </w:rPr>
        <w:t xml:space="preserve"> 1776-1780</w:t>
      </w:r>
    </w:p>
    <w:p w14:paraId="05CF2FC2" w14:textId="77777777" w:rsidR="00555D77" w:rsidRPr="008D7635" w:rsidRDefault="00555D77"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val="fr-FR" w:eastAsia="en-GB"/>
        </w:rPr>
        <w:t>Kahneman</w:t>
      </w:r>
      <w:proofErr w:type="spellEnd"/>
      <w:r w:rsidRPr="008D7635">
        <w:rPr>
          <w:rFonts w:ascii="Times New Roman" w:eastAsia="Times New Roman" w:hAnsi="Times New Roman"/>
          <w:sz w:val="24"/>
          <w:szCs w:val="24"/>
          <w:lang w:val="fr-FR" w:eastAsia="en-GB"/>
        </w:rPr>
        <w:t xml:space="preserve">, D., </w:t>
      </w:r>
      <w:proofErr w:type="spellStart"/>
      <w:r w:rsidRPr="008D7635">
        <w:rPr>
          <w:rFonts w:ascii="Times New Roman" w:eastAsia="Times New Roman" w:hAnsi="Times New Roman"/>
          <w:sz w:val="24"/>
          <w:szCs w:val="24"/>
          <w:lang w:val="fr-FR" w:eastAsia="en-GB"/>
        </w:rPr>
        <w:t>Krueger</w:t>
      </w:r>
      <w:proofErr w:type="spellEnd"/>
      <w:r w:rsidRPr="008D7635">
        <w:rPr>
          <w:rFonts w:ascii="Times New Roman" w:eastAsia="Times New Roman" w:hAnsi="Times New Roman"/>
          <w:sz w:val="24"/>
          <w:szCs w:val="24"/>
          <w:lang w:val="fr-FR" w:eastAsia="en-GB"/>
        </w:rPr>
        <w:t xml:space="preserve">, A.B. (2006). </w:t>
      </w:r>
      <w:proofErr w:type="gramStart"/>
      <w:r w:rsidRPr="008D7635">
        <w:rPr>
          <w:rFonts w:ascii="Times New Roman" w:eastAsia="Times New Roman" w:hAnsi="Times New Roman"/>
          <w:sz w:val="24"/>
          <w:szCs w:val="24"/>
          <w:lang w:eastAsia="en-GB"/>
        </w:rPr>
        <w:t>Developments in the Measurement of Subjective Well-being.</w:t>
      </w:r>
      <w:proofErr w:type="gramEnd"/>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Journal of Economic perspective</w:t>
      </w:r>
      <w:r w:rsidRPr="008D7635">
        <w:rPr>
          <w:rFonts w:ascii="Times New Roman" w:eastAsia="Times New Roman" w:hAnsi="Times New Roman"/>
          <w:sz w:val="24"/>
          <w:szCs w:val="24"/>
          <w:lang w:eastAsia="en-GB"/>
        </w:rPr>
        <w:t xml:space="preserve"> 20(1), 3-24</w:t>
      </w:r>
    </w:p>
    <w:p w14:paraId="7867C6E4" w14:textId="77777777" w:rsidR="00B314A6" w:rsidRPr="008D7635" w:rsidRDefault="008D7635" w:rsidP="00CB3533">
      <w:pPr>
        <w:spacing w:after="0" w:line="240" w:lineRule="auto"/>
        <w:ind w:left="720" w:hanging="720"/>
        <w:jc w:val="both"/>
        <w:rPr>
          <w:rFonts w:ascii="Times New Roman" w:eastAsia="Times New Roman" w:hAnsi="Times New Roman"/>
          <w:sz w:val="24"/>
          <w:szCs w:val="24"/>
          <w:lang w:eastAsia="en-GB"/>
        </w:rPr>
      </w:pPr>
      <w:hyperlink r:id="rId16" w:anchor="bbib27" w:history="1">
        <w:r w:rsidR="00B314A6" w:rsidRPr="008D7635">
          <w:rPr>
            <w:rFonts w:ascii="Times New Roman" w:eastAsia="Times New Roman" w:hAnsi="Times New Roman"/>
            <w:color w:val="000000"/>
            <w:sz w:val="24"/>
            <w:szCs w:val="24"/>
            <w:lang w:val="en-US" w:eastAsia="en-GB"/>
          </w:rPr>
          <w:t>Martinez-</w:t>
        </w:r>
        <w:proofErr w:type="spellStart"/>
        <w:r w:rsidR="00B314A6" w:rsidRPr="008D7635">
          <w:rPr>
            <w:rFonts w:ascii="Times New Roman" w:eastAsia="Times New Roman" w:hAnsi="Times New Roman"/>
            <w:color w:val="000000"/>
            <w:sz w:val="24"/>
            <w:szCs w:val="24"/>
            <w:lang w:val="en-US" w:eastAsia="en-GB"/>
          </w:rPr>
          <w:t>Alier</w:t>
        </w:r>
        <w:proofErr w:type="spellEnd"/>
      </w:hyperlink>
      <w:r w:rsidR="007172C2" w:rsidRPr="008D7635">
        <w:rPr>
          <w:rFonts w:ascii="Times New Roman" w:eastAsia="Times New Roman" w:hAnsi="Times New Roman"/>
          <w:sz w:val="24"/>
          <w:szCs w:val="24"/>
          <w:lang w:val="en-US" w:eastAsia="en-GB"/>
        </w:rPr>
        <w:t xml:space="preserve">, J., </w:t>
      </w:r>
      <w:proofErr w:type="spellStart"/>
      <w:r w:rsidR="007172C2" w:rsidRPr="008D7635">
        <w:rPr>
          <w:rFonts w:ascii="Times New Roman" w:eastAsia="Times New Roman" w:hAnsi="Times New Roman"/>
          <w:sz w:val="24"/>
          <w:szCs w:val="24"/>
          <w:lang w:val="en-US" w:eastAsia="en-GB"/>
        </w:rPr>
        <w:t>Munda</w:t>
      </w:r>
      <w:proofErr w:type="spellEnd"/>
      <w:r w:rsidR="007172C2" w:rsidRPr="008D7635">
        <w:rPr>
          <w:rFonts w:ascii="Times New Roman" w:eastAsia="Times New Roman" w:hAnsi="Times New Roman"/>
          <w:sz w:val="24"/>
          <w:szCs w:val="24"/>
          <w:lang w:val="en-US" w:eastAsia="en-GB"/>
        </w:rPr>
        <w:t>, G. and O'Neill, J.</w:t>
      </w:r>
      <w:r w:rsidR="00B314A6" w:rsidRPr="008D7635">
        <w:rPr>
          <w:rFonts w:ascii="Times New Roman" w:eastAsia="Times New Roman" w:hAnsi="Times New Roman"/>
          <w:sz w:val="24"/>
          <w:szCs w:val="24"/>
          <w:lang w:val="en-US" w:eastAsia="en-GB"/>
        </w:rPr>
        <w:t xml:space="preserve"> </w:t>
      </w:r>
      <w:r w:rsidR="007172C2" w:rsidRPr="008D7635">
        <w:rPr>
          <w:rFonts w:ascii="Times New Roman" w:eastAsia="Times New Roman" w:hAnsi="Times New Roman"/>
          <w:sz w:val="24"/>
          <w:szCs w:val="24"/>
          <w:lang w:val="en-US" w:eastAsia="en-GB"/>
        </w:rPr>
        <w:t>(</w:t>
      </w:r>
      <w:r w:rsidR="00B314A6" w:rsidRPr="008D7635">
        <w:rPr>
          <w:rFonts w:ascii="Times New Roman" w:eastAsia="Times New Roman" w:hAnsi="Times New Roman"/>
          <w:sz w:val="24"/>
          <w:szCs w:val="24"/>
          <w:lang w:val="en-US" w:eastAsia="en-GB"/>
        </w:rPr>
        <w:t>1998</w:t>
      </w:r>
      <w:r w:rsidR="007172C2" w:rsidRPr="008D7635">
        <w:rPr>
          <w:rFonts w:ascii="Times New Roman" w:eastAsia="Times New Roman" w:hAnsi="Times New Roman"/>
          <w:sz w:val="24"/>
          <w:szCs w:val="24"/>
          <w:lang w:val="en-US" w:eastAsia="en-GB"/>
        </w:rPr>
        <w:t>)</w:t>
      </w:r>
      <w:r w:rsidR="00B314A6" w:rsidRPr="008D7635">
        <w:rPr>
          <w:rFonts w:ascii="Times New Roman" w:eastAsia="Times New Roman" w:hAnsi="Times New Roman"/>
          <w:sz w:val="24"/>
          <w:szCs w:val="24"/>
          <w:lang w:val="en-US" w:eastAsia="en-GB"/>
        </w:rPr>
        <w:t xml:space="preserve">. </w:t>
      </w:r>
      <w:proofErr w:type="gramStart"/>
      <w:r w:rsidR="007172C2" w:rsidRPr="008D7635">
        <w:rPr>
          <w:rFonts w:ascii="Times New Roman" w:eastAsia="Times New Roman" w:hAnsi="Times New Roman"/>
          <w:sz w:val="24"/>
          <w:szCs w:val="24"/>
          <w:lang w:val="en-US" w:eastAsia="en-GB"/>
        </w:rPr>
        <w:t>‘</w:t>
      </w:r>
      <w:r w:rsidR="00B314A6" w:rsidRPr="008D7635">
        <w:rPr>
          <w:rFonts w:ascii="Times New Roman" w:eastAsia="Times New Roman" w:hAnsi="Times New Roman"/>
          <w:sz w:val="24"/>
          <w:szCs w:val="24"/>
          <w:lang w:eastAsia="en-GB"/>
        </w:rPr>
        <w:t>Weak comparability of values as a foundation for ecological economics</w:t>
      </w:r>
      <w:r w:rsidR="007172C2" w:rsidRPr="008D7635">
        <w:rPr>
          <w:rFonts w:ascii="Times New Roman" w:eastAsia="Times New Roman" w:hAnsi="Times New Roman"/>
          <w:sz w:val="24"/>
          <w:szCs w:val="24"/>
          <w:lang w:eastAsia="en-GB"/>
        </w:rPr>
        <w:t>’</w:t>
      </w:r>
      <w:r w:rsidR="00B314A6" w:rsidRPr="008D7635">
        <w:rPr>
          <w:rFonts w:ascii="Times New Roman" w:eastAsia="Times New Roman" w:hAnsi="Times New Roman"/>
          <w:i/>
          <w:sz w:val="24"/>
          <w:szCs w:val="24"/>
          <w:lang w:eastAsia="en-GB"/>
        </w:rPr>
        <w:t>.</w:t>
      </w:r>
      <w:proofErr w:type="gramEnd"/>
      <w:r w:rsidR="00B314A6" w:rsidRPr="008D7635">
        <w:rPr>
          <w:rFonts w:ascii="Times New Roman" w:eastAsia="Times New Roman" w:hAnsi="Times New Roman"/>
          <w:i/>
          <w:sz w:val="24"/>
          <w:szCs w:val="24"/>
          <w:lang w:eastAsia="en-GB"/>
        </w:rPr>
        <w:t xml:space="preserve"> Ecological Economics</w:t>
      </w:r>
      <w:r w:rsidR="007172C2" w:rsidRPr="008D7635">
        <w:rPr>
          <w:rFonts w:ascii="Times New Roman" w:eastAsia="Times New Roman" w:hAnsi="Times New Roman"/>
          <w:sz w:val="24"/>
          <w:szCs w:val="24"/>
          <w:lang w:eastAsia="en-GB"/>
        </w:rPr>
        <w:t xml:space="preserve"> 26:</w:t>
      </w:r>
      <w:r w:rsidR="00B314A6" w:rsidRPr="008D7635">
        <w:rPr>
          <w:rFonts w:ascii="Times New Roman" w:eastAsia="Times New Roman" w:hAnsi="Times New Roman"/>
          <w:sz w:val="24"/>
          <w:szCs w:val="24"/>
          <w:lang w:eastAsia="en-GB"/>
        </w:rPr>
        <w:t xml:space="preserve"> 277–286</w:t>
      </w:r>
    </w:p>
    <w:p w14:paraId="4046197B" w14:textId="77777777" w:rsidR="00555D77" w:rsidRPr="008D7635" w:rsidRDefault="00555D77"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Maslow, A.H. (1954). </w:t>
      </w:r>
      <w:proofErr w:type="gramStart"/>
      <w:r w:rsidRPr="008D7635">
        <w:rPr>
          <w:rFonts w:ascii="Times New Roman" w:eastAsia="Times New Roman" w:hAnsi="Times New Roman"/>
          <w:i/>
          <w:sz w:val="24"/>
          <w:szCs w:val="24"/>
          <w:lang w:eastAsia="en-GB"/>
        </w:rPr>
        <w:t>Motivation and Personality</w:t>
      </w:r>
      <w:r w:rsidRPr="008D7635">
        <w:rPr>
          <w:rFonts w:ascii="Times New Roman" w:eastAsia="Times New Roman" w:hAnsi="Times New Roman"/>
          <w:sz w:val="24"/>
          <w:szCs w:val="24"/>
          <w:lang w:eastAsia="en-GB"/>
        </w:rPr>
        <w:t>, New York, Harper and Row.</w:t>
      </w:r>
      <w:proofErr w:type="gramEnd"/>
    </w:p>
    <w:p w14:paraId="5C4C58E0"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McGillivray, M.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2007</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Human Well-being: Issues, Concepts and Measures. In M. McGillivray, ed. Human Well-Being: Concept and Measurement</w:t>
      </w:r>
      <w:r w:rsidRPr="008D7635">
        <w:rPr>
          <w:rFonts w:ascii="Times New Roman" w:eastAsia="Times New Roman" w:hAnsi="Times New Roman"/>
          <w:sz w:val="24"/>
          <w:szCs w:val="24"/>
          <w:lang w:eastAsia="en-GB"/>
        </w:rPr>
        <w:t>. Basingstoke, UK: Palgrave MacMillan</w:t>
      </w:r>
    </w:p>
    <w:p w14:paraId="77FA775E"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eastAsia="en-GB"/>
        </w:rPr>
        <w:t>McGillivray, M., Clarke, M.</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2006</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Human well-being: concepts and measures</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sz w:val="24"/>
          <w:szCs w:val="24"/>
          <w:lang w:eastAsia="en-GB"/>
        </w:rPr>
        <w:t xml:space="preserve">In Mark McGillivray and Matthew Clarke, eds. </w:t>
      </w:r>
      <w:r w:rsidR="00B314A6" w:rsidRPr="008D7635">
        <w:rPr>
          <w:rFonts w:ascii="Times New Roman" w:eastAsia="Times New Roman" w:hAnsi="Times New Roman"/>
          <w:i/>
          <w:sz w:val="24"/>
          <w:szCs w:val="24"/>
          <w:lang w:eastAsia="en-GB"/>
        </w:rPr>
        <w:t>Understanding Human Well-Being</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Basingstoke: Palgrave MacMillan.</w:t>
      </w:r>
    </w:p>
    <w:p w14:paraId="5EC243DD"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hAnsi="Times New Roman"/>
          <w:sz w:val="24"/>
          <w:szCs w:val="24"/>
          <w:lang w:val="en-US"/>
        </w:rPr>
        <w:t>Munda</w:t>
      </w:r>
      <w:proofErr w:type="spellEnd"/>
      <w:r w:rsidRPr="008D7635">
        <w:rPr>
          <w:rFonts w:ascii="Times New Roman" w:hAnsi="Times New Roman"/>
          <w:sz w:val="24"/>
          <w:szCs w:val="24"/>
          <w:lang w:val="en-US"/>
        </w:rPr>
        <w:t xml:space="preserve">, G. </w:t>
      </w:r>
      <w:r w:rsidR="007172C2" w:rsidRPr="008D7635">
        <w:rPr>
          <w:rFonts w:ascii="Times New Roman" w:hAnsi="Times New Roman"/>
          <w:sz w:val="24"/>
          <w:szCs w:val="24"/>
          <w:lang w:val="en-US"/>
        </w:rPr>
        <w:t>(</w:t>
      </w:r>
      <w:r w:rsidRPr="008D7635">
        <w:rPr>
          <w:rFonts w:ascii="Times New Roman" w:hAnsi="Times New Roman"/>
          <w:sz w:val="24"/>
          <w:szCs w:val="24"/>
          <w:lang w:val="en-US"/>
        </w:rPr>
        <w:t>2008</w:t>
      </w:r>
      <w:r w:rsidR="007172C2" w:rsidRPr="008D7635">
        <w:rPr>
          <w:rFonts w:ascii="Times New Roman" w:hAnsi="Times New Roman"/>
          <w:sz w:val="24"/>
          <w:szCs w:val="24"/>
          <w:lang w:val="en-US"/>
        </w:rPr>
        <w:t>)</w:t>
      </w:r>
      <w:r w:rsidRPr="008D7635">
        <w:rPr>
          <w:rFonts w:ascii="Times New Roman" w:hAnsi="Times New Roman"/>
          <w:sz w:val="24"/>
          <w:szCs w:val="24"/>
          <w:lang w:val="en-US"/>
        </w:rPr>
        <w:t xml:space="preserve">. </w:t>
      </w:r>
      <w:proofErr w:type="gramStart"/>
      <w:r w:rsidRPr="008D7635">
        <w:rPr>
          <w:rFonts w:ascii="Times New Roman" w:hAnsi="Times New Roman"/>
          <w:i/>
          <w:sz w:val="24"/>
          <w:szCs w:val="24"/>
          <w:lang w:val="en-US"/>
        </w:rPr>
        <w:t>Social multi-criteria evaluation for a sustainable economy</w:t>
      </w:r>
      <w:r w:rsidRPr="008D7635">
        <w:rPr>
          <w:rFonts w:ascii="Times New Roman" w:hAnsi="Times New Roman"/>
          <w:sz w:val="24"/>
          <w:szCs w:val="24"/>
          <w:lang w:val="en-US"/>
        </w:rPr>
        <w:t>.</w:t>
      </w:r>
      <w:proofErr w:type="gramEnd"/>
      <w:r w:rsidRPr="008D7635">
        <w:rPr>
          <w:rFonts w:ascii="Times New Roman" w:hAnsi="Times New Roman"/>
          <w:sz w:val="24"/>
          <w:szCs w:val="24"/>
          <w:lang w:val="en-US"/>
        </w:rPr>
        <w:t xml:space="preserve"> Berlin: Springer</w:t>
      </w:r>
    </w:p>
    <w:p w14:paraId="5DB252B8"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hAnsi="Times New Roman"/>
          <w:sz w:val="24"/>
          <w:szCs w:val="24"/>
          <w:shd w:val="clear" w:color="auto" w:fill="FFFFFF"/>
          <w:lang w:val="en-US"/>
        </w:rPr>
        <w:t>Munda</w:t>
      </w:r>
      <w:proofErr w:type="spellEnd"/>
      <w:r w:rsidRPr="008D7635">
        <w:rPr>
          <w:rFonts w:ascii="Times New Roman" w:hAnsi="Times New Roman"/>
          <w:sz w:val="24"/>
          <w:szCs w:val="24"/>
          <w:shd w:val="clear" w:color="auto" w:fill="FFFFFF"/>
          <w:lang w:val="en-US"/>
        </w:rPr>
        <w:t>, G.</w:t>
      </w:r>
      <w:r w:rsidR="00B314A6" w:rsidRPr="008D7635">
        <w:rPr>
          <w:rFonts w:ascii="Times New Roman" w:hAnsi="Times New Roman"/>
          <w:sz w:val="24"/>
          <w:szCs w:val="24"/>
          <w:shd w:val="clear" w:color="auto" w:fill="FFFFFF"/>
          <w:lang w:val="en-US"/>
        </w:rPr>
        <w:t xml:space="preserve"> </w:t>
      </w:r>
      <w:r w:rsidRPr="008D7635">
        <w:rPr>
          <w:rFonts w:ascii="Times New Roman" w:hAnsi="Times New Roman"/>
          <w:sz w:val="24"/>
          <w:szCs w:val="24"/>
          <w:shd w:val="clear" w:color="auto" w:fill="FFFFFF"/>
          <w:lang w:val="en-US"/>
        </w:rPr>
        <w:t>(</w:t>
      </w:r>
      <w:r w:rsidR="00B314A6" w:rsidRPr="008D7635">
        <w:rPr>
          <w:rFonts w:ascii="Times New Roman" w:hAnsi="Times New Roman"/>
          <w:sz w:val="24"/>
          <w:szCs w:val="24"/>
          <w:shd w:val="clear" w:color="auto" w:fill="FFFFFF"/>
          <w:lang w:val="en-US"/>
        </w:rPr>
        <w:t>2005</w:t>
      </w:r>
      <w:r w:rsidRPr="008D7635">
        <w:rPr>
          <w:rFonts w:ascii="Times New Roman" w:hAnsi="Times New Roman"/>
          <w:sz w:val="24"/>
          <w:szCs w:val="24"/>
          <w:shd w:val="clear" w:color="auto" w:fill="FFFFFF"/>
          <w:lang w:val="en-US"/>
        </w:rPr>
        <w:t>)</w:t>
      </w:r>
      <w:r w:rsidR="00B314A6" w:rsidRPr="008D7635">
        <w:rPr>
          <w:rFonts w:ascii="Times New Roman" w:hAnsi="Times New Roman"/>
          <w:sz w:val="24"/>
          <w:szCs w:val="24"/>
          <w:shd w:val="clear" w:color="auto" w:fill="FFFFFF"/>
          <w:lang w:val="en-US"/>
        </w:rPr>
        <w:t xml:space="preserve">. </w:t>
      </w:r>
      <w:r w:rsidRPr="008D7635">
        <w:rPr>
          <w:rFonts w:ascii="Times New Roman" w:hAnsi="Times New Roman"/>
          <w:sz w:val="24"/>
          <w:szCs w:val="24"/>
          <w:shd w:val="clear" w:color="auto" w:fill="FFFFFF"/>
          <w:lang w:val="en-US"/>
        </w:rPr>
        <w:t>‘</w:t>
      </w:r>
      <w:r w:rsidR="00B314A6" w:rsidRPr="008D7635">
        <w:rPr>
          <w:rFonts w:ascii="Times New Roman" w:hAnsi="Times New Roman"/>
          <w:sz w:val="24"/>
          <w:szCs w:val="24"/>
          <w:shd w:val="clear" w:color="auto" w:fill="FFFFFF"/>
          <w:lang w:val="en-US"/>
        </w:rPr>
        <w:t>Measuring sustainability: a multi-criterion framework</w:t>
      </w:r>
      <w:r w:rsidRPr="008D7635">
        <w:rPr>
          <w:rFonts w:ascii="Times New Roman" w:hAnsi="Times New Roman"/>
          <w:sz w:val="24"/>
          <w:szCs w:val="24"/>
          <w:shd w:val="clear" w:color="auto" w:fill="FFFFFF"/>
          <w:lang w:val="en-US"/>
        </w:rPr>
        <w:t>’</w:t>
      </w:r>
      <w:r w:rsidR="00B314A6" w:rsidRPr="008D7635">
        <w:rPr>
          <w:rFonts w:ascii="Times New Roman" w:hAnsi="Times New Roman"/>
          <w:sz w:val="24"/>
          <w:szCs w:val="24"/>
          <w:shd w:val="clear" w:color="auto" w:fill="FFFFFF"/>
          <w:lang w:val="en-US"/>
        </w:rPr>
        <w:t xml:space="preserve">. </w:t>
      </w:r>
      <w:r w:rsidR="00B314A6" w:rsidRPr="008D7635">
        <w:rPr>
          <w:rFonts w:ascii="Times New Roman" w:hAnsi="Times New Roman"/>
          <w:i/>
          <w:sz w:val="24"/>
          <w:szCs w:val="24"/>
          <w:shd w:val="clear" w:color="auto" w:fill="FFFFFF"/>
          <w:lang w:val="en-US"/>
        </w:rPr>
        <w:t xml:space="preserve">Environment, Development and Sustainability </w:t>
      </w:r>
      <w:r w:rsidRPr="008D7635">
        <w:rPr>
          <w:rFonts w:ascii="Times New Roman" w:hAnsi="Times New Roman"/>
          <w:sz w:val="24"/>
          <w:szCs w:val="24"/>
          <w:shd w:val="clear" w:color="auto" w:fill="FFFFFF"/>
          <w:lang w:val="en-US"/>
        </w:rPr>
        <w:t>7:</w:t>
      </w:r>
      <w:r w:rsidR="00B314A6" w:rsidRPr="008D7635">
        <w:rPr>
          <w:rFonts w:ascii="Times New Roman" w:hAnsi="Times New Roman"/>
          <w:sz w:val="24"/>
          <w:szCs w:val="24"/>
          <w:shd w:val="clear" w:color="auto" w:fill="FFFFFF"/>
          <w:lang w:val="en-US"/>
        </w:rPr>
        <w:t xml:space="preserve"> 117-134</w:t>
      </w:r>
    </w:p>
    <w:p w14:paraId="1D1C4A17"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val="it-IT" w:eastAsia="en-GB"/>
        </w:rPr>
      </w:pPr>
      <w:proofErr w:type="spellStart"/>
      <w:r w:rsidRPr="008D7635">
        <w:rPr>
          <w:rFonts w:ascii="Times New Roman" w:hAnsi="Times New Roman"/>
          <w:sz w:val="24"/>
          <w:szCs w:val="24"/>
          <w:lang w:val="en-US"/>
        </w:rPr>
        <w:t>Munda</w:t>
      </w:r>
      <w:proofErr w:type="spellEnd"/>
      <w:r w:rsidRPr="008D7635">
        <w:rPr>
          <w:rFonts w:ascii="Times New Roman" w:hAnsi="Times New Roman"/>
          <w:sz w:val="24"/>
          <w:szCs w:val="24"/>
          <w:lang w:val="en-US"/>
        </w:rPr>
        <w:t xml:space="preserve">, G., </w:t>
      </w:r>
      <w:proofErr w:type="spellStart"/>
      <w:r w:rsidRPr="008D7635">
        <w:rPr>
          <w:rFonts w:ascii="Times New Roman" w:hAnsi="Times New Roman"/>
          <w:sz w:val="24"/>
          <w:szCs w:val="24"/>
          <w:lang w:val="en-US"/>
        </w:rPr>
        <w:t>Nardo</w:t>
      </w:r>
      <w:proofErr w:type="spellEnd"/>
      <w:r w:rsidRPr="008D7635">
        <w:rPr>
          <w:rFonts w:ascii="Times New Roman" w:hAnsi="Times New Roman"/>
          <w:sz w:val="24"/>
          <w:szCs w:val="24"/>
          <w:lang w:val="en-US"/>
        </w:rPr>
        <w:t>, M.</w:t>
      </w:r>
      <w:r w:rsidR="00B314A6" w:rsidRPr="008D7635">
        <w:rPr>
          <w:rFonts w:ascii="Times New Roman" w:hAnsi="Times New Roman"/>
          <w:sz w:val="24"/>
          <w:szCs w:val="24"/>
          <w:lang w:val="en-US"/>
        </w:rPr>
        <w:t xml:space="preserve"> </w:t>
      </w:r>
      <w:r w:rsidRPr="008D7635">
        <w:rPr>
          <w:rFonts w:ascii="Times New Roman" w:hAnsi="Times New Roman"/>
          <w:sz w:val="24"/>
          <w:szCs w:val="24"/>
          <w:lang w:val="en-US"/>
        </w:rPr>
        <w:t>(</w:t>
      </w:r>
      <w:r w:rsidR="00B314A6" w:rsidRPr="008D7635">
        <w:rPr>
          <w:rFonts w:ascii="Times New Roman" w:hAnsi="Times New Roman"/>
          <w:sz w:val="24"/>
          <w:szCs w:val="24"/>
          <w:lang w:val="en-US"/>
        </w:rPr>
        <w:t>2009</w:t>
      </w:r>
      <w:r w:rsidRPr="008D7635">
        <w:rPr>
          <w:rFonts w:ascii="Times New Roman" w:hAnsi="Times New Roman"/>
          <w:sz w:val="24"/>
          <w:szCs w:val="24"/>
          <w:lang w:val="en-US"/>
        </w:rPr>
        <w:t>)</w:t>
      </w:r>
      <w:r w:rsidR="00B314A6" w:rsidRPr="008D7635">
        <w:rPr>
          <w:rFonts w:ascii="Times New Roman" w:hAnsi="Times New Roman"/>
          <w:sz w:val="24"/>
          <w:szCs w:val="24"/>
          <w:lang w:val="en-US"/>
        </w:rPr>
        <w:t>.</w:t>
      </w:r>
      <w:r w:rsidRPr="008D7635">
        <w:rPr>
          <w:rFonts w:ascii="Times New Roman" w:hAnsi="Times New Roman"/>
          <w:sz w:val="24"/>
          <w:szCs w:val="24"/>
          <w:lang w:val="en-US"/>
        </w:rPr>
        <w:t xml:space="preserve"> ‘</w:t>
      </w:r>
      <w:proofErr w:type="spellStart"/>
      <w:r w:rsidR="00B314A6" w:rsidRPr="008D7635">
        <w:rPr>
          <w:rFonts w:ascii="Times New Roman" w:hAnsi="Times New Roman"/>
          <w:sz w:val="24"/>
          <w:szCs w:val="24"/>
          <w:lang w:val="en-US"/>
        </w:rPr>
        <w:t>Noncompensatory</w:t>
      </w:r>
      <w:proofErr w:type="spellEnd"/>
      <w:r w:rsidR="00B314A6" w:rsidRPr="008D7635">
        <w:rPr>
          <w:rFonts w:ascii="Times New Roman" w:hAnsi="Times New Roman"/>
          <w:sz w:val="24"/>
          <w:szCs w:val="24"/>
          <w:lang w:val="en-US"/>
        </w:rPr>
        <w:t xml:space="preserve">/nonlinear composite indicators for ranking </w:t>
      </w:r>
      <w:proofErr w:type="spellStart"/>
      <w:r w:rsidR="00B314A6" w:rsidRPr="008D7635">
        <w:rPr>
          <w:rFonts w:ascii="Times New Roman" w:hAnsi="Times New Roman"/>
          <w:sz w:val="24"/>
          <w:szCs w:val="24"/>
          <w:lang w:val="en-US"/>
        </w:rPr>
        <w:t>countris</w:t>
      </w:r>
      <w:proofErr w:type="spellEnd"/>
      <w:r w:rsidR="00B314A6" w:rsidRPr="008D7635">
        <w:rPr>
          <w:rFonts w:ascii="Times New Roman" w:hAnsi="Times New Roman"/>
          <w:sz w:val="24"/>
          <w:szCs w:val="24"/>
          <w:lang w:val="en-US"/>
        </w:rPr>
        <w:t>: a defensible setting</w:t>
      </w:r>
      <w:r w:rsidRPr="008D7635">
        <w:rPr>
          <w:rFonts w:ascii="Times New Roman" w:hAnsi="Times New Roman"/>
          <w:sz w:val="24"/>
          <w:szCs w:val="24"/>
          <w:lang w:val="en-US"/>
        </w:rPr>
        <w:t>’</w:t>
      </w:r>
      <w:r w:rsidR="00B314A6" w:rsidRPr="008D7635">
        <w:rPr>
          <w:rFonts w:ascii="Times New Roman" w:hAnsi="Times New Roman"/>
          <w:sz w:val="24"/>
          <w:szCs w:val="24"/>
          <w:lang w:val="en-US"/>
        </w:rPr>
        <w:t xml:space="preserve">. </w:t>
      </w:r>
      <w:r w:rsidR="00B314A6" w:rsidRPr="008D7635">
        <w:rPr>
          <w:rFonts w:ascii="Times New Roman" w:hAnsi="Times New Roman"/>
          <w:i/>
          <w:sz w:val="24"/>
          <w:szCs w:val="24"/>
          <w:lang w:val="it-IT"/>
        </w:rPr>
        <w:t>Applied Economics</w:t>
      </w:r>
      <w:r w:rsidRPr="008D7635">
        <w:rPr>
          <w:rFonts w:ascii="Times New Roman" w:hAnsi="Times New Roman"/>
          <w:sz w:val="24"/>
          <w:szCs w:val="24"/>
          <w:lang w:val="it-IT"/>
        </w:rPr>
        <w:t xml:space="preserve"> 41(12):</w:t>
      </w:r>
      <w:r w:rsidR="00B314A6" w:rsidRPr="008D7635">
        <w:rPr>
          <w:rFonts w:ascii="Times New Roman" w:hAnsi="Times New Roman"/>
          <w:sz w:val="24"/>
          <w:szCs w:val="24"/>
          <w:lang w:val="it-IT"/>
        </w:rPr>
        <w:t xml:space="preserve"> 1513-1523</w:t>
      </w:r>
    </w:p>
    <w:p w14:paraId="615327C0" w14:textId="77777777" w:rsidR="00B314A6" w:rsidRPr="008D7635" w:rsidRDefault="00B314A6" w:rsidP="00CB3533">
      <w:pPr>
        <w:spacing w:after="0" w:line="240" w:lineRule="auto"/>
        <w:ind w:left="720" w:hanging="709"/>
        <w:jc w:val="both"/>
        <w:rPr>
          <w:rFonts w:ascii="Times New Roman" w:hAnsi="Times New Roman"/>
          <w:sz w:val="24"/>
          <w:szCs w:val="24"/>
          <w:lang w:val="en-US"/>
        </w:rPr>
      </w:pPr>
      <w:r w:rsidRPr="008D7635">
        <w:rPr>
          <w:rFonts w:ascii="Times New Roman" w:hAnsi="Times New Roman"/>
          <w:sz w:val="24"/>
          <w:szCs w:val="24"/>
          <w:lang w:val="it-IT"/>
        </w:rPr>
        <w:t xml:space="preserve">Nardo M., Saisana M., Saltelli A., Tarantola </w:t>
      </w:r>
      <w:r w:rsidR="007172C2" w:rsidRPr="008D7635">
        <w:rPr>
          <w:rFonts w:ascii="Times New Roman" w:hAnsi="Times New Roman"/>
          <w:sz w:val="24"/>
          <w:szCs w:val="24"/>
          <w:lang w:val="it-IT"/>
        </w:rPr>
        <w:t>S., Hoffmann A., Giovannini E. (</w:t>
      </w:r>
      <w:r w:rsidRPr="008D7635">
        <w:rPr>
          <w:rFonts w:ascii="Times New Roman" w:hAnsi="Times New Roman"/>
          <w:sz w:val="24"/>
          <w:szCs w:val="24"/>
          <w:lang w:val="it-IT"/>
        </w:rPr>
        <w:t>2005</w:t>
      </w:r>
      <w:r w:rsidR="007172C2" w:rsidRPr="008D7635">
        <w:rPr>
          <w:rFonts w:ascii="Times New Roman" w:hAnsi="Times New Roman"/>
          <w:sz w:val="24"/>
          <w:szCs w:val="24"/>
          <w:lang w:val="it-IT"/>
        </w:rPr>
        <w:t>)</w:t>
      </w:r>
      <w:r w:rsidRPr="008D7635">
        <w:rPr>
          <w:rFonts w:ascii="Times New Roman" w:hAnsi="Times New Roman"/>
          <w:sz w:val="24"/>
          <w:szCs w:val="24"/>
          <w:lang w:val="it-IT"/>
        </w:rPr>
        <w:t xml:space="preserve">. </w:t>
      </w:r>
      <w:r w:rsidRPr="008D7635">
        <w:rPr>
          <w:rFonts w:ascii="Times New Roman" w:hAnsi="Times New Roman"/>
          <w:i/>
          <w:sz w:val="24"/>
          <w:szCs w:val="24"/>
          <w:lang w:val="en-US"/>
        </w:rPr>
        <w:t>Handbook on Constructing Composite Indicators: Methodology and User Guide</w:t>
      </w:r>
      <w:r w:rsidR="007172C2" w:rsidRPr="008D7635">
        <w:rPr>
          <w:rFonts w:ascii="Times New Roman" w:hAnsi="Times New Roman"/>
          <w:sz w:val="24"/>
          <w:szCs w:val="24"/>
          <w:lang w:val="en-US"/>
        </w:rPr>
        <w:t xml:space="preserve">. </w:t>
      </w:r>
      <w:r w:rsidRPr="008D7635">
        <w:rPr>
          <w:rFonts w:ascii="Times New Roman" w:hAnsi="Times New Roman"/>
          <w:sz w:val="24"/>
          <w:szCs w:val="24"/>
          <w:lang w:val="en-US"/>
        </w:rPr>
        <w:t>OECD Statistics working paper series.</w:t>
      </w:r>
    </w:p>
    <w:p w14:paraId="4E28D0F5" w14:textId="77777777" w:rsidR="00B314A6" w:rsidRPr="008D7635" w:rsidRDefault="00B314A6" w:rsidP="00CB3533">
      <w:pPr>
        <w:spacing w:after="0" w:line="240" w:lineRule="auto"/>
        <w:jc w:val="both"/>
        <w:rPr>
          <w:rFonts w:ascii="Times New Roman" w:eastAsia="Times New Roman" w:hAnsi="Times New Roman"/>
          <w:sz w:val="24"/>
          <w:szCs w:val="24"/>
          <w:lang w:val="nl-BE" w:eastAsia="en-GB"/>
        </w:rPr>
      </w:pPr>
      <w:r w:rsidRPr="008D7635">
        <w:rPr>
          <w:rFonts w:ascii="Times New Roman" w:eastAsia="Times New Roman" w:hAnsi="Times New Roman"/>
          <w:sz w:val="24"/>
          <w:szCs w:val="24"/>
          <w:lang w:val="nl-BE" w:eastAsia="en-GB"/>
        </w:rPr>
        <w:t xml:space="preserve">OECD website: </w:t>
      </w:r>
      <w:r w:rsidRPr="008D7635">
        <w:rPr>
          <w:rFonts w:ascii="Times New Roman" w:eastAsia="Times New Roman" w:hAnsi="Times New Roman"/>
          <w:sz w:val="24"/>
          <w:szCs w:val="24"/>
          <w:lang w:val="nl-BE" w:eastAsia="en-GB"/>
        </w:rPr>
        <w:fldChar w:fldCharType="begin"/>
      </w:r>
      <w:r w:rsidRPr="008D7635">
        <w:rPr>
          <w:rFonts w:ascii="Times New Roman" w:eastAsia="Times New Roman" w:hAnsi="Times New Roman"/>
          <w:sz w:val="24"/>
          <w:szCs w:val="24"/>
          <w:lang w:val="nl-BE" w:eastAsia="en-GB"/>
        </w:rPr>
        <w:instrText xml:space="preserve"> HYPERLINK "http://www.oecdbetterlifeindex.org/" </w:instrText>
      </w:r>
      <w:r w:rsidRPr="008D7635">
        <w:rPr>
          <w:rFonts w:ascii="Times New Roman" w:eastAsia="Times New Roman" w:hAnsi="Times New Roman"/>
          <w:sz w:val="24"/>
          <w:szCs w:val="24"/>
          <w:lang w:val="nl-BE" w:eastAsia="en-GB"/>
        </w:rPr>
        <w:fldChar w:fldCharType="separate"/>
      </w:r>
      <w:r w:rsidRPr="008D7635">
        <w:rPr>
          <w:rFonts w:ascii="Times New Roman" w:eastAsia="Times New Roman" w:hAnsi="Times New Roman"/>
          <w:color w:val="0000FF"/>
          <w:sz w:val="24"/>
          <w:szCs w:val="24"/>
          <w:u w:val="single"/>
          <w:lang w:val="nl-BE" w:eastAsia="en-GB"/>
        </w:rPr>
        <w:t>http://www.oecdbetterlifeindex.org/</w:t>
      </w:r>
      <w:r w:rsidRPr="008D7635">
        <w:rPr>
          <w:rFonts w:ascii="Times New Roman" w:eastAsia="Times New Roman" w:hAnsi="Times New Roman"/>
          <w:sz w:val="24"/>
          <w:szCs w:val="24"/>
          <w:lang w:val="nl-BE" w:eastAsia="en-GB"/>
        </w:rPr>
        <w:fldChar w:fldCharType="end"/>
      </w:r>
    </w:p>
    <w:p w14:paraId="0EE5298A"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val="en-US" w:eastAsia="it-IT"/>
        </w:rPr>
        <w:t>OECD</w:t>
      </w:r>
      <w:r w:rsidR="00B314A6" w:rsidRPr="008D7635">
        <w:rPr>
          <w:rFonts w:ascii="Times New Roman" w:eastAsia="Times New Roman" w:hAnsi="Times New Roman"/>
          <w:sz w:val="24"/>
          <w:szCs w:val="24"/>
          <w:lang w:val="en-US" w:eastAsia="it-IT"/>
        </w:rPr>
        <w:t xml:space="preserve"> </w:t>
      </w:r>
      <w:r w:rsidRPr="008D7635">
        <w:rPr>
          <w:rFonts w:ascii="Times New Roman" w:eastAsia="Times New Roman" w:hAnsi="Times New Roman"/>
          <w:sz w:val="24"/>
          <w:szCs w:val="24"/>
          <w:lang w:val="en-US" w:eastAsia="it-IT"/>
        </w:rPr>
        <w:t>(</w:t>
      </w:r>
      <w:r w:rsidR="00B314A6" w:rsidRPr="008D7635">
        <w:rPr>
          <w:rFonts w:ascii="Times New Roman" w:eastAsia="Times New Roman" w:hAnsi="Times New Roman"/>
          <w:sz w:val="24"/>
          <w:szCs w:val="24"/>
          <w:lang w:val="en-US" w:eastAsia="it-IT"/>
        </w:rPr>
        <w:t>2002</w:t>
      </w:r>
      <w:r w:rsidRPr="008D7635">
        <w:rPr>
          <w:rFonts w:ascii="Times New Roman" w:eastAsia="Times New Roman" w:hAnsi="Times New Roman"/>
          <w:sz w:val="24"/>
          <w:szCs w:val="24"/>
          <w:lang w:val="en-US" w:eastAsia="it-IT"/>
        </w:rPr>
        <w:t>)</w:t>
      </w:r>
      <w:r w:rsidR="00B314A6" w:rsidRPr="008D7635">
        <w:rPr>
          <w:rFonts w:ascii="Times New Roman" w:eastAsia="Times New Roman" w:hAnsi="Times New Roman"/>
          <w:sz w:val="24"/>
          <w:szCs w:val="24"/>
          <w:lang w:val="en-US" w:eastAsia="it-IT"/>
        </w:rPr>
        <w:t>.</w:t>
      </w:r>
      <w:proofErr w:type="gramEnd"/>
      <w:r w:rsidR="00B314A6" w:rsidRPr="008D7635">
        <w:rPr>
          <w:rFonts w:ascii="Times New Roman" w:eastAsia="Times New Roman" w:hAnsi="Times New Roman"/>
          <w:sz w:val="24"/>
          <w:szCs w:val="24"/>
          <w:lang w:val="en-US" w:eastAsia="it-IT"/>
        </w:rPr>
        <w:t xml:space="preserve"> </w:t>
      </w:r>
      <w:proofErr w:type="spellStart"/>
      <w:r w:rsidR="00B314A6" w:rsidRPr="008D7635">
        <w:rPr>
          <w:rFonts w:ascii="Times New Roman" w:eastAsia="Times New Roman" w:hAnsi="Times New Roman"/>
          <w:i/>
          <w:sz w:val="24"/>
          <w:szCs w:val="24"/>
          <w:lang w:val="en-US" w:eastAsia="it-IT"/>
        </w:rPr>
        <w:t>Frascati</w:t>
      </w:r>
      <w:proofErr w:type="spellEnd"/>
      <w:r w:rsidR="00B314A6" w:rsidRPr="008D7635">
        <w:rPr>
          <w:rFonts w:ascii="Times New Roman" w:eastAsia="Times New Roman" w:hAnsi="Times New Roman"/>
          <w:i/>
          <w:sz w:val="24"/>
          <w:szCs w:val="24"/>
          <w:lang w:val="en-US" w:eastAsia="it-IT"/>
        </w:rPr>
        <w:t xml:space="preserve"> Manual</w:t>
      </w:r>
      <w:r w:rsidRPr="008D7635">
        <w:rPr>
          <w:rFonts w:ascii="Times New Roman" w:eastAsia="Times New Roman" w:hAnsi="Times New Roman"/>
          <w:sz w:val="24"/>
          <w:szCs w:val="24"/>
          <w:lang w:val="en-US" w:eastAsia="it-IT"/>
        </w:rPr>
        <w:t>. OECD:</w:t>
      </w:r>
      <w:r w:rsidR="00B314A6" w:rsidRPr="008D7635">
        <w:rPr>
          <w:rFonts w:ascii="Times New Roman" w:eastAsia="Times New Roman" w:hAnsi="Times New Roman"/>
          <w:sz w:val="24"/>
          <w:szCs w:val="24"/>
          <w:lang w:val="en-US" w:eastAsia="it-IT"/>
        </w:rPr>
        <w:t xml:space="preserve"> Paris</w:t>
      </w:r>
    </w:p>
    <w:p w14:paraId="08774124" w14:textId="77777777" w:rsidR="00B314A6" w:rsidRPr="008D7635" w:rsidRDefault="007172C2" w:rsidP="00CB3533">
      <w:pPr>
        <w:spacing w:after="0" w:line="240" w:lineRule="auto"/>
        <w:jc w:val="both"/>
        <w:rPr>
          <w:rFonts w:ascii="Times New Roman" w:eastAsia="Times New Roman" w:hAnsi="Times New Roman"/>
          <w:sz w:val="24"/>
          <w:szCs w:val="24"/>
          <w:lang w:eastAsia="en-GB"/>
        </w:rPr>
      </w:pPr>
      <w:proofErr w:type="gramStart"/>
      <w:r w:rsidRPr="008D7635">
        <w:rPr>
          <w:rFonts w:ascii="Times New Roman" w:eastAsia="Times New Roman" w:hAnsi="Times New Roman"/>
          <w:sz w:val="24"/>
          <w:szCs w:val="24"/>
          <w:lang w:eastAsia="en-GB"/>
        </w:rPr>
        <w:t>OECD</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2011</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proofErr w:type="gramStart"/>
      <w:r w:rsidR="00B314A6" w:rsidRPr="008D7635">
        <w:rPr>
          <w:rFonts w:ascii="Times New Roman" w:eastAsia="Times New Roman" w:hAnsi="Times New Roman"/>
          <w:i/>
          <w:sz w:val="24"/>
          <w:szCs w:val="24"/>
          <w:lang w:eastAsia="en-GB"/>
        </w:rPr>
        <w:t>Compendium of OECD well-being indicators</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OECD</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Paris</w:t>
      </w:r>
    </w:p>
    <w:p w14:paraId="620AC9C8"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spellStart"/>
      <w:proofErr w:type="gramStart"/>
      <w:r w:rsidRPr="008D7635">
        <w:rPr>
          <w:rFonts w:ascii="Times New Roman" w:eastAsia="Times New Roman" w:hAnsi="Times New Roman"/>
          <w:sz w:val="24"/>
          <w:szCs w:val="24"/>
          <w:lang w:eastAsia="en-GB"/>
        </w:rPr>
        <w:t>Ogwang</w:t>
      </w:r>
      <w:proofErr w:type="spellEnd"/>
      <w:r w:rsidRPr="008D7635">
        <w:rPr>
          <w:rFonts w:ascii="Times New Roman" w:eastAsia="Times New Roman" w:hAnsi="Times New Roman"/>
          <w:sz w:val="24"/>
          <w:szCs w:val="24"/>
          <w:lang w:eastAsia="en-GB"/>
        </w:rPr>
        <w:t xml:space="preserve">, T., </w:t>
      </w:r>
      <w:proofErr w:type="spellStart"/>
      <w:r w:rsidRPr="008D7635">
        <w:rPr>
          <w:rFonts w:ascii="Times New Roman" w:eastAsia="Times New Roman" w:hAnsi="Times New Roman"/>
          <w:sz w:val="24"/>
          <w:szCs w:val="24"/>
          <w:lang w:eastAsia="en-GB"/>
        </w:rPr>
        <w:t>Abdou</w:t>
      </w:r>
      <w:proofErr w:type="spellEnd"/>
      <w:r w:rsidRPr="008D7635">
        <w:rPr>
          <w:rFonts w:ascii="Times New Roman" w:eastAsia="Times New Roman" w:hAnsi="Times New Roman"/>
          <w:sz w:val="24"/>
          <w:szCs w:val="24"/>
          <w:lang w:eastAsia="en-GB"/>
        </w:rPr>
        <w:t>, A.</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2003</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proofErr w:type="gramStart"/>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The choice of principal variables for computing some measures of human well-being</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sz w:val="24"/>
          <w:szCs w:val="24"/>
          <w:lang w:eastAsia="en-GB"/>
        </w:rPr>
        <w:t>Social Indicators Research</w:t>
      </w:r>
      <w:r w:rsidRPr="008D7635">
        <w:rPr>
          <w:rFonts w:ascii="Times New Roman" w:eastAsia="Times New Roman" w:hAnsi="Times New Roman"/>
          <w:sz w:val="24"/>
          <w:szCs w:val="24"/>
          <w:lang w:eastAsia="en-GB"/>
        </w:rPr>
        <w:t xml:space="preserve"> 64(1):</w:t>
      </w:r>
      <w:r w:rsidR="00B314A6" w:rsidRPr="008D7635">
        <w:rPr>
          <w:rFonts w:ascii="Times New Roman" w:eastAsia="Times New Roman" w:hAnsi="Times New Roman"/>
          <w:sz w:val="24"/>
          <w:szCs w:val="24"/>
          <w:lang w:eastAsia="en-GB"/>
        </w:rPr>
        <w:t xml:space="preserve"> 139-152</w:t>
      </w:r>
    </w:p>
    <w:p w14:paraId="52EBF757"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gramStart"/>
      <w:r w:rsidRPr="008D7635">
        <w:rPr>
          <w:rFonts w:ascii="Times New Roman" w:eastAsia="Times New Roman" w:hAnsi="Times New Roman"/>
          <w:color w:val="000000"/>
          <w:sz w:val="24"/>
          <w:szCs w:val="24"/>
          <w:lang w:eastAsia="en-GB"/>
        </w:rPr>
        <w:lastRenderedPageBreak/>
        <w:t>Prince, P., Prince, C.</w:t>
      </w:r>
      <w:r w:rsidR="00B314A6" w:rsidRPr="008D7635">
        <w:rPr>
          <w:rFonts w:ascii="Times New Roman" w:eastAsia="Times New Roman" w:hAnsi="Times New Roman"/>
          <w:color w:val="000000"/>
          <w:sz w:val="24"/>
          <w:szCs w:val="24"/>
          <w:lang w:eastAsia="en-GB"/>
        </w:rPr>
        <w:t xml:space="preserve"> </w:t>
      </w:r>
      <w:r w:rsidRPr="008D7635">
        <w:rPr>
          <w:rFonts w:ascii="Times New Roman" w:eastAsia="Times New Roman" w:hAnsi="Times New Roman"/>
          <w:color w:val="000000"/>
          <w:sz w:val="24"/>
          <w:szCs w:val="24"/>
          <w:lang w:eastAsia="en-GB"/>
        </w:rPr>
        <w:t>(</w:t>
      </w:r>
      <w:r w:rsidR="00B314A6" w:rsidRPr="008D7635">
        <w:rPr>
          <w:rFonts w:ascii="Times New Roman" w:eastAsia="Times New Roman" w:hAnsi="Times New Roman"/>
          <w:color w:val="000000"/>
          <w:sz w:val="24"/>
          <w:szCs w:val="24"/>
          <w:lang w:eastAsia="en-GB"/>
        </w:rPr>
        <w:t>2001</w:t>
      </w:r>
      <w:r w:rsidRPr="008D7635">
        <w:rPr>
          <w:rFonts w:ascii="Times New Roman" w:eastAsia="Times New Roman" w:hAnsi="Times New Roman"/>
          <w:color w:val="000000"/>
          <w:sz w:val="24"/>
          <w:szCs w:val="24"/>
          <w:lang w:eastAsia="en-GB"/>
        </w:rPr>
        <w:t>)</w:t>
      </w:r>
      <w:r w:rsidR="00B314A6" w:rsidRPr="008D7635">
        <w:rPr>
          <w:rFonts w:ascii="Times New Roman" w:eastAsia="Times New Roman" w:hAnsi="Times New Roman"/>
          <w:color w:val="000000"/>
          <w:sz w:val="24"/>
          <w:szCs w:val="24"/>
          <w:lang w:eastAsia="en-GB"/>
        </w:rPr>
        <w:t>.</w:t>
      </w:r>
      <w:proofErr w:type="gramEnd"/>
      <w:r w:rsidR="00B314A6" w:rsidRPr="008D7635">
        <w:rPr>
          <w:rFonts w:ascii="Times New Roman" w:eastAsia="Times New Roman" w:hAnsi="Times New Roman"/>
          <w:color w:val="000000"/>
          <w:sz w:val="24"/>
          <w:szCs w:val="24"/>
          <w:lang w:eastAsia="en-GB"/>
        </w:rPr>
        <w:t xml:space="preserve"> </w:t>
      </w:r>
      <w:r w:rsidRPr="008D7635">
        <w:rPr>
          <w:rFonts w:ascii="Times New Roman" w:eastAsia="Times New Roman" w:hAnsi="Times New Roman"/>
          <w:color w:val="000000"/>
          <w:sz w:val="24"/>
          <w:szCs w:val="24"/>
          <w:lang w:eastAsia="en-GB"/>
        </w:rPr>
        <w:t>‘</w:t>
      </w:r>
      <w:r w:rsidR="00B314A6" w:rsidRPr="008D7635">
        <w:rPr>
          <w:rFonts w:ascii="Times New Roman" w:eastAsia="Times New Roman" w:hAnsi="Times New Roman"/>
          <w:color w:val="000000"/>
          <w:sz w:val="24"/>
          <w:szCs w:val="24"/>
          <w:lang w:eastAsia="en-GB"/>
        </w:rPr>
        <w:t xml:space="preserve">Subjective quality of life in the evaluation of programs for people with serious and persistent mental </w:t>
      </w:r>
      <w:proofErr w:type="gramStart"/>
      <w:r w:rsidR="00B314A6" w:rsidRPr="008D7635">
        <w:rPr>
          <w:rFonts w:ascii="Times New Roman" w:eastAsia="Times New Roman" w:hAnsi="Times New Roman"/>
          <w:color w:val="000000"/>
          <w:sz w:val="24"/>
          <w:szCs w:val="24"/>
          <w:lang w:eastAsia="en-GB"/>
        </w:rPr>
        <w:t>illness</w:t>
      </w:r>
      <w:r w:rsidRPr="008D7635">
        <w:rPr>
          <w:rFonts w:ascii="Times New Roman" w:eastAsia="Times New Roman" w:hAnsi="Times New Roman"/>
          <w:color w:val="000000"/>
          <w:sz w:val="24"/>
          <w:szCs w:val="24"/>
          <w:lang w:eastAsia="en-GB"/>
        </w:rPr>
        <w:t>’</w:t>
      </w:r>
      <w:proofErr w:type="gramEnd"/>
      <w:r w:rsidR="00B314A6" w:rsidRPr="008D7635">
        <w:rPr>
          <w:rFonts w:ascii="Times New Roman" w:eastAsia="Times New Roman" w:hAnsi="Times New Roman"/>
          <w:color w:val="000000"/>
          <w:sz w:val="24"/>
          <w:szCs w:val="24"/>
          <w:lang w:eastAsia="en-GB"/>
        </w:rPr>
        <w:t xml:space="preserve">. </w:t>
      </w:r>
      <w:r w:rsidR="00B314A6" w:rsidRPr="008D7635">
        <w:rPr>
          <w:rFonts w:ascii="Times New Roman" w:eastAsia="Times New Roman" w:hAnsi="Times New Roman"/>
          <w:i/>
          <w:color w:val="000000"/>
          <w:sz w:val="24"/>
          <w:szCs w:val="24"/>
          <w:lang w:eastAsia="en-GB"/>
        </w:rPr>
        <w:t>Clinical Psychology Review</w:t>
      </w:r>
      <w:r w:rsidR="00B314A6" w:rsidRPr="008D7635">
        <w:rPr>
          <w:rFonts w:ascii="Times New Roman" w:eastAsia="Times New Roman" w:hAnsi="Times New Roman"/>
          <w:color w:val="000000"/>
          <w:sz w:val="24"/>
          <w:szCs w:val="24"/>
          <w:lang w:eastAsia="en-GB"/>
        </w:rPr>
        <w:t xml:space="preserve"> </w:t>
      </w:r>
      <w:r w:rsidRPr="008D7635">
        <w:rPr>
          <w:rFonts w:ascii="Times New Roman" w:eastAsia="Times New Roman" w:hAnsi="Times New Roman"/>
          <w:color w:val="000000"/>
          <w:sz w:val="24"/>
          <w:szCs w:val="24"/>
          <w:lang w:eastAsia="en-GB"/>
        </w:rPr>
        <w:t>21 (7):</w:t>
      </w:r>
      <w:r w:rsidR="00B314A6" w:rsidRPr="008D7635">
        <w:rPr>
          <w:rFonts w:ascii="Times New Roman" w:eastAsia="Times New Roman" w:hAnsi="Times New Roman"/>
          <w:color w:val="000000"/>
          <w:sz w:val="24"/>
          <w:szCs w:val="24"/>
          <w:lang w:eastAsia="en-GB"/>
        </w:rPr>
        <w:t xml:space="preserve"> 1005-1036</w:t>
      </w:r>
    </w:p>
    <w:p w14:paraId="417C9DD8" w14:textId="77777777" w:rsidR="00B314A6" w:rsidRPr="008D7635" w:rsidRDefault="007172C2"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eastAsia="en-GB"/>
        </w:rPr>
        <w:t>Qizilbash</w:t>
      </w:r>
      <w:proofErr w:type="spellEnd"/>
      <w:r w:rsidRPr="008D7635">
        <w:rPr>
          <w:rFonts w:ascii="Times New Roman" w:eastAsia="Times New Roman" w:hAnsi="Times New Roman"/>
          <w:sz w:val="24"/>
          <w:szCs w:val="24"/>
          <w:lang w:eastAsia="en-GB"/>
        </w:rPr>
        <w:t>, M.</w:t>
      </w:r>
      <w:r w:rsidR="00B314A6" w:rsidRPr="008D7635">
        <w:rPr>
          <w:rFonts w:ascii="Times New Roman" w:eastAsia="Times New Roman" w:hAnsi="Times New Roman"/>
          <w:sz w:val="24"/>
          <w:szCs w:val="24"/>
          <w:lang w:eastAsia="en-GB"/>
        </w:rPr>
        <w:t xml:space="preserve"> </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2004</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 xml:space="preserve">. </w:t>
      </w:r>
      <w:proofErr w:type="gramStart"/>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On the arbitrariness and robustness of multi-dimensional poverty ranking</w:t>
      </w:r>
      <w:r w:rsidRPr="008D7635">
        <w:rPr>
          <w:rFonts w:ascii="Times New Roman" w:eastAsia="Times New Roman" w:hAnsi="Times New Roman"/>
          <w:sz w:val="24"/>
          <w:szCs w:val="24"/>
          <w:lang w:eastAsia="en-GB"/>
        </w:rPr>
        <w:t>’</w:t>
      </w:r>
      <w:r w:rsidR="00B314A6" w:rsidRPr="008D7635">
        <w:rPr>
          <w:rFonts w:ascii="Times New Roman" w:eastAsia="Times New Roman" w:hAnsi="Times New Roman"/>
          <w:sz w:val="24"/>
          <w:szCs w:val="24"/>
          <w:lang w:eastAsia="en-GB"/>
        </w:rPr>
        <w:t>.</w:t>
      </w:r>
      <w:proofErr w:type="gramEnd"/>
      <w:r w:rsidR="00B314A6" w:rsidRPr="008D7635">
        <w:rPr>
          <w:rFonts w:ascii="Times New Roman" w:eastAsia="Times New Roman" w:hAnsi="Times New Roman"/>
          <w:sz w:val="24"/>
          <w:szCs w:val="24"/>
          <w:lang w:eastAsia="en-GB"/>
        </w:rPr>
        <w:t xml:space="preserve"> </w:t>
      </w:r>
      <w:r w:rsidR="00B314A6" w:rsidRPr="008D7635">
        <w:rPr>
          <w:rFonts w:ascii="Times New Roman" w:eastAsia="Times New Roman" w:hAnsi="Times New Roman"/>
          <w:i/>
          <w:sz w:val="24"/>
          <w:szCs w:val="24"/>
          <w:lang w:eastAsia="en-GB"/>
        </w:rPr>
        <w:t>Journal of Human Development</w:t>
      </w:r>
      <w:r w:rsidRPr="008D7635">
        <w:rPr>
          <w:rFonts w:ascii="Times New Roman" w:eastAsia="Times New Roman" w:hAnsi="Times New Roman"/>
          <w:sz w:val="24"/>
          <w:szCs w:val="24"/>
          <w:lang w:eastAsia="en-GB"/>
        </w:rPr>
        <w:t xml:space="preserve"> 5(3):</w:t>
      </w:r>
      <w:r w:rsidR="00B314A6" w:rsidRPr="008D7635">
        <w:rPr>
          <w:rFonts w:ascii="Times New Roman" w:eastAsia="Times New Roman" w:hAnsi="Times New Roman"/>
          <w:sz w:val="24"/>
          <w:szCs w:val="24"/>
          <w:lang w:eastAsia="en-GB"/>
        </w:rPr>
        <w:t xml:space="preserve"> 335-375</w:t>
      </w:r>
    </w:p>
    <w:p w14:paraId="64C04E1E" w14:textId="77777777" w:rsidR="0071353F" w:rsidRPr="008D7635" w:rsidRDefault="0071353F"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val="es-ES" w:eastAsia="en-GB"/>
        </w:rPr>
        <w:t>Ryan</w:t>
      </w:r>
      <w:proofErr w:type="spellEnd"/>
      <w:r w:rsidRPr="008D7635">
        <w:rPr>
          <w:rFonts w:ascii="Times New Roman" w:eastAsia="Times New Roman" w:hAnsi="Times New Roman"/>
          <w:sz w:val="24"/>
          <w:szCs w:val="24"/>
          <w:lang w:val="es-ES" w:eastAsia="en-GB"/>
        </w:rPr>
        <w:t xml:space="preserve">, R. M., </w:t>
      </w:r>
      <w:proofErr w:type="spellStart"/>
      <w:r w:rsidRPr="008D7635">
        <w:rPr>
          <w:rFonts w:ascii="Times New Roman" w:eastAsia="Times New Roman" w:hAnsi="Times New Roman"/>
          <w:sz w:val="24"/>
          <w:szCs w:val="24"/>
          <w:lang w:val="es-ES" w:eastAsia="en-GB"/>
        </w:rPr>
        <w:t>Deci</w:t>
      </w:r>
      <w:proofErr w:type="spellEnd"/>
      <w:r w:rsidRPr="008D7635">
        <w:rPr>
          <w:rFonts w:ascii="Times New Roman" w:eastAsia="Times New Roman" w:hAnsi="Times New Roman"/>
          <w:sz w:val="24"/>
          <w:szCs w:val="24"/>
          <w:lang w:val="es-ES" w:eastAsia="en-GB"/>
        </w:rPr>
        <w:t xml:space="preserve">, E. L. (2001). </w:t>
      </w:r>
      <w:r w:rsidRPr="008D7635">
        <w:rPr>
          <w:rFonts w:ascii="Times New Roman" w:eastAsia="Times New Roman" w:hAnsi="Times New Roman"/>
          <w:sz w:val="24"/>
          <w:szCs w:val="24"/>
          <w:lang w:eastAsia="en-GB"/>
        </w:rPr>
        <w:t xml:space="preserve">To be happy or to be self-fulfilled: A review of research on hedonic and </w:t>
      </w:r>
      <w:proofErr w:type="spellStart"/>
      <w:r w:rsidRPr="008D7635">
        <w:rPr>
          <w:rFonts w:ascii="Times New Roman" w:eastAsia="Times New Roman" w:hAnsi="Times New Roman"/>
          <w:sz w:val="24"/>
          <w:szCs w:val="24"/>
          <w:lang w:eastAsia="en-GB"/>
        </w:rPr>
        <w:t>eudaimonic</w:t>
      </w:r>
      <w:proofErr w:type="spellEnd"/>
      <w:r w:rsidRPr="008D7635">
        <w:rPr>
          <w:rFonts w:ascii="Times New Roman" w:eastAsia="Times New Roman" w:hAnsi="Times New Roman"/>
          <w:sz w:val="24"/>
          <w:szCs w:val="24"/>
          <w:lang w:eastAsia="en-GB"/>
        </w:rPr>
        <w:t xml:space="preserve"> well-being. In S. Fiske (Ed.), </w:t>
      </w:r>
      <w:r w:rsidRPr="008D7635">
        <w:rPr>
          <w:rFonts w:ascii="Times New Roman" w:eastAsia="Times New Roman" w:hAnsi="Times New Roman"/>
          <w:i/>
          <w:iCs/>
          <w:sz w:val="24"/>
          <w:szCs w:val="24"/>
          <w:lang w:eastAsia="en-GB"/>
        </w:rPr>
        <w:t>Annual Review of Psychology</w:t>
      </w:r>
      <w:r w:rsidRPr="008D7635">
        <w:rPr>
          <w:rFonts w:ascii="Times New Roman" w:eastAsia="Times New Roman" w:hAnsi="Times New Roman"/>
          <w:iCs/>
          <w:sz w:val="24"/>
          <w:szCs w:val="24"/>
          <w:lang w:eastAsia="en-GB"/>
        </w:rPr>
        <w:t xml:space="preserve"> </w:t>
      </w:r>
      <w:r w:rsidRPr="008D7635">
        <w:rPr>
          <w:rFonts w:ascii="Times New Roman" w:eastAsia="Times New Roman" w:hAnsi="Times New Roman"/>
          <w:sz w:val="24"/>
          <w:szCs w:val="24"/>
          <w:lang w:eastAsia="en-GB"/>
        </w:rPr>
        <w:t>(Vol. 52; 141-166). Palo Alto, CA: Annual Reviews/ Inc. Sage Foundation, New York, 1976.</w:t>
      </w:r>
    </w:p>
    <w:p w14:paraId="4081CF42" w14:textId="77777777" w:rsidR="0071353F" w:rsidRPr="008D7635" w:rsidRDefault="00555D77" w:rsidP="00CB3533">
      <w:pPr>
        <w:spacing w:after="0" w:line="240" w:lineRule="auto"/>
        <w:ind w:left="720" w:hanging="709"/>
        <w:jc w:val="both"/>
        <w:rPr>
          <w:rFonts w:ascii="Times New Roman" w:hAnsi="Times New Roman"/>
          <w:sz w:val="24"/>
          <w:szCs w:val="24"/>
          <w:shd w:val="clear" w:color="auto" w:fill="FFFFFF"/>
          <w:lang w:val="en-US"/>
        </w:rPr>
      </w:pPr>
      <w:r w:rsidRPr="008D7635">
        <w:rPr>
          <w:rFonts w:ascii="Times New Roman" w:hAnsi="Times New Roman"/>
          <w:sz w:val="24"/>
          <w:szCs w:val="24"/>
          <w:shd w:val="clear" w:color="auto" w:fill="FFFFFF"/>
          <w:lang w:val="en-US"/>
        </w:rPr>
        <w:t xml:space="preserve">Rawls, J. (1971). A Theory of Justice (Original </w:t>
      </w:r>
      <w:proofErr w:type="spellStart"/>
      <w:r w:rsidRPr="008D7635">
        <w:rPr>
          <w:rFonts w:ascii="Times New Roman" w:hAnsi="Times New Roman"/>
          <w:sz w:val="24"/>
          <w:szCs w:val="24"/>
          <w:shd w:val="clear" w:color="auto" w:fill="FFFFFF"/>
          <w:lang w:val="en-US"/>
        </w:rPr>
        <w:t>ed</w:t>
      </w:r>
      <w:proofErr w:type="spellEnd"/>
      <w:r w:rsidRPr="008D7635">
        <w:rPr>
          <w:rFonts w:ascii="Times New Roman" w:hAnsi="Times New Roman"/>
          <w:sz w:val="24"/>
          <w:szCs w:val="24"/>
          <w:shd w:val="clear" w:color="auto" w:fill="FFFFFF"/>
          <w:lang w:val="en-US"/>
        </w:rPr>
        <w:t>). Cambridge, Mass.: Belknap Press of Harvard University Press. </w:t>
      </w:r>
    </w:p>
    <w:p w14:paraId="4EF8E234" w14:textId="77777777" w:rsidR="00B314A6" w:rsidRPr="008D7635" w:rsidRDefault="00B314A6" w:rsidP="00CB3533">
      <w:pPr>
        <w:autoSpaceDE w:val="0"/>
        <w:autoSpaceDN w:val="0"/>
        <w:adjustRightInd w:val="0"/>
        <w:spacing w:after="0" w:line="240" w:lineRule="auto"/>
        <w:ind w:left="720" w:hanging="720"/>
        <w:jc w:val="both"/>
        <w:rPr>
          <w:rFonts w:ascii="Times New Roman" w:eastAsia="Times New Roman" w:hAnsi="Times New Roman"/>
          <w:bCs/>
          <w:iCs/>
          <w:sz w:val="24"/>
          <w:szCs w:val="24"/>
          <w:lang w:eastAsia="en-GB"/>
        </w:rPr>
      </w:pPr>
      <w:proofErr w:type="spellStart"/>
      <w:r w:rsidRPr="008D7635">
        <w:rPr>
          <w:rFonts w:ascii="Times New Roman" w:eastAsia="Times New Roman" w:hAnsi="Times New Roman"/>
          <w:sz w:val="24"/>
          <w:szCs w:val="24"/>
          <w:lang w:val="en-US" w:eastAsia="en-GB"/>
        </w:rPr>
        <w:t>Saltelli</w:t>
      </w:r>
      <w:proofErr w:type="spellEnd"/>
      <w:r w:rsidRPr="008D7635">
        <w:rPr>
          <w:rFonts w:ascii="Times New Roman" w:eastAsia="Times New Roman" w:hAnsi="Times New Roman"/>
          <w:sz w:val="24"/>
          <w:szCs w:val="24"/>
          <w:lang w:val="en-US" w:eastAsia="en-GB"/>
        </w:rPr>
        <w:t>,</w:t>
      </w:r>
      <w:r w:rsidR="007172C2" w:rsidRPr="008D7635">
        <w:rPr>
          <w:rFonts w:ascii="Times New Roman" w:eastAsia="Times New Roman" w:hAnsi="Times New Roman"/>
          <w:sz w:val="24"/>
          <w:szCs w:val="24"/>
          <w:lang w:val="en-US" w:eastAsia="en-GB"/>
        </w:rPr>
        <w:t xml:space="preserve"> A., </w:t>
      </w:r>
      <w:proofErr w:type="spellStart"/>
      <w:r w:rsidR="007172C2" w:rsidRPr="008D7635">
        <w:rPr>
          <w:rFonts w:ascii="Times New Roman" w:eastAsia="Times New Roman" w:hAnsi="Times New Roman"/>
          <w:sz w:val="24"/>
          <w:szCs w:val="24"/>
          <w:lang w:val="en-US" w:eastAsia="en-GB"/>
        </w:rPr>
        <w:t>Jesinghaus</w:t>
      </w:r>
      <w:proofErr w:type="spellEnd"/>
      <w:r w:rsidR="007172C2" w:rsidRPr="008D7635">
        <w:rPr>
          <w:rFonts w:ascii="Times New Roman" w:eastAsia="Times New Roman" w:hAnsi="Times New Roman"/>
          <w:sz w:val="24"/>
          <w:szCs w:val="24"/>
          <w:lang w:val="en-US" w:eastAsia="en-GB"/>
        </w:rPr>
        <w:t xml:space="preserve">, J., </w:t>
      </w:r>
      <w:proofErr w:type="spellStart"/>
      <w:r w:rsidR="007172C2" w:rsidRPr="008D7635">
        <w:rPr>
          <w:rFonts w:ascii="Times New Roman" w:eastAsia="Times New Roman" w:hAnsi="Times New Roman"/>
          <w:sz w:val="24"/>
          <w:szCs w:val="24"/>
          <w:lang w:val="en-US" w:eastAsia="en-GB"/>
        </w:rPr>
        <w:t>Munda</w:t>
      </w:r>
      <w:proofErr w:type="spellEnd"/>
      <w:r w:rsidR="007172C2" w:rsidRPr="008D7635">
        <w:rPr>
          <w:rFonts w:ascii="Times New Roman" w:eastAsia="Times New Roman" w:hAnsi="Times New Roman"/>
          <w:sz w:val="24"/>
          <w:szCs w:val="24"/>
          <w:lang w:val="en-US" w:eastAsia="en-GB"/>
        </w:rPr>
        <w:t>, G. (</w:t>
      </w:r>
      <w:r w:rsidRPr="008D7635">
        <w:rPr>
          <w:rFonts w:ascii="Times New Roman" w:eastAsia="Times New Roman" w:hAnsi="Times New Roman"/>
          <w:sz w:val="24"/>
          <w:szCs w:val="24"/>
          <w:lang w:val="en-US" w:eastAsia="en-GB"/>
        </w:rPr>
        <w:t>2007</w:t>
      </w:r>
      <w:r w:rsidR="007172C2" w:rsidRPr="008D7635">
        <w:rPr>
          <w:rFonts w:ascii="Times New Roman" w:eastAsia="Times New Roman" w:hAnsi="Times New Roman"/>
          <w:sz w:val="24"/>
          <w:szCs w:val="24"/>
          <w:lang w:val="en-US" w:eastAsia="en-GB"/>
        </w:rPr>
        <w:t>)</w:t>
      </w:r>
      <w:r w:rsidRPr="008D7635">
        <w:rPr>
          <w:rFonts w:ascii="Times New Roman" w:eastAsia="Times New Roman" w:hAnsi="Times New Roman"/>
          <w:sz w:val="24"/>
          <w:szCs w:val="24"/>
          <w:lang w:val="en-US" w:eastAsia="en-GB"/>
        </w:rPr>
        <w:t xml:space="preserve">. </w:t>
      </w:r>
      <w:proofErr w:type="gramStart"/>
      <w:r w:rsidR="007172C2" w:rsidRPr="008D7635">
        <w:rPr>
          <w:rFonts w:ascii="Times New Roman" w:eastAsia="Times New Roman" w:hAnsi="Times New Roman"/>
          <w:sz w:val="24"/>
          <w:szCs w:val="24"/>
          <w:lang w:eastAsia="en-GB"/>
        </w:rPr>
        <w:t>‘</w:t>
      </w:r>
      <w:r w:rsidRPr="008D7635">
        <w:rPr>
          <w:rFonts w:ascii="Times New Roman" w:eastAsia="Times New Roman" w:hAnsi="Times New Roman"/>
          <w:bCs/>
          <w:iCs/>
          <w:sz w:val="24"/>
          <w:szCs w:val="24"/>
          <w:lang w:eastAsia="en-GB"/>
        </w:rPr>
        <w:t>Well-Being Stories</w:t>
      </w:r>
      <w:r w:rsidR="007172C2" w:rsidRPr="008D7635">
        <w:rPr>
          <w:rFonts w:ascii="Times New Roman" w:eastAsia="Times New Roman" w:hAnsi="Times New Roman"/>
          <w:bCs/>
          <w:iCs/>
          <w:sz w:val="24"/>
          <w:szCs w:val="24"/>
          <w:lang w:eastAsia="en-GB"/>
        </w:rPr>
        <w:t>’</w:t>
      </w:r>
      <w:r w:rsidRPr="008D7635">
        <w:rPr>
          <w:rFonts w:ascii="Times New Roman" w:eastAsia="Times New Roman" w:hAnsi="Times New Roman"/>
          <w:bCs/>
          <w:iCs/>
          <w:sz w:val="24"/>
          <w:szCs w:val="24"/>
          <w:lang w:eastAsia="en-GB"/>
        </w:rPr>
        <w:t>.</w:t>
      </w:r>
      <w:proofErr w:type="gramEnd"/>
      <w:r w:rsidRPr="008D7635">
        <w:rPr>
          <w:rFonts w:ascii="Times New Roman" w:eastAsia="Times New Roman" w:hAnsi="Times New Roman"/>
          <w:bCs/>
          <w:iCs/>
          <w:sz w:val="24"/>
          <w:szCs w:val="24"/>
          <w:lang w:eastAsia="en-GB"/>
        </w:rPr>
        <w:t xml:space="preserve"> </w:t>
      </w:r>
      <w:r w:rsidRPr="008D7635">
        <w:rPr>
          <w:rFonts w:ascii="Times New Roman" w:eastAsia="Times New Roman" w:hAnsi="Times New Roman"/>
          <w:color w:val="000000"/>
          <w:sz w:val="24"/>
          <w:szCs w:val="24"/>
          <w:lang w:eastAsia="en-GB"/>
        </w:rPr>
        <w:t>Proce</w:t>
      </w:r>
      <w:r w:rsidR="007172C2" w:rsidRPr="008D7635">
        <w:rPr>
          <w:rFonts w:ascii="Times New Roman" w:eastAsia="Times New Roman" w:hAnsi="Times New Roman"/>
          <w:color w:val="000000"/>
          <w:sz w:val="24"/>
          <w:szCs w:val="24"/>
          <w:lang w:eastAsia="en-GB"/>
        </w:rPr>
        <w:t xml:space="preserve">edings of </w:t>
      </w:r>
      <w:r w:rsidRPr="008D7635">
        <w:rPr>
          <w:rFonts w:ascii="Times New Roman" w:eastAsia="Times New Roman" w:hAnsi="Times New Roman"/>
          <w:i/>
          <w:color w:val="000000"/>
          <w:sz w:val="24"/>
          <w:szCs w:val="24"/>
          <w:lang w:eastAsia="en-GB"/>
        </w:rPr>
        <w:t>Beyond GDP: Measuring progress, true wealth, and the well-being of nations"</w:t>
      </w:r>
      <w:r w:rsidRPr="008D7635">
        <w:rPr>
          <w:rFonts w:ascii="Times New Roman" w:eastAsia="Times New Roman" w:hAnsi="Times New Roman"/>
          <w:color w:val="000000"/>
          <w:sz w:val="24"/>
          <w:szCs w:val="24"/>
          <w:lang w:eastAsia="en-GB"/>
        </w:rPr>
        <w:t xml:space="preserve"> Conference, EU Parliament, Brussels November 19-20-2007 - ISBN 978-92-79-09531-3 p. 309</w:t>
      </w:r>
    </w:p>
    <w:p w14:paraId="3D0ACCD1"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val="fr-FR" w:eastAsia="en-GB"/>
        </w:rPr>
        <w:t>Stiglitz</w:t>
      </w:r>
      <w:r w:rsidR="007172C2" w:rsidRPr="008D7635">
        <w:rPr>
          <w:rFonts w:ascii="Times New Roman" w:eastAsia="Times New Roman" w:hAnsi="Times New Roman"/>
          <w:sz w:val="24"/>
          <w:szCs w:val="24"/>
          <w:lang w:val="fr-FR" w:eastAsia="en-GB"/>
        </w:rPr>
        <w:t>, J.E., Sen, A., Fitoussi, J-P.</w:t>
      </w:r>
      <w:r w:rsidRPr="008D7635">
        <w:rPr>
          <w:rFonts w:ascii="Times New Roman" w:eastAsia="Times New Roman" w:hAnsi="Times New Roman"/>
          <w:sz w:val="24"/>
          <w:szCs w:val="24"/>
          <w:lang w:val="fr-FR" w:eastAsia="en-GB"/>
        </w:rPr>
        <w:t xml:space="preserve">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2009</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Pr="008D7635">
        <w:rPr>
          <w:rFonts w:ascii="Times New Roman" w:eastAsia="Times New Roman" w:hAnsi="Times New Roman"/>
          <w:i/>
          <w:sz w:val="24"/>
          <w:szCs w:val="24"/>
          <w:lang w:eastAsia="en-GB"/>
        </w:rPr>
        <w:t>Report by the Commission on the Measurement of Economic Performance and Social Progress</w:t>
      </w:r>
      <w:r w:rsidRPr="008D7635">
        <w:rPr>
          <w:rFonts w:ascii="Times New Roman" w:eastAsia="Times New Roman" w:hAnsi="Times New Roman"/>
          <w:sz w:val="24"/>
          <w:szCs w:val="24"/>
          <w:lang w:eastAsia="en-GB"/>
        </w:rPr>
        <w:t xml:space="preserve">. Available at: http://www.stiglitz-sen-fitoussi.fr/documents/rapport_anglais.pdf  </w:t>
      </w:r>
    </w:p>
    <w:p w14:paraId="6260454A" w14:textId="77777777" w:rsidR="00B314A6" w:rsidRPr="008D7635" w:rsidRDefault="007172C2" w:rsidP="00CB3533">
      <w:pPr>
        <w:spacing w:after="0" w:line="240" w:lineRule="auto"/>
        <w:ind w:left="720" w:hanging="720"/>
        <w:jc w:val="both"/>
        <w:rPr>
          <w:rFonts w:ascii="Times New Roman" w:hAnsi="Times New Roman"/>
          <w:sz w:val="24"/>
          <w:szCs w:val="24"/>
          <w:shd w:val="clear" w:color="auto" w:fill="FFFFFF"/>
          <w:lang w:val="en-US"/>
        </w:rPr>
      </w:pPr>
      <w:proofErr w:type="spellStart"/>
      <w:proofErr w:type="gramStart"/>
      <w:r w:rsidRPr="008D7635">
        <w:rPr>
          <w:rFonts w:ascii="Times New Roman" w:hAnsi="Times New Roman"/>
          <w:sz w:val="24"/>
          <w:szCs w:val="24"/>
          <w:shd w:val="clear" w:color="auto" w:fill="FFFFFF"/>
          <w:lang w:val="en-US"/>
        </w:rPr>
        <w:t>Stutzer</w:t>
      </w:r>
      <w:proofErr w:type="spellEnd"/>
      <w:r w:rsidRPr="008D7635">
        <w:rPr>
          <w:rFonts w:ascii="Times New Roman" w:hAnsi="Times New Roman"/>
          <w:sz w:val="24"/>
          <w:szCs w:val="24"/>
          <w:shd w:val="clear" w:color="auto" w:fill="FFFFFF"/>
          <w:lang w:val="en-US"/>
        </w:rPr>
        <w:t>, A., Frey, B.S. (</w:t>
      </w:r>
      <w:r w:rsidR="00B314A6" w:rsidRPr="008D7635">
        <w:rPr>
          <w:rFonts w:ascii="Times New Roman" w:hAnsi="Times New Roman"/>
          <w:sz w:val="24"/>
          <w:szCs w:val="24"/>
          <w:shd w:val="clear" w:color="auto" w:fill="FFFFFF"/>
          <w:lang w:val="en-US"/>
        </w:rPr>
        <w:t>2008</w:t>
      </w:r>
      <w:r w:rsidRPr="008D7635">
        <w:rPr>
          <w:rFonts w:ascii="Times New Roman" w:hAnsi="Times New Roman"/>
          <w:sz w:val="24"/>
          <w:szCs w:val="24"/>
          <w:shd w:val="clear" w:color="auto" w:fill="FFFFFF"/>
          <w:lang w:val="en-US"/>
        </w:rPr>
        <w:t>)</w:t>
      </w:r>
      <w:r w:rsidR="00B314A6" w:rsidRPr="008D7635">
        <w:rPr>
          <w:rFonts w:ascii="Times New Roman" w:hAnsi="Times New Roman"/>
          <w:sz w:val="24"/>
          <w:szCs w:val="24"/>
          <w:shd w:val="clear" w:color="auto" w:fill="FFFFFF"/>
          <w:lang w:val="en-US"/>
        </w:rPr>
        <w:t>.</w:t>
      </w:r>
      <w:proofErr w:type="gramEnd"/>
      <w:r w:rsidR="00B314A6" w:rsidRPr="008D7635">
        <w:rPr>
          <w:rFonts w:ascii="Times New Roman" w:hAnsi="Times New Roman"/>
          <w:sz w:val="24"/>
          <w:szCs w:val="24"/>
          <w:shd w:val="clear" w:color="auto" w:fill="FFFFFF"/>
          <w:lang w:val="en-US"/>
        </w:rPr>
        <w:t xml:space="preserve"> </w:t>
      </w:r>
      <w:hyperlink r:id="rId17" w:history="1">
        <w:r w:rsidR="00B314A6" w:rsidRPr="008D7635">
          <w:rPr>
            <w:rFonts w:ascii="Times New Roman" w:hAnsi="Times New Roman"/>
            <w:bCs/>
            <w:i/>
            <w:sz w:val="24"/>
            <w:szCs w:val="24"/>
            <w:shd w:val="clear" w:color="auto" w:fill="FFFFFF"/>
            <w:lang w:val="en-US"/>
          </w:rPr>
          <w:t>Stress that Doesn't Pay: The Commuting Paradox</w:t>
        </w:r>
      </w:hyperlink>
      <w:r w:rsidR="00B314A6" w:rsidRPr="008D7635">
        <w:rPr>
          <w:rFonts w:ascii="Times New Roman" w:hAnsi="Times New Roman"/>
          <w:i/>
          <w:sz w:val="24"/>
          <w:szCs w:val="24"/>
          <w:shd w:val="clear" w:color="auto" w:fill="FFFFFF"/>
          <w:lang w:val="en-US"/>
        </w:rPr>
        <w:t>. </w:t>
      </w:r>
      <w:hyperlink r:id="rId18" w:history="1">
        <w:proofErr w:type="gramStart"/>
        <w:r w:rsidR="00B314A6" w:rsidRPr="008D7635">
          <w:rPr>
            <w:rFonts w:ascii="Times New Roman" w:hAnsi="Times New Roman"/>
            <w:i/>
            <w:sz w:val="24"/>
            <w:szCs w:val="24"/>
            <w:shd w:val="clear" w:color="auto" w:fill="FFFFFF"/>
            <w:lang w:val="en-US"/>
          </w:rPr>
          <w:t>Scandinavian Journal of Economics</w:t>
        </w:r>
      </w:hyperlink>
      <w:r w:rsidRPr="008D7635">
        <w:rPr>
          <w:rFonts w:ascii="Times New Roman" w:hAnsi="Times New Roman"/>
          <w:sz w:val="24"/>
          <w:szCs w:val="24"/>
          <w:shd w:val="clear" w:color="auto" w:fill="FFFFFF"/>
          <w:lang w:val="en-US"/>
        </w:rPr>
        <w:t>.</w:t>
      </w:r>
      <w:proofErr w:type="gramEnd"/>
      <w:r w:rsidR="00B314A6" w:rsidRPr="008D7635">
        <w:rPr>
          <w:rFonts w:ascii="Times New Roman" w:hAnsi="Times New Roman"/>
          <w:sz w:val="24"/>
          <w:szCs w:val="24"/>
          <w:shd w:val="clear" w:color="auto" w:fill="FFFFFF"/>
          <w:lang w:val="en-US"/>
        </w:rPr>
        <w:t xml:space="preserve"> Wiley Blackwell, vol. 110(2), pages 339-366, 06</w:t>
      </w:r>
    </w:p>
    <w:p w14:paraId="224F2025" w14:textId="77777777" w:rsidR="00B314A6" w:rsidRPr="008D7635" w:rsidRDefault="00B314A6" w:rsidP="00CB3533">
      <w:pPr>
        <w:spacing w:after="0" w:line="240" w:lineRule="auto"/>
        <w:ind w:left="720" w:hanging="720"/>
        <w:jc w:val="both"/>
        <w:rPr>
          <w:rFonts w:ascii="Times New Roman" w:eastAsia="Times New Roman" w:hAnsi="Times New Roman"/>
          <w:sz w:val="24"/>
          <w:szCs w:val="24"/>
          <w:lang w:eastAsia="en-GB"/>
        </w:rPr>
      </w:pPr>
      <w:r w:rsidRPr="008D7635">
        <w:rPr>
          <w:rFonts w:ascii="Times New Roman" w:eastAsia="Times New Roman" w:hAnsi="Times New Roman"/>
          <w:sz w:val="24"/>
          <w:szCs w:val="24"/>
          <w:lang w:eastAsia="en-GB"/>
        </w:rPr>
        <w:t xml:space="preserve">Van Hoorn, A.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2007</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A Short Introduction to Subjective Well-Being: Its Measurement, Correlates and Policy Uses</w:t>
      </w:r>
      <w:r w:rsidR="007172C2" w:rsidRPr="008D7635">
        <w:rPr>
          <w:rFonts w:ascii="Times New Roman" w:eastAsia="Times New Roman" w:hAnsi="Times New Roman"/>
          <w:sz w:val="24"/>
          <w:szCs w:val="24"/>
          <w:lang w:eastAsia="en-GB"/>
        </w:rPr>
        <w:t>’</w:t>
      </w:r>
      <w:r w:rsidRPr="008D7635">
        <w:rPr>
          <w:rFonts w:ascii="Times New Roman" w:eastAsia="Times New Roman" w:hAnsi="Times New Roman"/>
          <w:sz w:val="24"/>
          <w:szCs w:val="24"/>
          <w:lang w:eastAsia="en-GB"/>
        </w:rPr>
        <w:t xml:space="preserve">. Background paper prepared for </w:t>
      </w:r>
      <w:r w:rsidRPr="008D7635">
        <w:rPr>
          <w:rFonts w:ascii="Times New Roman" w:eastAsia="Times New Roman" w:hAnsi="Times New Roman"/>
          <w:i/>
          <w:sz w:val="24"/>
          <w:szCs w:val="24"/>
          <w:lang w:eastAsia="en-GB"/>
        </w:rPr>
        <w:t>OECD Conference on Measuring Progress of Societies</w:t>
      </w:r>
      <w:r w:rsidRPr="008D7635">
        <w:rPr>
          <w:rFonts w:ascii="Times New Roman" w:eastAsia="Times New Roman" w:hAnsi="Times New Roman"/>
          <w:sz w:val="24"/>
          <w:szCs w:val="24"/>
          <w:lang w:eastAsia="en-GB"/>
        </w:rPr>
        <w:t>. Istanbul, June 27-30.</w:t>
      </w:r>
    </w:p>
    <w:p w14:paraId="5090F35F" w14:textId="77777777" w:rsidR="00555D77" w:rsidRPr="008D7635" w:rsidRDefault="00555D77" w:rsidP="00CB3533">
      <w:pPr>
        <w:spacing w:after="0" w:line="240" w:lineRule="auto"/>
        <w:ind w:left="720" w:hanging="709"/>
        <w:jc w:val="both"/>
        <w:rPr>
          <w:rFonts w:ascii="Times New Roman" w:hAnsi="Times New Roman"/>
          <w:sz w:val="24"/>
          <w:szCs w:val="24"/>
          <w:lang w:val="en-US"/>
        </w:rPr>
      </w:pPr>
      <w:proofErr w:type="spellStart"/>
      <w:r w:rsidRPr="008D7635">
        <w:rPr>
          <w:rFonts w:ascii="Times New Roman" w:eastAsia="Times New Roman" w:hAnsi="Times New Roman"/>
          <w:sz w:val="24"/>
          <w:szCs w:val="24"/>
          <w:lang w:val="en-US" w:eastAsia="nl-NL"/>
        </w:rPr>
        <w:t>Veenhoven</w:t>
      </w:r>
      <w:proofErr w:type="spellEnd"/>
      <w:r w:rsidRPr="008D7635">
        <w:rPr>
          <w:rFonts w:ascii="Times New Roman" w:eastAsia="Times New Roman" w:hAnsi="Times New Roman"/>
          <w:sz w:val="24"/>
          <w:szCs w:val="24"/>
          <w:lang w:val="en-US" w:eastAsia="nl-NL"/>
        </w:rPr>
        <w:t>, R., 2008. World Database of Happiness: Continuous register of scientific research on subjective enjoyment of life Erasmus University Rotterdam, The Netherlands</w:t>
      </w:r>
      <w:r w:rsidRPr="008D7635">
        <w:rPr>
          <w:rFonts w:ascii="Times New Roman" w:hAnsi="Times New Roman"/>
          <w:sz w:val="24"/>
          <w:szCs w:val="24"/>
          <w:lang w:val="en-US"/>
        </w:rPr>
        <w:t xml:space="preserve"> </w:t>
      </w:r>
      <w:r w:rsidRPr="008D7635">
        <w:rPr>
          <w:rFonts w:ascii="Times New Roman" w:eastAsia="Times New Roman" w:hAnsi="Times New Roman"/>
          <w:sz w:val="24"/>
          <w:szCs w:val="24"/>
          <w:lang w:val="en-US" w:eastAsia="nl-NL"/>
        </w:rPr>
        <w:t xml:space="preserve">Available at: </w:t>
      </w:r>
      <w:hyperlink r:id="rId19" w:history="1">
        <w:r w:rsidRPr="008D7635">
          <w:rPr>
            <w:rFonts w:ascii="Times New Roman" w:eastAsia="Times New Roman" w:hAnsi="Times New Roman"/>
            <w:sz w:val="24"/>
            <w:szCs w:val="24"/>
            <w:lang w:val="en-US" w:eastAsia="nl-NL"/>
          </w:rPr>
          <w:t>http://worlddatabaseofhappiness.eur.nl</w:t>
        </w:r>
      </w:hyperlink>
    </w:p>
    <w:p w14:paraId="63D56BBC" w14:textId="77777777" w:rsidR="00555D77" w:rsidRPr="008D7635" w:rsidRDefault="00555D77" w:rsidP="00CB3533">
      <w:pPr>
        <w:spacing w:after="0" w:line="240" w:lineRule="auto"/>
        <w:ind w:left="720" w:hanging="720"/>
        <w:jc w:val="both"/>
        <w:rPr>
          <w:rFonts w:ascii="Times New Roman" w:eastAsia="Times New Roman" w:hAnsi="Times New Roman"/>
          <w:sz w:val="24"/>
          <w:szCs w:val="24"/>
          <w:lang w:eastAsia="en-GB"/>
        </w:rPr>
      </w:pPr>
      <w:proofErr w:type="spellStart"/>
      <w:r w:rsidRPr="008D7635">
        <w:rPr>
          <w:rFonts w:ascii="Times New Roman" w:eastAsia="Times New Roman" w:hAnsi="Times New Roman"/>
          <w:sz w:val="24"/>
          <w:szCs w:val="24"/>
          <w:lang w:eastAsia="en-GB"/>
        </w:rPr>
        <w:t>Warr</w:t>
      </w:r>
      <w:proofErr w:type="spellEnd"/>
      <w:r w:rsidRPr="008D7635">
        <w:rPr>
          <w:rFonts w:ascii="Times New Roman" w:eastAsia="Times New Roman" w:hAnsi="Times New Roman"/>
          <w:sz w:val="24"/>
          <w:szCs w:val="24"/>
          <w:lang w:eastAsia="en-GB"/>
        </w:rPr>
        <w:t xml:space="preserve">, P., 1999. </w:t>
      </w:r>
      <w:proofErr w:type="gramStart"/>
      <w:r w:rsidRPr="008D7635">
        <w:rPr>
          <w:rFonts w:ascii="Times New Roman" w:eastAsia="Times New Roman" w:hAnsi="Times New Roman"/>
          <w:sz w:val="24"/>
          <w:szCs w:val="24"/>
          <w:lang w:eastAsia="en-GB"/>
        </w:rPr>
        <w:t>Well-being in the workplace.</w:t>
      </w:r>
      <w:proofErr w:type="gramEnd"/>
      <w:r w:rsidRPr="008D7635">
        <w:rPr>
          <w:rFonts w:ascii="Times New Roman" w:eastAsia="Times New Roman" w:hAnsi="Times New Roman"/>
          <w:sz w:val="24"/>
          <w:szCs w:val="24"/>
          <w:lang w:eastAsia="en-GB"/>
        </w:rPr>
        <w:t xml:space="preserve"> In D. </w:t>
      </w:r>
      <w:proofErr w:type="spellStart"/>
      <w:r w:rsidRPr="008D7635">
        <w:rPr>
          <w:rFonts w:ascii="Times New Roman" w:eastAsia="Times New Roman" w:hAnsi="Times New Roman"/>
          <w:sz w:val="24"/>
          <w:szCs w:val="24"/>
          <w:lang w:eastAsia="en-GB"/>
        </w:rPr>
        <w:t>Kahneman</w:t>
      </w:r>
      <w:proofErr w:type="spellEnd"/>
      <w:r w:rsidRPr="008D7635">
        <w:rPr>
          <w:rFonts w:ascii="Times New Roman" w:eastAsia="Times New Roman" w:hAnsi="Times New Roman"/>
          <w:sz w:val="24"/>
          <w:szCs w:val="24"/>
          <w:lang w:eastAsia="en-GB"/>
        </w:rPr>
        <w:t xml:space="preserve">, E. </w:t>
      </w:r>
      <w:proofErr w:type="spellStart"/>
      <w:r w:rsidRPr="008D7635">
        <w:rPr>
          <w:rFonts w:ascii="Times New Roman" w:eastAsia="Times New Roman" w:hAnsi="Times New Roman"/>
          <w:sz w:val="24"/>
          <w:szCs w:val="24"/>
          <w:lang w:eastAsia="en-GB"/>
        </w:rPr>
        <w:t>Diener</w:t>
      </w:r>
      <w:proofErr w:type="spellEnd"/>
      <w:proofErr w:type="gramStart"/>
      <w:r w:rsidRPr="008D7635">
        <w:rPr>
          <w:rFonts w:ascii="Times New Roman" w:eastAsia="Times New Roman" w:hAnsi="Times New Roman"/>
          <w:sz w:val="24"/>
          <w:szCs w:val="24"/>
          <w:lang w:eastAsia="en-GB"/>
        </w:rPr>
        <w:t>,  N</w:t>
      </w:r>
      <w:proofErr w:type="gramEnd"/>
      <w:r w:rsidRPr="008D7635">
        <w:rPr>
          <w:rFonts w:ascii="Times New Roman" w:eastAsia="Times New Roman" w:hAnsi="Times New Roman"/>
          <w:sz w:val="24"/>
          <w:szCs w:val="24"/>
          <w:lang w:eastAsia="en-GB"/>
        </w:rPr>
        <w:t xml:space="preserve">. Schwarz (Ed.), </w:t>
      </w:r>
      <w:r w:rsidRPr="008D7635">
        <w:rPr>
          <w:rFonts w:ascii="Times New Roman" w:eastAsia="Times New Roman" w:hAnsi="Times New Roman"/>
          <w:i/>
          <w:sz w:val="24"/>
          <w:szCs w:val="24"/>
          <w:lang w:eastAsia="en-GB"/>
        </w:rPr>
        <w:t>Well-being: The Foundations of Hedonic Psychology</w:t>
      </w:r>
      <w:r w:rsidRPr="008D7635">
        <w:rPr>
          <w:rFonts w:ascii="Times New Roman" w:eastAsia="Times New Roman" w:hAnsi="Times New Roman"/>
          <w:sz w:val="24"/>
          <w:szCs w:val="24"/>
          <w:lang w:eastAsia="en-GB"/>
        </w:rPr>
        <w:t xml:space="preserve"> (pp.392-412). New </w:t>
      </w:r>
      <w:proofErr w:type="gramStart"/>
      <w:r w:rsidRPr="008D7635">
        <w:rPr>
          <w:rFonts w:ascii="Times New Roman" w:eastAsia="Times New Roman" w:hAnsi="Times New Roman"/>
          <w:sz w:val="24"/>
          <w:szCs w:val="24"/>
          <w:lang w:eastAsia="en-GB"/>
        </w:rPr>
        <w:t>York :</w:t>
      </w:r>
      <w:proofErr w:type="gramEnd"/>
      <w:r w:rsidRPr="008D7635">
        <w:rPr>
          <w:rFonts w:ascii="Times New Roman" w:eastAsia="Times New Roman" w:hAnsi="Times New Roman"/>
          <w:sz w:val="24"/>
          <w:szCs w:val="24"/>
          <w:lang w:eastAsia="en-GB"/>
        </w:rPr>
        <w:t xml:space="preserve"> Russell Sage Foundation</w:t>
      </w:r>
    </w:p>
    <w:p w14:paraId="0D92FE8A" w14:textId="77777777" w:rsidR="00B314A6" w:rsidRPr="008D7635" w:rsidRDefault="007172C2" w:rsidP="00CB3533">
      <w:pPr>
        <w:spacing w:after="0" w:line="240" w:lineRule="auto"/>
        <w:ind w:left="720" w:hanging="720"/>
        <w:jc w:val="both"/>
        <w:rPr>
          <w:rFonts w:ascii="Times New Roman" w:eastAsia="TimesNewRoman" w:hAnsi="Times New Roman"/>
          <w:sz w:val="24"/>
          <w:szCs w:val="24"/>
          <w:lang w:eastAsia="en-GB"/>
        </w:rPr>
      </w:pPr>
      <w:r w:rsidRPr="008D7635">
        <w:rPr>
          <w:rFonts w:ascii="Times New Roman" w:eastAsia="TimesNewRoman" w:hAnsi="Times New Roman"/>
          <w:sz w:val="24"/>
          <w:szCs w:val="24"/>
          <w:lang w:eastAsia="en-GB"/>
        </w:rPr>
        <w:t>Yu, P.L. (</w:t>
      </w:r>
      <w:r w:rsidR="00B314A6" w:rsidRPr="008D7635">
        <w:rPr>
          <w:rFonts w:ascii="Times New Roman" w:eastAsia="TimesNewRoman" w:hAnsi="Times New Roman"/>
          <w:sz w:val="24"/>
          <w:szCs w:val="24"/>
          <w:lang w:eastAsia="en-GB"/>
        </w:rPr>
        <w:t>1985</w:t>
      </w:r>
      <w:r w:rsidRPr="008D7635">
        <w:rPr>
          <w:rFonts w:ascii="Times New Roman" w:eastAsia="TimesNewRoman" w:hAnsi="Times New Roman"/>
          <w:sz w:val="24"/>
          <w:szCs w:val="24"/>
          <w:lang w:eastAsia="en-GB"/>
        </w:rPr>
        <w:t>)</w:t>
      </w:r>
      <w:r w:rsidR="00B314A6" w:rsidRPr="008D7635">
        <w:rPr>
          <w:rFonts w:ascii="Times New Roman" w:eastAsia="TimesNewRoman" w:hAnsi="Times New Roman"/>
          <w:sz w:val="24"/>
          <w:szCs w:val="24"/>
          <w:lang w:eastAsia="en-GB"/>
        </w:rPr>
        <w:t xml:space="preserve">. </w:t>
      </w:r>
      <w:r w:rsidR="00B314A6" w:rsidRPr="008D7635">
        <w:rPr>
          <w:rFonts w:ascii="Times New Roman" w:eastAsia="TimesNewRoman,Italic" w:hAnsi="Times New Roman"/>
          <w:i/>
          <w:iCs/>
          <w:sz w:val="24"/>
          <w:szCs w:val="24"/>
          <w:lang w:eastAsia="en-GB"/>
        </w:rPr>
        <w:t>Multi Criteria Decision Making: Concepts, Techniques and Extensions</w:t>
      </w:r>
      <w:r w:rsidRPr="008D7635">
        <w:rPr>
          <w:rFonts w:ascii="Times New Roman" w:eastAsia="TimesNewRoman" w:hAnsi="Times New Roman"/>
          <w:sz w:val="24"/>
          <w:szCs w:val="24"/>
          <w:lang w:eastAsia="en-GB"/>
        </w:rPr>
        <w:t>.</w:t>
      </w:r>
      <w:r w:rsidR="00B314A6" w:rsidRPr="008D7635">
        <w:rPr>
          <w:rFonts w:ascii="Times New Roman" w:eastAsia="TimesNewRoman" w:hAnsi="Times New Roman"/>
          <w:sz w:val="24"/>
          <w:szCs w:val="24"/>
          <w:lang w:eastAsia="en-GB"/>
        </w:rPr>
        <w:t xml:space="preserve"> Plenum Press, New York</w:t>
      </w:r>
    </w:p>
    <w:p w14:paraId="5B3BB58B" w14:textId="77777777" w:rsidR="00B314A6" w:rsidRPr="00B314A6" w:rsidRDefault="007172C2" w:rsidP="00CB3533">
      <w:pPr>
        <w:spacing w:after="0" w:line="240" w:lineRule="auto"/>
        <w:ind w:left="720" w:hanging="709"/>
        <w:jc w:val="both"/>
        <w:rPr>
          <w:rFonts w:ascii="Times New Roman" w:hAnsi="Times New Roman"/>
          <w:sz w:val="24"/>
          <w:szCs w:val="24"/>
          <w:lang w:val="en-US"/>
        </w:rPr>
      </w:pPr>
      <w:proofErr w:type="spellStart"/>
      <w:r w:rsidRPr="008D7635">
        <w:rPr>
          <w:rFonts w:ascii="Times New Roman" w:eastAsia="Arial Unicode MS" w:hAnsi="Times New Roman"/>
          <w:sz w:val="24"/>
          <w:szCs w:val="24"/>
          <w:lang w:val="en-US"/>
        </w:rPr>
        <w:t>Zeleny</w:t>
      </w:r>
      <w:proofErr w:type="spellEnd"/>
      <w:r w:rsidRPr="008D7635">
        <w:rPr>
          <w:rFonts w:ascii="Times New Roman" w:eastAsia="Arial Unicode MS" w:hAnsi="Times New Roman"/>
          <w:sz w:val="24"/>
          <w:szCs w:val="24"/>
          <w:lang w:val="en-US"/>
        </w:rPr>
        <w:t>, M. (</w:t>
      </w:r>
      <w:r w:rsidR="00B314A6" w:rsidRPr="008D7635">
        <w:rPr>
          <w:rFonts w:ascii="Times New Roman" w:eastAsia="Arial Unicode MS" w:hAnsi="Times New Roman"/>
          <w:sz w:val="24"/>
          <w:szCs w:val="24"/>
          <w:lang w:val="en-US"/>
        </w:rPr>
        <w:t>1982</w:t>
      </w:r>
      <w:r w:rsidRPr="008D7635">
        <w:rPr>
          <w:rFonts w:ascii="Times New Roman" w:eastAsia="Arial Unicode MS" w:hAnsi="Times New Roman"/>
          <w:sz w:val="24"/>
          <w:szCs w:val="24"/>
          <w:lang w:val="en-US"/>
        </w:rPr>
        <w:t>)</w:t>
      </w:r>
      <w:r w:rsidR="00B314A6" w:rsidRPr="008D7635">
        <w:rPr>
          <w:rFonts w:ascii="Times New Roman" w:eastAsia="Arial Unicode MS" w:hAnsi="Times New Roman"/>
          <w:sz w:val="24"/>
          <w:szCs w:val="24"/>
          <w:lang w:val="en-US"/>
        </w:rPr>
        <w:t xml:space="preserve">. </w:t>
      </w:r>
      <w:proofErr w:type="gramStart"/>
      <w:r w:rsidR="00B314A6" w:rsidRPr="008D7635">
        <w:rPr>
          <w:rFonts w:ascii="Times New Roman" w:eastAsia="Arial Unicode MS" w:hAnsi="Times New Roman"/>
          <w:i/>
          <w:sz w:val="24"/>
          <w:szCs w:val="24"/>
          <w:lang w:val="en-US"/>
        </w:rPr>
        <w:t>Multiple Criteria Decision Making</w:t>
      </w:r>
      <w:r w:rsidRPr="008D7635">
        <w:rPr>
          <w:rFonts w:ascii="Times New Roman" w:eastAsia="Arial Unicode MS" w:hAnsi="Times New Roman"/>
          <w:sz w:val="24"/>
          <w:szCs w:val="24"/>
          <w:lang w:val="en-US"/>
        </w:rPr>
        <w:t>.</w:t>
      </w:r>
      <w:proofErr w:type="gramEnd"/>
      <w:r w:rsidR="00B314A6" w:rsidRPr="008D7635">
        <w:rPr>
          <w:rFonts w:ascii="Times New Roman" w:eastAsia="Arial Unicode MS" w:hAnsi="Times New Roman"/>
          <w:sz w:val="24"/>
          <w:szCs w:val="24"/>
          <w:lang w:val="en-US"/>
        </w:rPr>
        <w:t xml:space="preserve"> McGraw- Hill: New York</w:t>
      </w:r>
      <w:bookmarkStart w:id="0" w:name="_GoBack"/>
      <w:bookmarkEnd w:id="0"/>
    </w:p>
    <w:p w14:paraId="1CB0854B" w14:textId="77777777" w:rsidR="00656C08" w:rsidRPr="00CE68CC" w:rsidRDefault="00656C08" w:rsidP="00CB3533">
      <w:pPr>
        <w:spacing w:after="0" w:line="240" w:lineRule="auto"/>
        <w:ind w:left="720" w:hanging="720"/>
        <w:jc w:val="both"/>
        <w:rPr>
          <w:rFonts w:ascii="Times New Roman" w:eastAsia="Times New Roman" w:hAnsi="Times New Roman"/>
          <w:sz w:val="24"/>
          <w:szCs w:val="24"/>
          <w:lang w:eastAsia="en-GB"/>
        </w:rPr>
      </w:pPr>
    </w:p>
    <w:p w14:paraId="3AF64206" w14:textId="77777777" w:rsidR="00CE68CC" w:rsidRPr="000E191C" w:rsidRDefault="00CE68CC" w:rsidP="00CB3533">
      <w:pPr>
        <w:spacing w:after="0" w:line="240" w:lineRule="auto"/>
        <w:jc w:val="both"/>
        <w:rPr>
          <w:rFonts w:ascii="Times New Roman" w:eastAsia="Times New Roman" w:hAnsi="Times New Roman"/>
          <w:sz w:val="24"/>
          <w:szCs w:val="24"/>
          <w:lang w:eastAsia="en-GB"/>
        </w:rPr>
      </w:pPr>
    </w:p>
    <w:sectPr w:rsidR="00CE68CC" w:rsidRPr="000E191C" w:rsidSect="00D4092E">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7EC80" w14:textId="77777777" w:rsidR="002C5C99" w:rsidRDefault="002C5C99" w:rsidP="000E191C">
      <w:pPr>
        <w:spacing w:after="0" w:line="240" w:lineRule="auto"/>
      </w:pPr>
      <w:r>
        <w:separator/>
      </w:r>
    </w:p>
  </w:endnote>
  <w:endnote w:type="continuationSeparator" w:id="0">
    <w:p w14:paraId="36A04C6F" w14:textId="77777777" w:rsidR="002C5C99" w:rsidRDefault="002C5C99" w:rsidP="000E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Arial Unicode MS"/>
    <w:panose1 w:val="00000000000000000000"/>
    <w:charset w:val="86"/>
    <w:family w:val="auto"/>
    <w:notTrueType/>
    <w:pitch w:val="default"/>
    <w:sig w:usb0="00000003" w:usb1="080E0000" w:usb2="0000001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A5C46" w14:textId="77777777" w:rsidR="002C5C99" w:rsidRDefault="002C5C99" w:rsidP="000E191C">
      <w:pPr>
        <w:spacing w:after="0" w:line="240" w:lineRule="auto"/>
      </w:pPr>
      <w:r>
        <w:separator/>
      </w:r>
    </w:p>
  </w:footnote>
  <w:footnote w:type="continuationSeparator" w:id="0">
    <w:p w14:paraId="0D848160" w14:textId="77777777" w:rsidR="002C5C99" w:rsidRDefault="002C5C99" w:rsidP="000E1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DE5"/>
    <w:multiLevelType w:val="hybridMultilevel"/>
    <w:tmpl w:val="FF6203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180474"/>
    <w:multiLevelType w:val="hybridMultilevel"/>
    <w:tmpl w:val="05EED7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6937CD"/>
    <w:multiLevelType w:val="hybridMultilevel"/>
    <w:tmpl w:val="A3BCD9F6"/>
    <w:lvl w:ilvl="0" w:tplc="CDD8723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2536E6"/>
    <w:multiLevelType w:val="hybridMultilevel"/>
    <w:tmpl w:val="CC9E44E2"/>
    <w:lvl w:ilvl="0" w:tplc="CDD8723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A16103"/>
    <w:multiLevelType w:val="hybridMultilevel"/>
    <w:tmpl w:val="117AE29C"/>
    <w:lvl w:ilvl="0" w:tplc="716CC6C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7F773A"/>
    <w:multiLevelType w:val="hybridMultilevel"/>
    <w:tmpl w:val="4DFAF3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E83108"/>
    <w:multiLevelType w:val="hybridMultilevel"/>
    <w:tmpl w:val="7E341A24"/>
    <w:lvl w:ilvl="0" w:tplc="CDD87230">
      <w:start w:val="1"/>
      <w:numFmt w:val="bullet"/>
      <w:lvlText w:val=""/>
      <w:lvlJc w:val="left"/>
      <w:pPr>
        <w:ind w:left="1440" w:hanging="360"/>
      </w:pPr>
      <w:rPr>
        <w:rFonts w:ascii="Wingdings" w:hAnsi="Wingdings"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8855F8A"/>
    <w:multiLevelType w:val="hybridMultilevel"/>
    <w:tmpl w:val="9AAE82EA"/>
    <w:lvl w:ilvl="0" w:tplc="BF0CC33C">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11FD2"/>
    <w:multiLevelType w:val="hybridMultilevel"/>
    <w:tmpl w:val="D1203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6221D6"/>
    <w:multiLevelType w:val="multilevel"/>
    <w:tmpl w:val="A85EA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DD1BB2"/>
    <w:multiLevelType w:val="hybridMultilevel"/>
    <w:tmpl w:val="B7748308"/>
    <w:lvl w:ilvl="0" w:tplc="CDD8723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132559"/>
    <w:multiLevelType w:val="hybridMultilevel"/>
    <w:tmpl w:val="0FC44630"/>
    <w:lvl w:ilvl="0" w:tplc="CDD8723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7806DB"/>
    <w:multiLevelType w:val="hybridMultilevel"/>
    <w:tmpl w:val="6C0EB1D2"/>
    <w:lvl w:ilvl="0" w:tplc="CEC88D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1E4D24"/>
    <w:multiLevelType w:val="hybridMultilevel"/>
    <w:tmpl w:val="61D48746"/>
    <w:lvl w:ilvl="0" w:tplc="716CC6C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3"/>
  </w:num>
  <w:num w:numId="5">
    <w:abstractNumId w:val="11"/>
  </w:num>
  <w:num w:numId="6">
    <w:abstractNumId w:val="10"/>
  </w:num>
  <w:num w:numId="7">
    <w:abstractNumId w:val="2"/>
  </w:num>
  <w:num w:numId="8">
    <w:abstractNumId w:val="7"/>
  </w:num>
  <w:num w:numId="9">
    <w:abstractNumId w:val="5"/>
  </w:num>
  <w:num w:numId="10">
    <w:abstractNumId w:val="4"/>
  </w:num>
  <w:num w:numId="11">
    <w:abstractNumId w:val="13"/>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1C"/>
    <w:rsid w:val="0000621C"/>
    <w:rsid w:val="00052E3C"/>
    <w:rsid w:val="0006388E"/>
    <w:rsid w:val="00063C2E"/>
    <w:rsid w:val="000730E4"/>
    <w:rsid w:val="000A5C83"/>
    <w:rsid w:val="000E1094"/>
    <w:rsid w:val="000E191C"/>
    <w:rsid w:val="000E4C9B"/>
    <w:rsid w:val="000E7945"/>
    <w:rsid w:val="000F7F31"/>
    <w:rsid w:val="00110F19"/>
    <w:rsid w:val="00114598"/>
    <w:rsid w:val="00124BB0"/>
    <w:rsid w:val="00132BF1"/>
    <w:rsid w:val="00137757"/>
    <w:rsid w:val="001579AC"/>
    <w:rsid w:val="00167555"/>
    <w:rsid w:val="001C3B13"/>
    <w:rsid w:val="001C42FD"/>
    <w:rsid w:val="001D2D85"/>
    <w:rsid w:val="00203D96"/>
    <w:rsid w:val="00210CA7"/>
    <w:rsid w:val="0021208A"/>
    <w:rsid w:val="00234989"/>
    <w:rsid w:val="002446B8"/>
    <w:rsid w:val="00255A4E"/>
    <w:rsid w:val="00262A65"/>
    <w:rsid w:val="00263CEB"/>
    <w:rsid w:val="002770D1"/>
    <w:rsid w:val="002B5A59"/>
    <w:rsid w:val="002B6040"/>
    <w:rsid w:val="002C5C99"/>
    <w:rsid w:val="002D2246"/>
    <w:rsid w:val="00355355"/>
    <w:rsid w:val="003610EA"/>
    <w:rsid w:val="00365520"/>
    <w:rsid w:val="00391C5B"/>
    <w:rsid w:val="003967AF"/>
    <w:rsid w:val="003B0E48"/>
    <w:rsid w:val="003B54AF"/>
    <w:rsid w:val="003C7DE2"/>
    <w:rsid w:val="003D1FFE"/>
    <w:rsid w:val="003D3BFB"/>
    <w:rsid w:val="003E0D5E"/>
    <w:rsid w:val="003E6E5B"/>
    <w:rsid w:val="003E7C16"/>
    <w:rsid w:val="00417C96"/>
    <w:rsid w:val="00443D3D"/>
    <w:rsid w:val="004555F5"/>
    <w:rsid w:val="00460E1F"/>
    <w:rsid w:val="004641AE"/>
    <w:rsid w:val="00465271"/>
    <w:rsid w:val="0047407C"/>
    <w:rsid w:val="004B05E2"/>
    <w:rsid w:val="004C3B1C"/>
    <w:rsid w:val="004D3577"/>
    <w:rsid w:val="00515E3E"/>
    <w:rsid w:val="00525225"/>
    <w:rsid w:val="0053310B"/>
    <w:rsid w:val="00555D77"/>
    <w:rsid w:val="00586454"/>
    <w:rsid w:val="005B30F6"/>
    <w:rsid w:val="005B4937"/>
    <w:rsid w:val="005C46DD"/>
    <w:rsid w:val="005E585C"/>
    <w:rsid w:val="005E5A6C"/>
    <w:rsid w:val="005F35FE"/>
    <w:rsid w:val="00625A7B"/>
    <w:rsid w:val="00656C08"/>
    <w:rsid w:val="00661AA0"/>
    <w:rsid w:val="00694B4F"/>
    <w:rsid w:val="006A181E"/>
    <w:rsid w:val="006C7048"/>
    <w:rsid w:val="006E2868"/>
    <w:rsid w:val="006E5B5A"/>
    <w:rsid w:val="0071353F"/>
    <w:rsid w:val="00715C69"/>
    <w:rsid w:val="007172C2"/>
    <w:rsid w:val="007510C8"/>
    <w:rsid w:val="0076769C"/>
    <w:rsid w:val="00770E40"/>
    <w:rsid w:val="0078572E"/>
    <w:rsid w:val="007A23A3"/>
    <w:rsid w:val="007C5C42"/>
    <w:rsid w:val="007E2F9F"/>
    <w:rsid w:val="00803C44"/>
    <w:rsid w:val="00824AB7"/>
    <w:rsid w:val="00833A83"/>
    <w:rsid w:val="0083419C"/>
    <w:rsid w:val="0084725C"/>
    <w:rsid w:val="008D241A"/>
    <w:rsid w:val="008D7635"/>
    <w:rsid w:val="008E4664"/>
    <w:rsid w:val="009019C4"/>
    <w:rsid w:val="00921275"/>
    <w:rsid w:val="00934D3E"/>
    <w:rsid w:val="00950B68"/>
    <w:rsid w:val="00953045"/>
    <w:rsid w:val="009642B1"/>
    <w:rsid w:val="00973F1A"/>
    <w:rsid w:val="009807EF"/>
    <w:rsid w:val="00987BFB"/>
    <w:rsid w:val="00994BDD"/>
    <w:rsid w:val="009C5687"/>
    <w:rsid w:val="00A11966"/>
    <w:rsid w:val="00A11B42"/>
    <w:rsid w:val="00A13A25"/>
    <w:rsid w:val="00A22C4F"/>
    <w:rsid w:val="00A44FD2"/>
    <w:rsid w:val="00A63BFE"/>
    <w:rsid w:val="00A66063"/>
    <w:rsid w:val="00A86249"/>
    <w:rsid w:val="00A96553"/>
    <w:rsid w:val="00A9734C"/>
    <w:rsid w:val="00AB2AB1"/>
    <w:rsid w:val="00AD29E7"/>
    <w:rsid w:val="00AD64D9"/>
    <w:rsid w:val="00B0343E"/>
    <w:rsid w:val="00B314A6"/>
    <w:rsid w:val="00B36B25"/>
    <w:rsid w:val="00B80A06"/>
    <w:rsid w:val="00B960D9"/>
    <w:rsid w:val="00B97D2E"/>
    <w:rsid w:val="00BA29AE"/>
    <w:rsid w:val="00BC47AD"/>
    <w:rsid w:val="00BF2D6E"/>
    <w:rsid w:val="00C22FCB"/>
    <w:rsid w:val="00C66BB2"/>
    <w:rsid w:val="00C75AF1"/>
    <w:rsid w:val="00C81715"/>
    <w:rsid w:val="00CA0534"/>
    <w:rsid w:val="00CA28DF"/>
    <w:rsid w:val="00CB3533"/>
    <w:rsid w:val="00CC4A19"/>
    <w:rsid w:val="00CD3B42"/>
    <w:rsid w:val="00CE68CC"/>
    <w:rsid w:val="00CF79E2"/>
    <w:rsid w:val="00D146AE"/>
    <w:rsid w:val="00D4092E"/>
    <w:rsid w:val="00D74A0B"/>
    <w:rsid w:val="00DA000E"/>
    <w:rsid w:val="00DF36AC"/>
    <w:rsid w:val="00DF769C"/>
    <w:rsid w:val="00E01077"/>
    <w:rsid w:val="00E06EA8"/>
    <w:rsid w:val="00E072CA"/>
    <w:rsid w:val="00E13B15"/>
    <w:rsid w:val="00E14FE1"/>
    <w:rsid w:val="00E162E5"/>
    <w:rsid w:val="00E24300"/>
    <w:rsid w:val="00E652D8"/>
    <w:rsid w:val="00EB14A5"/>
    <w:rsid w:val="00EC19AE"/>
    <w:rsid w:val="00EE244F"/>
    <w:rsid w:val="00EF08F4"/>
    <w:rsid w:val="00F00924"/>
    <w:rsid w:val="00F24082"/>
    <w:rsid w:val="00F24928"/>
    <w:rsid w:val="00F24C52"/>
    <w:rsid w:val="00F34C9C"/>
    <w:rsid w:val="00F63419"/>
    <w:rsid w:val="00FC5C13"/>
    <w:rsid w:val="00FD40FC"/>
    <w:rsid w:val="00FD74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5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91C"/>
    <w:rPr>
      <w:sz w:val="20"/>
      <w:szCs w:val="20"/>
    </w:rPr>
  </w:style>
  <w:style w:type="character" w:customStyle="1" w:styleId="FootnoteTextChar">
    <w:name w:val="Footnote Text Char"/>
    <w:basedOn w:val="DefaultParagraphFont"/>
    <w:link w:val="FootnoteText"/>
    <w:uiPriority w:val="99"/>
    <w:semiHidden/>
    <w:rsid w:val="000E191C"/>
    <w:rPr>
      <w:rFonts w:ascii="Calibri" w:eastAsia="Calibri" w:hAnsi="Calibri" w:cs="Times New Roman"/>
      <w:sz w:val="20"/>
      <w:szCs w:val="20"/>
    </w:rPr>
  </w:style>
  <w:style w:type="character" w:styleId="FootnoteReference">
    <w:name w:val="footnote reference"/>
    <w:uiPriority w:val="99"/>
    <w:semiHidden/>
    <w:unhideWhenUsed/>
    <w:rsid w:val="000E191C"/>
    <w:rPr>
      <w:vertAlign w:val="superscript"/>
    </w:rPr>
  </w:style>
  <w:style w:type="paragraph" w:styleId="BalloonText">
    <w:name w:val="Balloon Text"/>
    <w:basedOn w:val="Normal"/>
    <w:link w:val="BalloonTextChar"/>
    <w:uiPriority w:val="99"/>
    <w:semiHidden/>
    <w:unhideWhenUsed/>
    <w:rsid w:val="000E1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1C"/>
    <w:rPr>
      <w:rFonts w:ascii="Tahoma" w:eastAsia="Calibri" w:hAnsi="Tahoma" w:cs="Tahoma"/>
      <w:sz w:val="16"/>
      <w:szCs w:val="16"/>
    </w:rPr>
  </w:style>
  <w:style w:type="character" w:styleId="Hyperlink">
    <w:name w:val="Hyperlink"/>
    <w:basedOn w:val="DefaultParagraphFont"/>
    <w:uiPriority w:val="99"/>
    <w:semiHidden/>
    <w:unhideWhenUsed/>
    <w:rsid w:val="00CE68CC"/>
    <w:rPr>
      <w:color w:val="0000FF"/>
      <w:u w:val="single"/>
    </w:rPr>
  </w:style>
  <w:style w:type="paragraph" w:styleId="ListParagraph">
    <w:name w:val="List Paragraph"/>
    <w:basedOn w:val="Normal"/>
    <w:uiPriority w:val="34"/>
    <w:qFormat/>
    <w:rsid w:val="00B314A6"/>
    <w:pPr>
      <w:ind w:left="720"/>
      <w:contextualSpacing/>
    </w:pPr>
  </w:style>
  <w:style w:type="character" w:styleId="CommentReference">
    <w:name w:val="annotation reference"/>
    <w:basedOn w:val="DefaultParagraphFont"/>
    <w:uiPriority w:val="99"/>
    <w:semiHidden/>
    <w:unhideWhenUsed/>
    <w:rsid w:val="00110F19"/>
    <w:rPr>
      <w:sz w:val="16"/>
      <w:szCs w:val="16"/>
    </w:rPr>
  </w:style>
  <w:style w:type="paragraph" w:styleId="CommentText">
    <w:name w:val="annotation text"/>
    <w:basedOn w:val="Normal"/>
    <w:link w:val="CommentTextChar"/>
    <w:uiPriority w:val="99"/>
    <w:semiHidden/>
    <w:unhideWhenUsed/>
    <w:rsid w:val="00110F19"/>
    <w:pPr>
      <w:spacing w:line="240" w:lineRule="auto"/>
    </w:pPr>
    <w:rPr>
      <w:sz w:val="20"/>
      <w:szCs w:val="20"/>
    </w:rPr>
  </w:style>
  <w:style w:type="character" w:customStyle="1" w:styleId="CommentTextChar">
    <w:name w:val="Comment Text Char"/>
    <w:basedOn w:val="DefaultParagraphFont"/>
    <w:link w:val="CommentText"/>
    <w:uiPriority w:val="99"/>
    <w:semiHidden/>
    <w:rsid w:val="00110F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0F19"/>
    <w:rPr>
      <w:b/>
      <w:bCs/>
    </w:rPr>
  </w:style>
  <w:style w:type="character" w:customStyle="1" w:styleId="CommentSubjectChar">
    <w:name w:val="Comment Subject Char"/>
    <w:basedOn w:val="CommentTextChar"/>
    <w:link w:val="CommentSubject"/>
    <w:uiPriority w:val="99"/>
    <w:semiHidden/>
    <w:rsid w:val="00110F1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91C"/>
    <w:rPr>
      <w:sz w:val="20"/>
      <w:szCs w:val="20"/>
    </w:rPr>
  </w:style>
  <w:style w:type="character" w:customStyle="1" w:styleId="FootnoteTextChar">
    <w:name w:val="Footnote Text Char"/>
    <w:basedOn w:val="DefaultParagraphFont"/>
    <w:link w:val="FootnoteText"/>
    <w:uiPriority w:val="99"/>
    <w:semiHidden/>
    <w:rsid w:val="000E191C"/>
    <w:rPr>
      <w:rFonts w:ascii="Calibri" w:eastAsia="Calibri" w:hAnsi="Calibri" w:cs="Times New Roman"/>
      <w:sz w:val="20"/>
      <w:szCs w:val="20"/>
    </w:rPr>
  </w:style>
  <w:style w:type="character" w:styleId="FootnoteReference">
    <w:name w:val="footnote reference"/>
    <w:uiPriority w:val="99"/>
    <w:semiHidden/>
    <w:unhideWhenUsed/>
    <w:rsid w:val="000E191C"/>
    <w:rPr>
      <w:vertAlign w:val="superscript"/>
    </w:rPr>
  </w:style>
  <w:style w:type="paragraph" w:styleId="BalloonText">
    <w:name w:val="Balloon Text"/>
    <w:basedOn w:val="Normal"/>
    <w:link w:val="BalloonTextChar"/>
    <w:uiPriority w:val="99"/>
    <w:semiHidden/>
    <w:unhideWhenUsed/>
    <w:rsid w:val="000E1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1C"/>
    <w:rPr>
      <w:rFonts w:ascii="Tahoma" w:eastAsia="Calibri" w:hAnsi="Tahoma" w:cs="Tahoma"/>
      <w:sz w:val="16"/>
      <w:szCs w:val="16"/>
    </w:rPr>
  </w:style>
  <w:style w:type="character" w:styleId="Hyperlink">
    <w:name w:val="Hyperlink"/>
    <w:basedOn w:val="DefaultParagraphFont"/>
    <w:uiPriority w:val="99"/>
    <w:semiHidden/>
    <w:unhideWhenUsed/>
    <w:rsid w:val="00CE68CC"/>
    <w:rPr>
      <w:color w:val="0000FF"/>
      <w:u w:val="single"/>
    </w:rPr>
  </w:style>
  <w:style w:type="paragraph" w:styleId="ListParagraph">
    <w:name w:val="List Paragraph"/>
    <w:basedOn w:val="Normal"/>
    <w:uiPriority w:val="34"/>
    <w:qFormat/>
    <w:rsid w:val="00B314A6"/>
    <w:pPr>
      <w:ind w:left="720"/>
      <w:contextualSpacing/>
    </w:pPr>
  </w:style>
  <w:style w:type="character" w:styleId="CommentReference">
    <w:name w:val="annotation reference"/>
    <w:basedOn w:val="DefaultParagraphFont"/>
    <w:uiPriority w:val="99"/>
    <w:semiHidden/>
    <w:unhideWhenUsed/>
    <w:rsid w:val="00110F19"/>
    <w:rPr>
      <w:sz w:val="16"/>
      <w:szCs w:val="16"/>
    </w:rPr>
  </w:style>
  <w:style w:type="paragraph" w:styleId="CommentText">
    <w:name w:val="annotation text"/>
    <w:basedOn w:val="Normal"/>
    <w:link w:val="CommentTextChar"/>
    <w:uiPriority w:val="99"/>
    <w:semiHidden/>
    <w:unhideWhenUsed/>
    <w:rsid w:val="00110F19"/>
    <w:pPr>
      <w:spacing w:line="240" w:lineRule="auto"/>
    </w:pPr>
    <w:rPr>
      <w:sz w:val="20"/>
      <w:szCs w:val="20"/>
    </w:rPr>
  </w:style>
  <w:style w:type="character" w:customStyle="1" w:styleId="CommentTextChar">
    <w:name w:val="Comment Text Char"/>
    <w:basedOn w:val="DefaultParagraphFont"/>
    <w:link w:val="CommentText"/>
    <w:uiPriority w:val="99"/>
    <w:semiHidden/>
    <w:rsid w:val="00110F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0F19"/>
    <w:rPr>
      <w:b/>
      <w:bCs/>
    </w:rPr>
  </w:style>
  <w:style w:type="character" w:customStyle="1" w:styleId="CommentSubjectChar">
    <w:name w:val="Comment Subject Char"/>
    <w:basedOn w:val="CommentTextChar"/>
    <w:link w:val="CommentSubject"/>
    <w:uiPriority w:val="99"/>
    <w:semiHidden/>
    <w:rsid w:val="00110F1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COM:2010:2020:FIN:EN:PDF" TargetMode="External"/><Relationship Id="rId18" Type="http://schemas.openxmlformats.org/officeDocument/2006/relationships/hyperlink" Target="http://ideas.repec.org/s/bla/scandj.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frameproject.eu/" TargetMode="External"/><Relationship Id="rId17" Type="http://schemas.openxmlformats.org/officeDocument/2006/relationships/hyperlink" Target="http://ideas.repec.org/a/bla/scandj/v110y2008i2p339-366.html" TargetMode="External"/><Relationship Id="rId2" Type="http://schemas.openxmlformats.org/officeDocument/2006/relationships/numbering" Target="numbering.xml"/><Relationship Id="rId16" Type="http://schemas.openxmlformats.org/officeDocument/2006/relationships/hyperlink" Target="http://www.sciencedirect.com/science?_ob=ArticleURL&amp;_udi=B6VCT-497RDGG-3&amp;_user=495973&amp;_coverDate=11%2F01%2F2004&amp;_alid=1304518908&amp;_rdoc=1&amp;_fmt=high&amp;_orig=search&amp;_cdi=5963&amp;_docanchor=&amp;view=c&amp;_ct=12&amp;_acct=C000024198&amp;_version=1&amp;_urlVersion=0&amp;_userid=495973&amp;md5=7e24db558f7157cd31b0eef5d9fec5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ainpoolproject.eu/" TargetMode="External"/><Relationship Id="rId5" Type="http://schemas.openxmlformats.org/officeDocument/2006/relationships/settings" Target="settings.xml"/><Relationship Id="rId15" Type="http://schemas.openxmlformats.org/officeDocument/2006/relationships/hyperlink" Target="http://ideas.repec.org/a/wej/wldecn/90.html" TargetMode="External"/><Relationship Id="rId10" Type="http://schemas.openxmlformats.org/officeDocument/2006/relationships/image" Target="media/image2.jpeg"/><Relationship Id="rId19" Type="http://schemas.openxmlformats.org/officeDocument/2006/relationships/hyperlink" Target="http://worlddatabaseofhappiness.eur.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urofound.europa.eu/areas/qualityoflife/eq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51446E9A-CCEE-4D96-B36D-BC00143F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8290</Words>
  <Characters>47256</Characters>
  <Application>Microsoft Office Word</Application>
  <DocSecurity>0</DocSecurity>
  <Lines>393</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Andreoni</dc:creator>
  <cp:lastModifiedBy>Valeria Andreoni</cp:lastModifiedBy>
  <cp:revision>2</cp:revision>
  <cp:lastPrinted>2014-11-11T14:19:00Z</cp:lastPrinted>
  <dcterms:created xsi:type="dcterms:W3CDTF">2014-11-11T14:50:00Z</dcterms:created>
  <dcterms:modified xsi:type="dcterms:W3CDTF">2014-11-11T14:50:00Z</dcterms:modified>
</cp:coreProperties>
</file>