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331418" w14:textId="77777777" w:rsidR="00F7433B" w:rsidRPr="0030165C" w:rsidRDefault="00F7433B" w:rsidP="00F7433B">
      <w:pPr>
        <w:spacing w:after="0" w:line="360" w:lineRule="auto"/>
        <w:jc w:val="center"/>
        <w:rPr>
          <w:rFonts w:ascii="Times New Roman" w:hAnsi="Times New Roman" w:cs="Times New Roman"/>
          <w:b/>
          <w:sz w:val="28"/>
          <w:szCs w:val="28"/>
        </w:rPr>
      </w:pPr>
      <w:r w:rsidRPr="0030165C">
        <w:rPr>
          <w:rFonts w:ascii="Times New Roman" w:hAnsi="Times New Roman" w:cs="Times New Roman"/>
          <w:b/>
          <w:sz w:val="28"/>
          <w:szCs w:val="28"/>
        </w:rPr>
        <w:t>Drivers in CO</w:t>
      </w:r>
      <w:r w:rsidRPr="0030165C">
        <w:rPr>
          <w:rFonts w:ascii="Times New Roman" w:hAnsi="Times New Roman" w:cs="Times New Roman"/>
          <w:b/>
          <w:sz w:val="28"/>
          <w:szCs w:val="28"/>
          <w:vertAlign w:val="subscript"/>
        </w:rPr>
        <w:t>2</w:t>
      </w:r>
      <w:r w:rsidRPr="0030165C">
        <w:rPr>
          <w:rFonts w:ascii="Times New Roman" w:hAnsi="Times New Roman" w:cs="Times New Roman"/>
          <w:b/>
          <w:sz w:val="28"/>
          <w:szCs w:val="28"/>
        </w:rPr>
        <w:t xml:space="preserve"> emissions variation:</w:t>
      </w:r>
    </w:p>
    <w:p w14:paraId="7796A625" w14:textId="6FC94AA0" w:rsidR="00F7433B" w:rsidRPr="0030165C" w:rsidRDefault="00F7433B" w:rsidP="00F7433B">
      <w:pPr>
        <w:spacing w:after="0" w:line="360" w:lineRule="auto"/>
        <w:jc w:val="center"/>
        <w:rPr>
          <w:rFonts w:ascii="Times New Roman" w:hAnsi="Times New Roman" w:cs="Times New Roman"/>
          <w:b/>
          <w:sz w:val="28"/>
          <w:szCs w:val="28"/>
        </w:rPr>
      </w:pPr>
      <w:r w:rsidRPr="0030165C">
        <w:rPr>
          <w:rFonts w:ascii="Times New Roman" w:hAnsi="Times New Roman" w:cs="Times New Roman"/>
          <w:b/>
          <w:sz w:val="28"/>
          <w:szCs w:val="28"/>
        </w:rPr>
        <w:t>A decomposition analysis for 3</w:t>
      </w:r>
      <w:r w:rsidR="00C36BB8">
        <w:rPr>
          <w:rFonts w:ascii="Times New Roman" w:hAnsi="Times New Roman" w:cs="Times New Roman"/>
          <w:b/>
          <w:sz w:val="28"/>
          <w:szCs w:val="28"/>
        </w:rPr>
        <w:t>3</w:t>
      </w:r>
      <w:r w:rsidRPr="0030165C">
        <w:rPr>
          <w:rFonts w:ascii="Times New Roman" w:hAnsi="Times New Roman" w:cs="Times New Roman"/>
          <w:b/>
          <w:sz w:val="28"/>
          <w:szCs w:val="28"/>
        </w:rPr>
        <w:t xml:space="preserve"> world countries</w:t>
      </w:r>
    </w:p>
    <w:p w14:paraId="6970D9F1" w14:textId="77777777" w:rsidR="00F7433B" w:rsidRPr="0030165C" w:rsidRDefault="00F7433B" w:rsidP="00803ABC">
      <w:pPr>
        <w:spacing w:line="360" w:lineRule="auto"/>
        <w:rPr>
          <w:rFonts w:ascii="Times New Roman" w:hAnsi="Times New Roman" w:cs="Times New Roman"/>
          <w:b/>
          <w:sz w:val="28"/>
          <w:szCs w:val="28"/>
        </w:rPr>
      </w:pPr>
    </w:p>
    <w:p w14:paraId="2965E02C" w14:textId="77777777" w:rsidR="0030165C" w:rsidRPr="0030165C" w:rsidRDefault="0030165C" w:rsidP="0030165C">
      <w:pPr>
        <w:spacing w:line="360" w:lineRule="auto"/>
        <w:jc w:val="center"/>
        <w:rPr>
          <w:rFonts w:ascii="Times New Roman" w:hAnsi="Times New Roman" w:cs="Times New Roman"/>
          <w:b/>
          <w:sz w:val="24"/>
          <w:szCs w:val="24"/>
          <w:vertAlign w:val="superscript"/>
        </w:rPr>
      </w:pPr>
      <w:r w:rsidRPr="0030165C">
        <w:rPr>
          <w:rFonts w:ascii="Times New Roman" w:hAnsi="Times New Roman" w:cs="Times New Roman"/>
          <w:b/>
          <w:sz w:val="24"/>
          <w:szCs w:val="24"/>
        </w:rPr>
        <w:t>Valeria Andreoni</w:t>
      </w:r>
      <w:r w:rsidRPr="0030165C">
        <w:rPr>
          <w:rFonts w:ascii="Times New Roman" w:hAnsi="Times New Roman" w:cs="Times New Roman"/>
          <w:b/>
          <w:sz w:val="24"/>
          <w:szCs w:val="24"/>
          <w:vertAlign w:val="superscript"/>
        </w:rPr>
        <w:t>1*</w:t>
      </w:r>
      <w:r w:rsidRPr="0030165C">
        <w:rPr>
          <w:rFonts w:ascii="Times New Roman" w:hAnsi="Times New Roman" w:cs="Times New Roman"/>
          <w:b/>
          <w:sz w:val="24"/>
          <w:szCs w:val="24"/>
        </w:rPr>
        <w:t>, Stefano Galmarini</w:t>
      </w:r>
      <w:r w:rsidRPr="0030165C">
        <w:rPr>
          <w:rFonts w:ascii="Times New Roman" w:hAnsi="Times New Roman" w:cs="Times New Roman"/>
          <w:b/>
          <w:sz w:val="24"/>
          <w:szCs w:val="24"/>
          <w:vertAlign w:val="superscript"/>
        </w:rPr>
        <w:t>2</w:t>
      </w:r>
    </w:p>
    <w:p w14:paraId="4455C7DC" w14:textId="77777777" w:rsidR="0030165C" w:rsidRPr="0030165C" w:rsidRDefault="0030165C" w:rsidP="0030165C">
      <w:pPr>
        <w:spacing w:line="360" w:lineRule="auto"/>
        <w:jc w:val="center"/>
        <w:rPr>
          <w:rFonts w:ascii="Times New Roman" w:hAnsi="Times New Roman" w:cs="Times New Roman"/>
          <w:b/>
          <w:sz w:val="24"/>
          <w:szCs w:val="24"/>
          <w:vertAlign w:val="superscript"/>
        </w:rPr>
      </w:pPr>
    </w:p>
    <w:p w14:paraId="29E10E87" w14:textId="77777777" w:rsidR="0030165C" w:rsidRPr="0030165C" w:rsidRDefault="0030165C" w:rsidP="0030165C">
      <w:pPr>
        <w:spacing w:line="240" w:lineRule="auto"/>
        <w:rPr>
          <w:rFonts w:ascii="Times New Roman" w:hAnsi="Times New Roman" w:cs="Times New Roman"/>
          <w:sz w:val="20"/>
          <w:szCs w:val="20"/>
          <w:shd w:val="clear" w:color="auto" w:fill="FFFFFF"/>
        </w:rPr>
      </w:pPr>
      <w:r w:rsidRPr="0030165C">
        <w:rPr>
          <w:rFonts w:ascii="Times New Roman" w:hAnsi="Times New Roman" w:cs="Times New Roman"/>
          <w:sz w:val="20"/>
          <w:szCs w:val="20"/>
          <w:vertAlign w:val="superscript"/>
        </w:rPr>
        <w:t>1*</w:t>
      </w:r>
      <w:r w:rsidRPr="0030165C">
        <w:rPr>
          <w:rFonts w:ascii="Times New Roman" w:hAnsi="Times New Roman" w:cs="Times New Roman"/>
          <w:sz w:val="20"/>
          <w:szCs w:val="20"/>
        </w:rPr>
        <w:t xml:space="preserve"> Business School – Liverpool Hope University, Hope Park L16 9JD Liverpool, UK email: </w:t>
      </w:r>
      <w:hyperlink r:id="rId9" w:history="1">
        <w:r w:rsidRPr="0030165C">
          <w:rPr>
            <w:rFonts w:ascii="Times New Roman" w:hAnsi="Times New Roman" w:cs="Times New Roman"/>
            <w:color w:val="0000FF" w:themeColor="hyperlink"/>
            <w:sz w:val="20"/>
            <w:szCs w:val="20"/>
            <w:u w:val="single"/>
          </w:rPr>
          <w:t>andreoni.valeria@gmail.com</w:t>
        </w:r>
      </w:hyperlink>
      <w:r w:rsidRPr="0030165C">
        <w:rPr>
          <w:rFonts w:ascii="Times New Roman" w:hAnsi="Times New Roman" w:cs="Times New Roman"/>
          <w:sz w:val="20"/>
          <w:szCs w:val="20"/>
        </w:rPr>
        <w:t>; tel:</w:t>
      </w:r>
      <w:r w:rsidRPr="0030165C">
        <w:rPr>
          <w:rFonts w:ascii="Times New Roman" w:hAnsi="Times New Roman" w:cs="Times New Roman"/>
          <w:sz w:val="20"/>
          <w:szCs w:val="20"/>
          <w:shd w:val="clear" w:color="auto" w:fill="FFFFFF"/>
        </w:rPr>
        <w:t xml:space="preserve"> (+44) 0151 291 3239</w:t>
      </w:r>
    </w:p>
    <w:p w14:paraId="39F70F16" w14:textId="77777777" w:rsidR="0030165C" w:rsidRPr="0030165C" w:rsidRDefault="0030165C" w:rsidP="0030165C">
      <w:pPr>
        <w:spacing w:line="240" w:lineRule="auto"/>
        <w:jc w:val="both"/>
        <w:rPr>
          <w:rFonts w:ascii="Times New Roman" w:eastAsia="Times New Roman" w:hAnsi="Times New Roman" w:cs="Times New Roman"/>
          <w:sz w:val="20"/>
          <w:szCs w:val="20"/>
          <w:lang w:eastAsia="en-GB"/>
        </w:rPr>
      </w:pPr>
      <w:r w:rsidRPr="0030165C">
        <w:rPr>
          <w:rFonts w:ascii="Times New Roman" w:hAnsi="Times New Roman" w:cs="Times New Roman"/>
          <w:sz w:val="20"/>
          <w:szCs w:val="20"/>
          <w:shd w:val="clear" w:color="auto" w:fill="FFFFFF"/>
          <w:vertAlign w:val="superscript"/>
        </w:rPr>
        <w:t>2</w:t>
      </w:r>
      <w:r w:rsidRPr="0030165C">
        <w:rPr>
          <w:rFonts w:ascii="Times New Roman" w:eastAsia="Times New Roman" w:hAnsi="Times New Roman" w:cs="Times New Roman"/>
          <w:sz w:val="20"/>
          <w:szCs w:val="20"/>
          <w:vertAlign w:val="superscript"/>
          <w:lang w:eastAsia="en-GB"/>
        </w:rPr>
        <w:t xml:space="preserve"> </w:t>
      </w:r>
      <w:r w:rsidRPr="0030165C">
        <w:rPr>
          <w:rFonts w:ascii="Times New Roman" w:eastAsia="Times New Roman" w:hAnsi="Times New Roman" w:cs="Times New Roman"/>
          <w:sz w:val="20"/>
          <w:szCs w:val="20"/>
          <w:lang w:eastAsia="en-GB"/>
        </w:rPr>
        <w:t>European Commission –Joint Research Centre, IES - Institute for Environment and Sustainability, TP 441, 21020, Ispra, Italy</w:t>
      </w:r>
    </w:p>
    <w:p w14:paraId="560A81C1" w14:textId="77777777" w:rsidR="0030165C" w:rsidRDefault="0030165C" w:rsidP="00803ABC">
      <w:pPr>
        <w:spacing w:line="360" w:lineRule="auto"/>
        <w:rPr>
          <w:rFonts w:ascii="Times New Roman" w:hAnsi="Times New Roman" w:cs="Times New Roman"/>
          <w:b/>
          <w:sz w:val="24"/>
          <w:szCs w:val="24"/>
        </w:rPr>
      </w:pPr>
    </w:p>
    <w:p w14:paraId="6C209CE1" w14:textId="77777777" w:rsidR="00F07092" w:rsidRDefault="00F07092" w:rsidP="00803ABC">
      <w:pPr>
        <w:spacing w:line="360" w:lineRule="auto"/>
        <w:rPr>
          <w:rFonts w:ascii="Times New Roman" w:hAnsi="Times New Roman" w:cs="Times New Roman"/>
          <w:b/>
          <w:sz w:val="24"/>
          <w:szCs w:val="24"/>
        </w:rPr>
      </w:pPr>
      <w:r w:rsidRPr="00803ABC">
        <w:rPr>
          <w:rFonts w:ascii="Times New Roman" w:hAnsi="Times New Roman" w:cs="Times New Roman"/>
          <w:b/>
          <w:sz w:val="24"/>
          <w:szCs w:val="24"/>
        </w:rPr>
        <w:t>Abstract</w:t>
      </w:r>
    </w:p>
    <w:p w14:paraId="47872162" w14:textId="33B56A6B" w:rsidR="00CC37F4" w:rsidRDefault="00CC37F4" w:rsidP="00D9017E">
      <w:pPr>
        <w:spacing w:line="360" w:lineRule="auto"/>
        <w:jc w:val="both"/>
        <w:rPr>
          <w:rFonts w:ascii="Times New Roman" w:hAnsi="Times New Roman" w:cs="Times New Roman"/>
          <w:b/>
          <w:sz w:val="24"/>
          <w:szCs w:val="24"/>
        </w:rPr>
      </w:pPr>
      <w:r w:rsidRPr="001B1E39">
        <w:rPr>
          <w:rFonts w:ascii="Times New Roman" w:hAnsi="Times New Roman" w:cs="Times New Roman"/>
          <w:sz w:val="24"/>
          <w:szCs w:val="24"/>
        </w:rPr>
        <w:t xml:space="preserve">A decomposition analysis of </w:t>
      </w:r>
      <w:r>
        <w:rPr>
          <w:rFonts w:ascii="Times New Roman" w:hAnsi="Times New Roman" w:cs="Times New Roman"/>
          <w:sz w:val="24"/>
          <w:szCs w:val="24"/>
        </w:rPr>
        <w:t xml:space="preserve">energy related </w:t>
      </w:r>
      <w:r w:rsidRPr="001B1E39">
        <w:rPr>
          <w:rFonts w:ascii="Times New Roman" w:hAnsi="Times New Roman" w:cs="Times New Roman"/>
          <w:sz w:val="24"/>
          <w:szCs w:val="24"/>
        </w:rPr>
        <w:t>CO</w:t>
      </w:r>
      <w:r w:rsidRPr="00FE27DB">
        <w:rPr>
          <w:rFonts w:ascii="Times New Roman" w:hAnsi="Times New Roman" w:cs="Times New Roman"/>
          <w:sz w:val="24"/>
          <w:szCs w:val="24"/>
          <w:vertAlign w:val="subscript"/>
        </w:rPr>
        <w:t>2</w:t>
      </w:r>
      <w:r w:rsidRPr="001B1E39">
        <w:rPr>
          <w:rFonts w:ascii="Times New Roman" w:hAnsi="Times New Roman" w:cs="Times New Roman"/>
          <w:sz w:val="24"/>
          <w:szCs w:val="24"/>
        </w:rPr>
        <w:t xml:space="preserve"> </w:t>
      </w:r>
      <w:r>
        <w:rPr>
          <w:rFonts w:ascii="Times New Roman" w:hAnsi="Times New Roman" w:cs="Times New Roman"/>
          <w:sz w:val="24"/>
          <w:szCs w:val="24"/>
        </w:rPr>
        <w:t xml:space="preserve">emissions </w:t>
      </w:r>
      <w:r w:rsidRPr="001B1E39">
        <w:rPr>
          <w:rFonts w:ascii="Times New Roman" w:hAnsi="Times New Roman" w:cs="Times New Roman"/>
          <w:sz w:val="24"/>
          <w:szCs w:val="24"/>
        </w:rPr>
        <w:t>is carried out for 3</w:t>
      </w:r>
      <w:r w:rsidR="00D9017E">
        <w:rPr>
          <w:rFonts w:ascii="Times New Roman" w:hAnsi="Times New Roman" w:cs="Times New Roman"/>
          <w:sz w:val="24"/>
          <w:szCs w:val="24"/>
        </w:rPr>
        <w:t>3</w:t>
      </w:r>
      <w:r w:rsidRPr="001B1E39">
        <w:rPr>
          <w:rFonts w:ascii="Times New Roman" w:hAnsi="Times New Roman" w:cs="Times New Roman"/>
          <w:sz w:val="24"/>
          <w:szCs w:val="24"/>
        </w:rPr>
        <w:t xml:space="preserve"> world countries</w:t>
      </w:r>
      <w:r>
        <w:rPr>
          <w:rFonts w:ascii="Times New Roman" w:hAnsi="Times New Roman" w:cs="Times New Roman"/>
          <w:sz w:val="24"/>
          <w:szCs w:val="24"/>
        </w:rPr>
        <w:t>.</w:t>
      </w:r>
      <w:r w:rsidRPr="001B1E39">
        <w:rPr>
          <w:rFonts w:ascii="Times New Roman" w:hAnsi="Times New Roman" w:cs="Times New Roman"/>
          <w:sz w:val="24"/>
          <w:szCs w:val="24"/>
        </w:rPr>
        <w:t xml:space="preserve"> The data pertai</w:t>
      </w:r>
      <w:r>
        <w:rPr>
          <w:rFonts w:ascii="Times New Roman" w:hAnsi="Times New Roman" w:cs="Times New Roman"/>
          <w:sz w:val="24"/>
          <w:szCs w:val="24"/>
        </w:rPr>
        <w:t>n to the period 1995-2007. The methodology</w:t>
      </w:r>
      <w:r w:rsidRPr="001B1E39">
        <w:rPr>
          <w:rFonts w:ascii="Times New Roman" w:hAnsi="Times New Roman" w:cs="Times New Roman"/>
          <w:sz w:val="24"/>
          <w:szCs w:val="24"/>
        </w:rPr>
        <w:t xml:space="preserve"> used is </w:t>
      </w:r>
      <w:r>
        <w:rPr>
          <w:rFonts w:ascii="Times New Roman" w:hAnsi="Times New Roman" w:cs="Times New Roman"/>
          <w:sz w:val="24"/>
          <w:szCs w:val="24"/>
        </w:rPr>
        <w:t>the Index</w:t>
      </w:r>
      <w:r w:rsidRPr="00780841">
        <w:rPr>
          <w:rFonts w:ascii="Times New Roman" w:hAnsi="Times New Roman" w:cs="Times New Roman"/>
          <w:sz w:val="24"/>
          <w:szCs w:val="24"/>
        </w:rPr>
        <w:t xml:space="preserve"> Decomposition Analysis</w:t>
      </w:r>
      <w:r>
        <w:rPr>
          <w:rFonts w:ascii="Times New Roman" w:hAnsi="Times New Roman" w:cs="Times New Roman"/>
          <w:sz w:val="24"/>
          <w:szCs w:val="24"/>
        </w:rPr>
        <w:t xml:space="preserve"> </w:t>
      </w:r>
      <w:r w:rsidRPr="001B1E39">
        <w:rPr>
          <w:rFonts w:ascii="Times New Roman" w:hAnsi="Times New Roman" w:cs="Times New Roman"/>
          <w:sz w:val="24"/>
          <w:szCs w:val="24"/>
        </w:rPr>
        <w:t>that allows to</w:t>
      </w:r>
      <w:r>
        <w:rPr>
          <w:rFonts w:ascii="Times New Roman" w:hAnsi="Times New Roman" w:cs="Times New Roman"/>
          <w:sz w:val="24"/>
          <w:szCs w:val="24"/>
        </w:rPr>
        <w:t xml:space="preserve"> investigate the contribution of the following factors</w:t>
      </w:r>
      <w:r w:rsidRPr="001B1E39">
        <w:rPr>
          <w:rFonts w:ascii="Times New Roman" w:hAnsi="Times New Roman" w:cs="Times New Roman"/>
          <w:sz w:val="24"/>
          <w:szCs w:val="24"/>
        </w:rPr>
        <w:t xml:space="preserve">: </w:t>
      </w:r>
      <w:r w:rsidRPr="001B1E39">
        <w:rPr>
          <w:rFonts w:ascii="Times New Roman" w:hAnsi="Times New Roman" w:cs="Times New Roman"/>
          <w:i/>
          <w:sz w:val="24"/>
          <w:szCs w:val="24"/>
        </w:rPr>
        <w:t>(i)</w:t>
      </w:r>
      <w:r w:rsidRPr="001B1E39">
        <w:rPr>
          <w:rFonts w:ascii="Times New Roman" w:hAnsi="Times New Roman" w:cs="Times New Roman"/>
          <w:sz w:val="24"/>
          <w:szCs w:val="24"/>
        </w:rPr>
        <w:t xml:space="preserve"> changes in abatement technologies, fuel quality and fuel switching; </w:t>
      </w:r>
      <w:r w:rsidRPr="001B1E39">
        <w:rPr>
          <w:rFonts w:ascii="Times New Roman" w:hAnsi="Times New Roman" w:cs="Times New Roman"/>
          <w:i/>
          <w:sz w:val="24"/>
          <w:szCs w:val="24"/>
        </w:rPr>
        <w:t>(ii)</w:t>
      </w:r>
      <w:r w:rsidRPr="001B1E39">
        <w:rPr>
          <w:rFonts w:ascii="Times New Roman" w:hAnsi="Times New Roman" w:cs="Times New Roman"/>
          <w:sz w:val="24"/>
          <w:szCs w:val="24"/>
        </w:rPr>
        <w:t xml:space="preserve"> changes in the structure and efficiency of the energy system; </w:t>
      </w:r>
      <w:r w:rsidR="00F93E85">
        <w:rPr>
          <w:rFonts w:ascii="Times New Roman" w:hAnsi="Times New Roman" w:cs="Times New Roman"/>
          <w:i/>
          <w:sz w:val="24"/>
          <w:szCs w:val="24"/>
        </w:rPr>
        <w:t>(iii)</w:t>
      </w:r>
      <w:r w:rsidRPr="001B1E39">
        <w:rPr>
          <w:rFonts w:ascii="Times New Roman" w:hAnsi="Times New Roman" w:cs="Times New Roman"/>
          <w:sz w:val="24"/>
          <w:szCs w:val="24"/>
        </w:rPr>
        <w:t xml:space="preserve"> relative </w:t>
      </w:r>
      <w:r w:rsidR="006F082A">
        <w:rPr>
          <w:rFonts w:ascii="Times New Roman" w:hAnsi="Times New Roman" w:cs="Times New Roman"/>
          <w:sz w:val="24"/>
          <w:szCs w:val="24"/>
        </w:rPr>
        <w:t>ranking</w:t>
      </w:r>
      <w:r w:rsidR="006F082A" w:rsidRPr="001B1E39">
        <w:rPr>
          <w:rFonts w:ascii="Times New Roman" w:hAnsi="Times New Roman" w:cs="Times New Roman"/>
          <w:sz w:val="24"/>
          <w:szCs w:val="24"/>
        </w:rPr>
        <w:t xml:space="preserve"> </w:t>
      </w:r>
      <w:r w:rsidRPr="001B1E39">
        <w:rPr>
          <w:rFonts w:ascii="Times New Roman" w:hAnsi="Times New Roman" w:cs="Times New Roman"/>
          <w:sz w:val="24"/>
          <w:szCs w:val="24"/>
        </w:rPr>
        <w:t>of a country in</w:t>
      </w:r>
      <w:r w:rsidR="006F082A">
        <w:rPr>
          <w:rFonts w:ascii="Times New Roman" w:hAnsi="Times New Roman" w:cs="Times New Roman"/>
          <w:sz w:val="24"/>
          <w:szCs w:val="24"/>
        </w:rPr>
        <w:t xml:space="preserve"> terms of</w:t>
      </w:r>
      <w:r w:rsidRPr="001B1E39">
        <w:rPr>
          <w:rFonts w:ascii="Times New Roman" w:hAnsi="Times New Roman" w:cs="Times New Roman"/>
          <w:sz w:val="24"/>
          <w:szCs w:val="24"/>
        </w:rPr>
        <w:t xml:space="preserve"> the total Gross Domestic Product (GDP</w:t>
      </w:r>
      <w:r>
        <w:rPr>
          <w:rFonts w:ascii="Times New Roman" w:hAnsi="Times New Roman" w:cs="Times New Roman"/>
          <w:sz w:val="24"/>
          <w:szCs w:val="24"/>
        </w:rPr>
        <w:t>)</w:t>
      </w:r>
      <w:r w:rsidRPr="001938E7">
        <w:rPr>
          <w:rFonts w:ascii="Times New Roman" w:hAnsi="Times New Roman" w:cs="Times New Roman"/>
          <w:sz w:val="24"/>
          <w:szCs w:val="24"/>
        </w:rPr>
        <w:t xml:space="preserve"> </w:t>
      </w:r>
      <w:r w:rsidRPr="00780841">
        <w:rPr>
          <w:rFonts w:ascii="Times New Roman" w:hAnsi="Times New Roman" w:cs="Times New Roman"/>
          <w:sz w:val="24"/>
          <w:szCs w:val="24"/>
        </w:rPr>
        <w:t xml:space="preserve">generation and </w:t>
      </w:r>
      <w:r w:rsidRPr="00780841">
        <w:rPr>
          <w:rFonts w:ascii="Times New Roman" w:hAnsi="Times New Roman" w:cs="Times New Roman"/>
          <w:i/>
          <w:sz w:val="24"/>
          <w:szCs w:val="24"/>
        </w:rPr>
        <w:t>(iv)</w:t>
      </w:r>
      <w:r w:rsidRPr="00780841">
        <w:rPr>
          <w:rFonts w:ascii="Times New Roman" w:hAnsi="Times New Roman" w:cs="Times New Roman"/>
          <w:sz w:val="24"/>
          <w:szCs w:val="24"/>
        </w:rPr>
        <w:t xml:space="preserve"> changes of the </w:t>
      </w:r>
      <w:r>
        <w:rPr>
          <w:rFonts w:ascii="Times New Roman" w:hAnsi="Times New Roman" w:cs="Times New Roman"/>
          <w:sz w:val="24"/>
          <w:szCs w:val="24"/>
        </w:rPr>
        <w:t xml:space="preserve">country specific </w:t>
      </w:r>
      <w:r w:rsidRPr="00780841">
        <w:rPr>
          <w:rFonts w:ascii="Times New Roman" w:hAnsi="Times New Roman" w:cs="Times New Roman"/>
          <w:sz w:val="24"/>
          <w:szCs w:val="24"/>
        </w:rPr>
        <w:t xml:space="preserve">total economic activity. </w:t>
      </w:r>
      <w:r>
        <w:rPr>
          <w:rFonts w:ascii="Times New Roman" w:hAnsi="Times New Roman" w:cs="Times New Roman"/>
          <w:sz w:val="24"/>
          <w:szCs w:val="24"/>
        </w:rPr>
        <w:t>The World Input Output Database (WIOD) has been used together w</w:t>
      </w:r>
      <w:r w:rsidR="004F2272">
        <w:rPr>
          <w:rFonts w:ascii="Times New Roman" w:hAnsi="Times New Roman" w:cs="Times New Roman"/>
          <w:sz w:val="24"/>
          <w:szCs w:val="24"/>
        </w:rPr>
        <w:t xml:space="preserve">ith OECD data on GDP. </w:t>
      </w:r>
      <w:r w:rsidR="00D9017E" w:rsidRPr="003814CF">
        <w:rPr>
          <w:rFonts w:ascii="Times New Roman" w:hAnsi="Times New Roman" w:cs="Times New Roman"/>
          <w:sz w:val="24"/>
          <w:szCs w:val="24"/>
        </w:rPr>
        <w:t>Results show that economic growth has been the main driving factor of energy related CO</w:t>
      </w:r>
      <w:r w:rsidR="00D9017E" w:rsidRPr="003814CF">
        <w:rPr>
          <w:rFonts w:ascii="Times New Roman" w:hAnsi="Times New Roman" w:cs="Times New Roman"/>
          <w:sz w:val="24"/>
          <w:szCs w:val="24"/>
          <w:vertAlign w:val="subscript"/>
        </w:rPr>
        <w:t>2</w:t>
      </w:r>
      <w:r w:rsidR="00D9017E" w:rsidRPr="003814CF">
        <w:rPr>
          <w:rFonts w:ascii="Times New Roman" w:hAnsi="Times New Roman" w:cs="Times New Roman"/>
          <w:sz w:val="24"/>
          <w:szCs w:val="24"/>
        </w:rPr>
        <w:t xml:space="preserve"> emissions increase. However, in fast developing countries </w:t>
      </w:r>
      <w:r w:rsidR="006F082A" w:rsidRPr="003814CF">
        <w:rPr>
          <w:rFonts w:ascii="Times New Roman" w:hAnsi="Times New Roman" w:cs="Times New Roman"/>
          <w:sz w:val="24"/>
          <w:szCs w:val="24"/>
        </w:rPr>
        <w:t>like</w:t>
      </w:r>
      <w:r w:rsidR="00D9017E" w:rsidRPr="003814CF">
        <w:rPr>
          <w:rFonts w:ascii="Times New Roman" w:hAnsi="Times New Roman" w:cs="Times New Roman"/>
          <w:sz w:val="24"/>
          <w:szCs w:val="24"/>
        </w:rPr>
        <w:t xml:space="preserve"> India and China, an important contribution has also been the increasing role </w:t>
      </w:r>
      <w:r w:rsidR="006F082A" w:rsidRPr="003814CF">
        <w:rPr>
          <w:rFonts w:ascii="Times New Roman" w:hAnsi="Times New Roman" w:cs="Times New Roman"/>
          <w:sz w:val="24"/>
          <w:szCs w:val="24"/>
        </w:rPr>
        <w:t xml:space="preserve">that </w:t>
      </w:r>
      <w:r w:rsidR="00D9017E" w:rsidRPr="003814CF">
        <w:rPr>
          <w:rFonts w:ascii="Times New Roman" w:hAnsi="Times New Roman" w:cs="Times New Roman"/>
          <w:sz w:val="24"/>
          <w:szCs w:val="24"/>
        </w:rPr>
        <w:t xml:space="preserve">these </w:t>
      </w:r>
      <w:r w:rsidR="003814CF">
        <w:rPr>
          <w:rFonts w:ascii="Times New Roman" w:hAnsi="Times New Roman" w:cs="Times New Roman"/>
          <w:sz w:val="24"/>
          <w:szCs w:val="24"/>
        </w:rPr>
        <w:t xml:space="preserve">economies </w:t>
      </w:r>
      <w:r w:rsidR="00D9017E" w:rsidRPr="003814CF">
        <w:rPr>
          <w:rFonts w:ascii="Times New Roman" w:hAnsi="Times New Roman" w:cs="Times New Roman"/>
          <w:sz w:val="24"/>
          <w:szCs w:val="24"/>
        </w:rPr>
        <w:t xml:space="preserve"> are playing in the global economic panorama. Improvement</w:t>
      </w:r>
      <w:r w:rsidR="006F082A" w:rsidRPr="003814CF">
        <w:rPr>
          <w:rFonts w:ascii="Times New Roman" w:hAnsi="Times New Roman" w:cs="Times New Roman"/>
          <w:sz w:val="24"/>
          <w:szCs w:val="24"/>
        </w:rPr>
        <w:t>s</w:t>
      </w:r>
      <w:r w:rsidR="00D9017E" w:rsidRPr="003814CF">
        <w:rPr>
          <w:rFonts w:ascii="Times New Roman" w:hAnsi="Times New Roman" w:cs="Times New Roman"/>
          <w:sz w:val="24"/>
          <w:szCs w:val="24"/>
        </w:rPr>
        <w:t xml:space="preserve"> on energy efficiency ha</w:t>
      </w:r>
      <w:r w:rsidR="006F082A" w:rsidRPr="003814CF">
        <w:rPr>
          <w:rFonts w:ascii="Times New Roman" w:hAnsi="Times New Roman" w:cs="Times New Roman"/>
          <w:sz w:val="24"/>
          <w:szCs w:val="24"/>
        </w:rPr>
        <w:t>ve</w:t>
      </w:r>
      <w:r w:rsidR="00D9017E" w:rsidRPr="003814CF">
        <w:rPr>
          <w:rFonts w:ascii="Times New Roman" w:hAnsi="Times New Roman" w:cs="Times New Roman"/>
          <w:sz w:val="24"/>
          <w:szCs w:val="24"/>
        </w:rPr>
        <w:t xml:space="preserve"> been the main element contributing to reduce the overall CO</w:t>
      </w:r>
      <w:r w:rsidR="00D9017E" w:rsidRPr="003814CF">
        <w:rPr>
          <w:rFonts w:ascii="Times New Roman" w:hAnsi="Times New Roman" w:cs="Times New Roman"/>
          <w:sz w:val="24"/>
          <w:szCs w:val="24"/>
          <w:vertAlign w:val="subscript"/>
        </w:rPr>
        <w:t>2</w:t>
      </w:r>
      <w:r w:rsidR="00D9017E" w:rsidRPr="003814CF">
        <w:rPr>
          <w:rFonts w:ascii="Times New Roman" w:hAnsi="Times New Roman" w:cs="Times New Roman"/>
          <w:sz w:val="24"/>
          <w:szCs w:val="24"/>
        </w:rPr>
        <w:t xml:space="preserve"> emission increase in all the countries considered in this </w:t>
      </w:r>
      <w:r w:rsidR="006F082A">
        <w:rPr>
          <w:rFonts w:ascii="Times New Roman" w:hAnsi="Times New Roman" w:cs="Times New Roman"/>
          <w:sz w:val="24"/>
          <w:szCs w:val="24"/>
        </w:rPr>
        <w:t>study</w:t>
      </w:r>
      <w:r w:rsidR="00D9017E" w:rsidRPr="003814CF">
        <w:rPr>
          <w:rFonts w:ascii="Times New Roman" w:hAnsi="Times New Roman" w:cs="Times New Roman"/>
          <w:sz w:val="24"/>
          <w:szCs w:val="24"/>
        </w:rPr>
        <w:t>.</w:t>
      </w:r>
    </w:p>
    <w:p w14:paraId="6E074F80" w14:textId="77777777" w:rsidR="008B681D" w:rsidRDefault="008B681D" w:rsidP="00803ABC">
      <w:pPr>
        <w:spacing w:line="360" w:lineRule="auto"/>
        <w:rPr>
          <w:rFonts w:ascii="Times New Roman" w:hAnsi="Times New Roman" w:cs="Times New Roman"/>
          <w:b/>
          <w:sz w:val="24"/>
          <w:szCs w:val="24"/>
        </w:rPr>
      </w:pPr>
    </w:p>
    <w:p w14:paraId="261889D0" w14:textId="77777777" w:rsidR="00F07092" w:rsidRPr="00125D39" w:rsidRDefault="00F07092" w:rsidP="00803ABC">
      <w:pPr>
        <w:spacing w:line="360" w:lineRule="auto"/>
        <w:rPr>
          <w:rFonts w:ascii="Times New Roman" w:hAnsi="Times New Roman" w:cs="Times New Roman"/>
          <w:sz w:val="24"/>
          <w:szCs w:val="24"/>
        </w:rPr>
      </w:pPr>
      <w:r w:rsidRPr="00803ABC">
        <w:rPr>
          <w:rFonts w:ascii="Times New Roman" w:hAnsi="Times New Roman" w:cs="Times New Roman"/>
          <w:b/>
          <w:sz w:val="24"/>
          <w:szCs w:val="24"/>
        </w:rPr>
        <w:t>Keywords</w:t>
      </w:r>
      <w:r w:rsidR="00125D39">
        <w:rPr>
          <w:rFonts w:ascii="Times New Roman" w:hAnsi="Times New Roman" w:cs="Times New Roman"/>
          <w:b/>
          <w:sz w:val="24"/>
          <w:szCs w:val="24"/>
        </w:rPr>
        <w:t xml:space="preserve">: </w:t>
      </w:r>
      <w:r w:rsidR="00125D39">
        <w:rPr>
          <w:rFonts w:ascii="Times New Roman" w:hAnsi="Times New Roman" w:cs="Times New Roman"/>
          <w:sz w:val="24"/>
          <w:szCs w:val="24"/>
        </w:rPr>
        <w:t>Energy intensity; Carbon dioxide emission intensity; Economic growth; Index decomposition analysis; WIOD</w:t>
      </w:r>
    </w:p>
    <w:p w14:paraId="27A5A5B8" w14:textId="77777777" w:rsidR="008B681D" w:rsidRDefault="008B681D">
      <w:pPr>
        <w:rPr>
          <w:rFonts w:ascii="Times New Roman" w:hAnsi="Times New Roman" w:cs="Times New Roman"/>
          <w:b/>
          <w:sz w:val="24"/>
          <w:szCs w:val="24"/>
        </w:rPr>
      </w:pPr>
      <w:r>
        <w:rPr>
          <w:rFonts w:ascii="Times New Roman" w:hAnsi="Times New Roman" w:cs="Times New Roman"/>
          <w:b/>
          <w:sz w:val="24"/>
          <w:szCs w:val="24"/>
        </w:rPr>
        <w:br w:type="page"/>
      </w:r>
    </w:p>
    <w:p w14:paraId="166BC8E8" w14:textId="5F0D98A4" w:rsidR="00D9017E" w:rsidRPr="00D9017E" w:rsidRDefault="00D9017E" w:rsidP="008B681D">
      <w:pPr>
        <w:spacing w:after="0" w:line="240" w:lineRule="auto"/>
        <w:rPr>
          <w:rFonts w:ascii="Times New Roman" w:hAnsi="Times New Roman" w:cs="Times New Roman"/>
          <w:b/>
          <w:sz w:val="24"/>
          <w:szCs w:val="24"/>
        </w:rPr>
      </w:pPr>
      <w:r w:rsidRPr="00D9017E">
        <w:rPr>
          <w:rFonts w:ascii="Times New Roman" w:hAnsi="Times New Roman" w:cs="Times New Roman"/>
          <w:b/>
          <w:sz w:val="24"/>
          <w:szCs w:val="24"/>
        </w:rPr>
        <w:lastRenderedPageBreak/>
        <w:t>Nomenclature:</w:t>
      </w:r>
    </w:p>
    <w:p w14:paraId="400725AD" w14:textId="4026E2A2" w:rsidR="00D9017E" w:rsidRDefault="00D9017E" w:rsidP="008B681D">
      <w:pPr>
        <w:spacing w:after="0"/>
        <w:jc w:val="both"/>
        <w:rPr>
          <w:rFonts w:ascii="Times New Roman" w:hAnsi="Times New Roman" w:cs="Times New Roman"/>
          <w:sz w:val="24"/>
          <w:szCs w:val="24"/>
        </w:rPr>
      </w:pPr>
      <w:r w:rsidRPr="008B681D">
        <w:rPr>
          <w:rFonts w:ascii="Times New Roman" w:hAnsi="Times New Roman" w:cs="Times New Roman"/>
          <w:i/>
          <w:sz w:val="24"/>
          <w:szCs w:val="24"/>
        </w:rPr>
        <w:t>CI:</w:t>
      </w:r>
      <w:r>
        <w:rPr>
          <w:rFonts w:ascii="Times New Roman" w:hAnsi="Times New Roman" w:cs="Times New Roman"/>
          <w:sz w:val="24"/>
          <w:szCs w:val="24"/>
        </w:rPr>
        <w:t xml:space="preserve"> </w:t>
      </w:r>
      <w:r w:rsidRPr="002046D8">
        <w:rPr>
          <w:rFonts w:ascii="Times New Roman" w:hAnsi="Times New Roman" w:cs="Times New Roman"/>
          <w:sz w:val="24"/>
          <w:szCs w:val="24"/>
        </w:rPr>
        <w:t>the CO</w:t>
      </w:r>
      <w:r w:rsidRPr="002046D8">
        <w:rPr>
          <w:rFonts w:ascii="Times New Roman" w:hAnsi="Times New Roman" w:cs="Times New Roman"/>
          <w:sz w:val="24"/>
          <w:szCs w:val="24"/>
          <w:vertAlign w:val="subscript"/>
        </w:rPr>
        <w:t xml:space="preserve">2 </w:t>
      </w:r>
      <w:r w:rsidRPr="002046D8">
        <w:rPr>
          <w:rFonts w:ascii="Times New Roman" w:hAnsi="Times New Roman" w:cs="Times New Roman"/>
          <w:sz w:val="24"/>
          <w:szCs w:val="24"/>
        </w:rPr>
        <w:t xml:space="preserve">intensity effect that describes changes in abatement technologies, fuel quality and fuel switching; </w:t>
      </w:r>
    </w:p>
    <w:p w14:paraId="6D3D3CEE" w14:textId="77777777" w:rsidR="00D9017E" w:rsidRDefault="00D9017E" w:rsidP="008B681D">
      <w:pPr>
        <w:spacing w:after="0"/>
        <w:jc w:val="both"/>
        <w:rPr>
          <w:rFonts w:ascii="Times New Roman" w:hAnsi="Times New Roman" w:cs="Times New Roman"/>
          <w:sz w:val="24"/>
          <w:szCs w:val="24"/>
        </w:rPr>
      </w:pPr>
      <w:r w:rsidRPr="008B681D">
        <w:rPr>
          <w:rFonts w:ascii="Times New Roman" w:hAnsi="Times New Roman" w:cs="Times New Roman"/>
          <w:i/>
          <w:sz w:val="24"/>
          <w:szCs w:val="24"/>
        </w:rPr>
        <w:t>EI:</w:t>
      </w:r>
      <w:r>
        <w:rPr>
          <w:rFonts w:ascii="Times New Roman" w:hAnsi="Times New Roman" w:cs="Times New Roman"/>
          <w:i/>
          <w:sz w:val="24"/>
          <w:szCs w:val="24"/>
        </w:rPr>
        <w:t xml:space="preserve"> </w:t>
      </w:r>
      <w:r w:rsidRPr="002046D8">
        <w:rPr>
          <w:rFonts w:ascii="Times New Roman" w:hAnsi="Times New Roman" w:cs="Times New Roman"/>
          <w:sz w:val="24"/>
          <w:szCs w:val="24"/>
        </w:rPr>
        <w:t>t</w:t>
      </w:r>
      <w:r w:rsidRPr="00B51899">
        <w:rPr>
          <w:rFonts w:ascii="Times New Roman" w:hAnsi="Times New Roman" w:cs="Times New Roman"/>
          <w:sz w:val="24"/>
          <w:szCs w:val="24"/>
        </w:rPr>
        <w:t xml:space="preserve">he energy intensity effect </w:t>
      </w:r>
      <w:r w:rsidRPr="002046D8">
        <w:rPr>
          <w:rFonts w:ascii="Times New Roman" w:hAnsi="Times New Roman" w:cs="Times New Roman"/>
          <w:sz w:val="24"/>
          <w:szCs w:val="24"/>
        </w:rPr>
        <w:t xml:space="preserve">that reflects changes in the structure and efficiency of the energy system; </w:t>
      </w:r>
    </w:p>
    <w:p w14:paraId="6157638E" w14:textId="77777777" w:rsidR="00D9017E" w:rsidRPr="008B681D" w:rsidRDefault="00D9017E" w:rsidP="008B681D">
      <w:pPr>
        <w:spacing w:after="0"/>
        <w:jc w:val="both"/>
        <w:rPr>
          <w:rFonts w:ascii="Times New Roman" w:hAnsi="Times New Roman" w:cs="Times New Roman"/>
          <w:i/>
          <w:sz w:val="24"/>
          <w:szCs w:val="24"/>
        </w:rPr>
      </w:pPr>
      <w:r w:rsidRPr="008B681D">
        <w:rPr>
          <w:rFonts w:ascii="Times New Roman" w:hAnsi="Times New Roman" w:cs="Times New Roman"/>
          <w:i/>
          <w:sz w:val="24"/>
          <w:szCs w:val="24"/>
        </w:rPr>
        <w:t>ES:</w:t>
      </w:r>
      <w:r>
        <w:rPr>
          <w:rFonts w:ascii="Times New Roman" w:hAnsi="Times New Roman" w:cs="Times New Roman"/>
          <w:sz w:val="24"/>
          <w:szCs w:val="24"/>
        </w:rPr>
        <w:t xml:space="preserve"> </w:t>
      </w:r>
      <w:r w:rsidRPr="002046D8">
        <w:rPr>
          <w:rFonts w:ascii="Times New Roman" w:hAnsi="Times New Roman" w:cs="Times New Roman"/>
          <w:sz w:val="24"/>
          <w:szCs w:val="24"/>
        </w:rPr>
        <w:t xml:space="preserve">the structural change effect that identify the relative position of a country in the total </w:t>
      </w:r>
      <w:r w:rsidRPr="008B681D">
        <w:rPr>
          <w:rFonts w:ascii="Times New Roman" w:hAnsi="Times New Roman" w:cs="Times New Roman"/>
          <w:sz w:val="24"/>
          <w:szCs w:val="24"/>
        </w:rPr>
        <w:t>Gross Domestic Product (GDP) generation and the</w:t>
      </w:r>
      <w:r w:rsidRPr="008B681D">
        <w:rPr>
          <w:rFonts w:ascii="Times New Roman" w:hAnsi="Times New Roman" w:cs="Times New Roman"/>
          <w:i/>
          <w:sz w:val="24"/>
          <w:szCs w:val="24"/>
        </w:rPr>
        <w:t xml:space="preserve"> </w:t>
      </w:r>
    </w:p>
    <w:p w14:paraId="70932A68" w14:textId="77777777" w:rsidR="00D9017E" w:rsidRPr="008B681D" w:rsidRDefault="00D9017E" w:rsidP="008B681D">
      <w:pPr>
        <w:spacing w:after="0"/>
        <w:jc w:val="both"/>
        <w:rPr>
          <w:rFonts w:ascii="Times New Roman" w:hAnsi="Times New Roman" w:cs="Times New Roman"/>
          <w:sz w:val="24"/>
          <w:szCs w:val="24"/>
        </w:rPr>
      </w:pPr>
      <w:r w:rsidRPr="008B681D">
        <w:rPr>
          <w:rFonts w:ascii="Times New Roman" w:hAnsi="Times New Roman" w:cs="Times New Roman"/>
          <w:i/>
          <w:sz w:val="24"/>
          <w:szCs w:val="24"/>
        </w:rPr>
        <w:t xml:space="preserve">G: </w:t>
      </w:r>
      <w:r w:rsidRPr="008B681D">
        <w:rPr>
          <w:rFonts w:ascii="Times New Roman" w:hAnsi="Times New Roman" w:cs="Times New Roman"/>
          <w:sz w:val="24"/>
          <w:szCs w:val="24"/>
        </w:rPr>
        <w:t>economic activity growth effect that summarize the changes of the total economic activity.</w:t>
      </w:r>
    </w:p>
    <w:p w14:paraId="58CEC03B" w14:textId="77777777" w:rsidR="00D9017E" w:rsidRPr="008B681D" w:rsidRDefault="00D9017E" w:rsidP="008B681D">
      <w:pPr>
        <w:spacing w:after="0"/>
        <w:rPr>
          <w:rFonts w:ascii="Times New Roman" w:hAnsi="Times New Roman" w:cs="Times New Roman"/>
          <w:i/>
          <w:sz w:val="24"/>
          <w:szCs w:val="24"/>
        </w:rPr>
      </w:pPr>
      <w:r w:rsidRPr="008B681D">
        <w:rPr>
          <w:rFonts w:ascii="Times New Roman" w:hAnsi="Times New Roman" w:cs="Times New Roman"/>
          <w:i/>
          <w:sz w:val="24"/>
          <w:szCs w:val="24"/>
        </w:rPr>
        <w:t xml:space="preserve">IDA: </w:t>
      </w:r>
      <w:r w:rsidRPr="008B681D">
        <w:rPr>
          <w:rFonts w:ascii="Times New Roman" w:hAnsi="Times New Roman" w:cs="Times New Roman"/>
          <w:sz w:val="24"/>
          <w:szCs w:val="24"/>
        </w:rPr>
        <w:t>The Index Decomposition Analysis</w:t>
      </w:r>
      <w:r w:rsidRPr="008B681D">
        <w:rPr>
          <w:rFonts w:ascii="Times New Roman" w:hAnsi="Times New Roman" w:cs="Times New Roman"/>
          <w:i/>
          <w:sz w:val="24"/>
          <w:szCs w:val="24"/>
        </w:rPr>
        <w:t xml:space="preserve">  </w:t>
      </w:r>
    </w:p>
    <w:p w14:paraId="0EB1795E" w14:textId="77777777" w:rsidR="00D9017E" w:rsidRPr="008B681D" w:rsidRDefault="00D9017E" w:rsidP="008B681D">
      <w:pPr>
        <w:spacing w:after="0"/>
        <w:rPr>
          <w:rFonts w:ascii="Times New Roman" w:hAnsi="Times New Roman" w:cs="Times New Roman"/>
          <w:sz w:val="24"/>
          <w:szCs w:val="24"/>
        </w:rPr>
      </w:pPr>
      <w:r w:rsidRPr="008B681D">
        <w:rPr>
          <w:rFonts w:ascii="Times New Roman" w:hAnsi="Times New Roman" w:cs="Times New Roman"/>
          <w:i/>
          <w:sz w:val="24"/>
          <w:szCs w:val="24"/>
        </w:rPr>
        <w:t xml:space="preserve">IPCC: </w:t>
      </w:r>
      <w:r w:rsidRPr="008B681D">
        <w:rPr>
          <w:rFonts w:ascii="Times New Roman" w:hAnsi="Times New Roman" w:cs="Times New Roman"/>
          <w:sz w:val="24"/>
          <w:szCs w:val="24"/>
        </w:rPr>
        <w:t>Intergovernmental Panel on Climate Change</w:t>
      </w:r>
    </w:p>
    <w:p w14:paraId="4989CE22" w14:textId="77777777" w:rsidR="00D9017E" w:rsidRDefault="00D9017E" w:rsidP="008B681D">
      <w:pPr>
        <w:spacing w:after="0"/>
        <w:rPr>
          <w:rFonts w:ascii="Times New Roman" w:hAnsi="Times New Roman" w:cs="Times New Roman"/>
          <w:sz w:val="24"/>
          <w:szCs w:val="24"/>
        </w:rPr>
      </w:pPr>
      <w:r w:rsidRPr="008B681D">
        <w:rPr>
          <w:rFonts w:ascii="Times New Roman" w:hAnsi="Times New Roman" w:cs="Times New Roman"/>
          <w:i/>
          <w:sz w:val="24"/>
          <w:szCs w:val="24"/>
        </w:rPr>
        <w:t>OECD:</w:t>
      </w:r>
      <w:r>
        <w:rPr>
          <w:rFonts w:ascii="Times New Roman" w:hAnsi="Times New Roman" w:cs="Times New Roman"/>
          <w:sz w:val="24"/>
          <w:szCs w:val="24"/>
        </w:rPr>
        <w:t xml:space="preserve"> Organization for the economic co-operation and development </w:t>
      </w:r>
    </w:p>
    <w:p w14:paraId="46B5D707" w14:textId="2CA8A582" w:rsidR="00D9017E" w:rsidRDefault="006F082A" w:rsidP="008B681D">
      <w:pPr>
        <w:spacing w:after="0"/>
        <w:rPr>
          <w:rFonts w:ascii="Times New Roman" w:hAnsi="Times New Roman" w:cs="Times New Roman"/>
          <w:sz w:val="24"/>
          <w:szCs w:val="24"/>
        </w:rPr>
      </w:pPr>
      <w:r w:rsidRPr="008B681D">
        <w:rPr>
          <w:rFonts w:ascii="Times New Roman" w:hAnsi="Times New Roman" w:cs="Times New Roman"/>
          <w:i/>
          <w:sz w:val="24"/>
          <w:szCs w:val="24"/>
        </w:rPr>
        <w:t>p</w:t>
      </w:r>
      <w:r w:rsidR="00D9017E" w:rsidRPr="008B681D">
        <w:rPr>
          <w:rFonts w:ascii="Times New Roman" w:hAnsi="Times New Roman" w:cs="Times New Roman"/>
          <w:i/>
          <w:sz w:val="24"/>
          <w:szCs w:val="24"/>
        </w:rPr>
        <w:t>pm:</w:t>
      </w:r>
      <w:r w:rsidR="00D9017E">
        <w:rPr>
          <w:rFonts w:ascii="Times New Roman" w:hAnsi="Times New Roman" w:cs="Times New Roman"/>
          <w:sz w:val="24"/>
          <w:szCs w:val="24"/>
        </w:rPr>
        <w:t xml:space="preserve"> parts per million</w:t>
      </w:r>
    </w:p>
    <w:p w14:paraId="4906F7DE" w14:textId="2B8ECC6E" w:rsidR="00D9017E" w:rsidRDefault="008B681D" w:rsidP="008B681D">
      <w:pPr>
        <w:spacing w:after="0"/>
        <w:rPr>
          <w:rFonts w:ascii="Times New Roman" w:hAnsi="Times New Roman" w:cs="Times New Roman"/>
          <w:sz w:val="24"/>
          <w:szCs w:val="24"/>
        </w:rPr>
      </w:pPr>
      <w:r w:rsidRPr="008B681D">
        <w:rPr>
          <w:rFonts w:ascii="Times New Roman" w:hAnsi="Times New Roman" w:cs="Times New Roman"/>
          <w:i/>
          <w:sz w:val="24"/>
          <w:szCs w:val="24"/>
        </w:rPr>
        <w:t>SDA</w:t>
      </w:r>
      <w:r w:rsidR="00D9017E" w:rsidRPr="008B681D">
        <w:rPr>
          <w:rFonts w:ascii="Times New Roman" w:hAnsi="Times New Roman" w:cs="Times New Roman"/>
          <w:i/>
          <w:sz w:val="24"/>
          <w:szCs w:val="24"/>
        </w:rPr>
        <w:t>:</w:t>
      </w:r>
      <w:r w:rsidR="00D9017E">
        <w:rPr>
          <w:rFonts w:ascii="Times New Roman" w:hAnsi="Times New Roman" w:cs="Times New Roman"/>
          <w:sz w:val="24"/>
          <w:szCs w:val="24"/>
        </w:rPr>
        <w:t xml:space="preserve"> </w:t>
      </w:r>
      <w:r w:rsidR="00D9017E" w:rsidRPr="00780841">
        <w:rPr>
          <w:rFonts w:ascii="Times New Roman" w:hAnsi="Times New Roman" w:cs="Times New Roman"/>
          <w:sz w:val="24"/>
          <w:szCs w:val="24"/>
        </w:rPr>
        <w:t>Structu</w:t>
      </w:r>
      <w:r w:rsidR="00D9017E">
        <w:rPr>
          <w:rFonts w:ascii="Times New Roman" w:hAnsi="Times New Roman" w:cs="Times New Roman"/>
          <w:sz w:val="24"/>
          <w:szCs w:val="24"/>
        </w:rPr>
        <w:t xml:space="preserve">ral Decomposition Analysis </w:t>
      </w:r>
    </w:p>
    <w:p w14:paraId="2B5FCEB3" w14:textId="77777777" w:rsidR="00D9017E" w:rsidRDefault="00D9017E" w:rsidP="008B681D">
      <w:pPr>
        <w:spacing w:after="0"/>
        <w:rPr>
          <w:rFonts w:ascii="Times New Roman" w:hAnsi="Times New Roman" w:cs="Times New Roman"/>
          <w:sz w:val="24"/>
          <w:szCs w:val="24"/>
        </w:rPr>
      </w:pPr>
      <w:r w:rsidRPr="008B681D">
        <w:rPr>
          <w:rFonts w:ascii="Times New Roman" w:hAnsi="Times New Roman" w:cs="Times New Roman"/>
          <w:i/>
          <w:sz w:val="24"/>
          <w:szCs w:val="24"/>
        </w:rPr>
        <w:t>WIOD:</w:t>
      </w:r>
      <w:r>
        <w:rPr>
          <w:rFonts w:ascii="Times New Roman" w:hAnsi="Times New Roman" w:cs="Times New Roman"/>
          <w:b/>
          <w:sz w:val="24"/>
          <w:szCs w:val="24"/>
        </w:rPr>
        <w:t xml:space="preserve"> </w:t>
      </w:r>
      <w:r>
        <w:rPr>
          <w:rFonts w:ascii="Times New Roman" w:hAnsi="Times New Roman" w:cs="Times New Roman"/>
          <w:sz w:val="24"/>
          <w:szCs w:val="24"/>
        </w:rPr>
        <w:t>The World Input Output Database</w:t>
      </w:r>
    </w:p>
    <w:p w14:paraId="158974B5" w14:textId="77777777" w:rsidR="00C77EF8" w:rsidRPr="00803ABC" w:rsidRDefault="00C77EF8" w:rsidP="00803ABC">
      <w:pPr>
        <w:spacing w:line="360" w:lineRule="auto"/>
        <w:rPr>
          <w:rFonts w:ascii="Times New Roman" w:hAnsi="Times New Roman" w:cs="Times New Roman"/>
          <w:b/>
          <w:sz w:val="24"/>
          <w:szCs w:val="24"/>
        </w:rPr>
      </w:pPr>
    </w:p>
    <w:p w14:paraId="554F08C3" w14:textId="77777777" w:rsidR="00F07092" w:rsidRDefault="00F07092" w:rsidP="00803ABC">
      <w:pPr>
        <w:pStyle w:val="Paragrafoelenco"/>
        <w:numPr>
          <w:ilvl w:val="0"/>
          <w:numId w:val="1"/>
        </w:numPr>
        <w:spacing w:line="360" w:lineRule="auto"/>
        <w:rPr>
          <w:rFonts w:ascii="Times New Roman" w:hAnsi="Times New Roman" w:cs="Times New Roman"/>
          <w:b/>
          <w:sz w:val="24"/>
          <w:szCs w:val="24"/>
        </w:rPr>
      </w:pPr>
      <w:r w:rsidRPr="00803ABC">
        <w:rPr>
          <w:rFonts w:ascii="Times New Roman" w:hAnsi="Times New Roman" w:cs="Times New Roman"/>
          <w:b/>
          <w:sz w:val="24"/>
          <w:szCs w:val="24"/>
        </w:rPr>
        <w:t>Introduction</w:t>
      </w:r>
    </w:p>
    <w:p w14:paraId="541005D8" w14:textId="6D3FA785" w:rsidR="00D9017E" w:rsidRDefault="00D9017E" w:rsidP="00D9017E">
      <w:pPr>
        <w:spacing w:line="360" w:lineRule="auto"/>
        <w:jc w:val="both"/>
        <w:rPr>
          <w:rFonts w:ascii="Times New Roman" w:hAnsi="Times New Roman" w:cs="Times New Roman"/>
          <w:sz w:val="24"/>
          <w:szCs w:val="24"/>
        </w:rPr>
      </w:pPr>
      <w:r>
        <w:rPr>
          <w:rFonts w:ascii="Times New Roman" w:hAnsi="Times New Roman" w:cs="Times New Roman"/>
          <w:sz w:val="24"/>
          <w:szCs w:val="24"/>
        </w:rPr>
        <w:t>CO</w:t>
      </w:r>
      <w:r>
        <w:rPr>
          <w:rFonts w:ascii="Times New Roman" w:hAnsi="Times New Roman" w:cs="Times New Roman"/>
          <w:sz w:val="24"/>
          <w:szCs w:val="24"/>
          <w:vertAlign w:val="subscript"/>
        </w:rPr>
        <w:t>2</w:t>
      </w:r>
      <w:r>
        <w:rPr>
          <w:rFonts w:ascii="Times New Roman" w:hAnsi="Times New Roman" w:cs="Times New Roman"/>
          <w:sz w:val="24"/>
          <w:szCs w:val="24"/>
        </w:rPr>
        <w:t xml:space="preserve"> emissions has risen by more than 30 ppm in the last seventeen years and the carbon dioxide concentration, now standing at around 400 ppm, is expected to reach 450 ppm by 2030 [1, 2]. The Intergovernmental Panel on Climate Change (IPCC) </w:t>
      </w:r>
      <w:r w:rsidRPr="00BD00BE">
        <w:rPr>
          <w:rFonts w:ascii="Times New Roman" w:hAnsi="Times New Roman" w:cs="Times New Roman"/>
          <w:sz w:val="24"/>
          <w:szCs w:val="24"/>
        </w:rPr>
        <w:t>es</w:t>
      </w:r>
      <w:r>
        <w:rPr>
          <w:rFonts w:ascii="Times New Roman" w:hAnsi="Times New Roman" w:cs="Times New Roman"/>
          <w:sz w:val="24"/>
          <w:szCs w:val="24"/>
        </w:rPr>
        <w:t xml:space="preserve">timates a concentration between </w:t>
      </w:r>
      <w:r w:rsidRPr="00BD00BE">
        <w:rPr>
          <w:rFonts w:ascii="Times New Roman" w:hAnsi="Times New Roman" w:cs="Times New Roman"/>
          <w:sz w:val="24"/>
          <w:szCs w:val="24"/>
        </w:rPr>
        <w:t>540 ppm and 970 ppm over the next century</w:t>
      </w:r>
      <w:r>
        <w:rPr>
          <w:rFonts w:ascii="Times New Roman" w:hAnsi="Times New Roman" w:cs="Times New Roman"/>
          <w:sz w:val="24"/>
          <w:szCs w:val="24"/>
        </w:rPr>
        <w:t>,</w:t>
      </w:r>
      <w:r w:rsidRPr="00BD00BE">
        <w:rPr>
          <w:rFonts w:ascii="Times New Roman" w:hAnsi="Times New Roman" w:cs="Times New Roman"/>
          <w:sz w:val="24"/>
          <w:szCs w:val="24"/>
        </w:rPr>
        <w:t xml:space="preserve"> should the em</w:t>
      </w:r>
      <w:r>
        <w:rPr>
          <w:rFonts w:ascii="Times New Roman" w:hAnsi="Times New Roman" w:cs="Times New Roman"/>
          <w:sz w:val="24"/>
          <w:szCs w:val="24"/>
        </w:rPr>
        <w:t xml:space="preserve">ission </w:t>
      </w:r>
      <w:r w:rsidRPr="00BD00BE">
        <w:rPr>
          <w:rFonts w:ascii="Times New Roman" w:hAnsi="Times New Roman" w:cs="Times New Roman"/>
          <w:sz w:val="24"/>
          <w:szCs w:val="24"/>
        </w:rPr>
        <w:t>remain at business-as-usual leve</w:t>
      </w:r>
      <w:r>
        <w:rPr>
          <w:rFonts w:ascii="Times New Roman" w:hAnsi="Times New Roman" w:cs="Times New Roman"/>
          <w:sz w:val="24"/>
          <w:szCs w:val="24"/>
        </w:rPr>
        <w:t xml:space="preserve">ls [3, 4]. </w:t>
      </w:r>
      <w:r w:rsidRPr="00BD00BE">
        <w:rPr>
          <w:rFonts w:ascii="Times New Roman" w:hAnsi="Times New Roman" w:cs="Times New Roman"/>
          <w:sz w:val="24"/>
          <w:szCs w:val="24"/>
        </w:rPr>
        <w:t>Since the Kyoto agreement in 1</w:t>
      </w:r>
      <w:r>
        <w:rPr>
          <w:rFonts w:ascii="Times New Roman" w:hAnsi="Times New Roman" w:cs="Times New Roman"/>
          <w:sz w:val="24"/>
          <w:szCs w:val="24"/>
        </w:rPr>
        <w:t xml:space="preserve">997, international measures and </w:t>
      </w:r>
      <w:r w:rsidRPr="00BD00BE">
        <w:rPr>
          <w:rFonts w:ascii="Times New Roman" w:hAnsi="Times New Roman" w:cs="Times New Roman"/>
          <w:sz w:val="24"/>
          <w:szCs w:val="24"/>
        </w:rPr>
        <w:t xml:space="preserve">policies have been </w:t>
      </w:r>
      <w:r w:rsidR="006F082A">
        <w:rPr>
          <w:rFonts w:ascii="Times New Roman" w:hAnsi="Times New Roman" w:cs="Times New Roman"/>
          <w:sz w:val="24"/>
          <w:szCs w:val="24"/>
        </w:rPr>
        <w:t>implemented</w:t>
      </w:r>
      <w:r w:rsidRPr="00BD00BE">
        <w:rPr>
          <w:rFonts w:ascii="Times New Roman" w:hAnsi="Times New Roman" w:cs="Times New Roman"/>
          <w:sz w:val="24"/>
          <w:szCs w:val="24"/>
        </w:rPr>
        <w:t xml:space="preserve"> to redu</w:t>
      </w:r>
      <w:r>
        <w:rPr>
          <w:rFonts w:ascii="Times New Roman" w:hAnsi="Times New Roman" w:cs="Times New Roman"/>
          <w:sz w:val="24"/>
          <w:szCs w:val="24"/>
        </w:rPr>
        <w:t xml:space="preserve">ce the human effects on climate </w:t>
      </w:r>
      <w:r w:rsidRPr="00BD00BE">
        <w:rPr>
          <w:rFonts w:ascii="Times New Roman" w:hAnsi="Times New Roman" w:cs="Times New Roman"/>
          <w:sz w:val="24"/>
          <w:szCs w:val="24"/>
        </w:rPr>
        <w:t>change and decouple economic gro</w:t>
      </w:r>
      <w:r>
        <w:rPr>
          <w:rFonts w:ascii="Times New Roman" w:hAnsi="Times New Roman" w:cs="Times New Roman"/>
          <w:sz w:val="24"/>
          <w:szCs w:val="24"/>
        </w:rPr>
        <w:t xml:space="preserve">wth from emission levels. Based </w:t>
      </w:r>
      <w:r w:rsidRPr="00BD00BE">
        <w:rPr>
          <w:rFonts w:ascii="Times New Roman" w:hAnsi="Times New Roman" w:cs="Times New Roman"/>
          <w:sz w:val="24"/>
          <w:szCs w:val="24"/>
        </w:rPr>
        <w:t>on the idea of obtaining an economic gr</w:t>
      </w:r>
      <w:r>
        <w:rPr>
          <w:rFonts w:ascii="Times New Roman" w:hAnsi="Times New Roman" w:cs="Times New Roman"/>
          <w:sz w:val="24"/>
          <w:szCs w:val="24"/>
        </w:rPr>
        <w:t xml:space="preserve">owth that does not imply </w:t>
      </w:r>
      <w:r w:rsidRPr="00BD00BE">
        <w:rPr>
          <w:rFonts w:ascii="Times New Roman" w:hAnsi="Times New Roman" w:cs="Times New Roman"/>
          <w:sz w:val="24"/>
          <w:szCs w:val="24"/>
        </w:rPr>
        <w:t>necessarily an increase in emissi</w:t>
      </w:r>
      <w:r>
        <w:rPr>
          <w:rFonts w:ascii="Times New Roman" w:hAnsi="Times New Roman" w:cs="Times New Roman"/>
          <w:sz w:val="24"/>
          <w:szCs w:val="24"/>
        </w:rPr>
        <w:t xml:space="preserve">ons, decoupling is an ambitious </w:t>
      </w:r>
      <w:r w:rsidRPr="00BD00BE">
        <w:rPr>
          <w:rFonts w:ascii="Times New Roman" w:hAnsi="Times New Roman" w:cs="Times New Roman"/>
          <w:sz w:val="24"/>
          <w:szCs w:val="24"/>
        </w:rPr>
        <w:t>objective both at national a</w:t>
      </w:r>
      <w:r>
        <w:rPr>
          <w:rFonts w:ascii="Times New Roman" w:hAnsi="Times New Roman" w:cs="Times New Roman"/>
          <w:sz w:val="24"/>
          <w:szCs w:val="24"/>
        </w:rPr>
        <w:t>nd international level [5].</w:t>
      </w:r>
    </w:p>
    <w:p w14:paraId="05BD039E" w14:textId="77777777" w:rsidR="00D9017E" w:rsidRDefault="00D9017E" w:rsidP="00D9017E">
      <w:pPr>
        <w:spacing w:line="360" w:lineRule="auto"/>
        <w:jc w:val="both"/>
        <w:rPr>
          <w:rFonts w:ascii="Times New Roman" w:hAnsi="Times New Roman" w:cs="Times New Roman"/>
          <w:sz w:val="24"/>
          <w:szCs w:val="24"/>
        </w:rPr>
      </w:pPr>
      <w:r w:rsidRPr="00BD00BE">
        <w:rPr>
          <w:rFonts w:ascii="Times New Roman" w:hAnsi="Times New Roman" w:cs="Times New Roman"/>
          <w:sz w:val="24"/>
          <w:szCs w:val="24"/>
        </w:rPr>
        <w:t>The emissions of CO</w:t>
      </w:r>
      <w:r w:rsidRPr="00D23318">
        <w:rPr>
          <w:rFonts w:ascii="Times New Roman" w:hAnsi="Times New Roman" w:cs="Times New Roman"/>
          <w:sz w:val="24"/>
          <w:szCs w:val="24"/>
          <w:vertAlign w:val="subscript"/>
        </w:rPr>
        <w:t>2</w:t>
      </w:r>
      <w:r w:rsidRPr="00BD00BE">
        <w:rPr>
          <w:rFonts w:ascii="Times New Roman" w:hAnsi="Times New Roman" w:cs="Times New Roman"/>
          <w:sz w:val="24"/>
          <w:szCs w:val="24"/>
        </w:rPr>
        <w:t xml:space="preserve"> of anthropogenic origin depend</w:t>
      </w:r>
      <w:r>
        <w:rPr>
          <w:rFonts w:ascii="Times New Roman" w:hAnsi="Times New Roman" w:cs="Times New Roman"/>
          <w:sz w:val="24"/>
          <w:szCs w:val="24"/>
        </w:rPr>
        <w:t xml:space="preserve"> by a large portion on energy production and use</w:t>
      </w:r>
      <w:r w:rsidRPr="00BD00BE">
        <w:rPr>
          <w:rFonts w:ascii="Times New Roman" w:hAnsi="Times New Roman" w:cs="Times New Roman"/>
          <w:sz w:val="24"/>
          <w:szCs w:val="24"/>
        </w:rPr>
        <w:t>.</w:t>
      </w:r>
      <w:r>
        <w:rPr>
          <w:rFonts w:ascii="Times New Roman" w:hAnsi="Times New Roman" w:cs="Times New Roman"/>
          <w:sz w:val="24"/>
          <w:szCs w:val="24"/>
        </w:rPr>
        <w:t xml:space="preserve"> The ever increasing demands of energy by developed and developing economies can be contained by shifting towards renewables or by adopting technological improvements in the energy production cycles that would reduce the CO</w:t>
      </w:r>
      <w:r w:rsidRPr="00747A60">
        <w:rPr>
          <w:rFonts w:ascii="Times New Roman" w:hAnsi="Times New Roman" w:cs="Times New Roman"/>
          <w:sz w:val="24"/>
          <w:szCs w:val="24"/>
          <w:vertAlign w:val="subscript"/>
        </w:rPr>
        <w:t xml:space="preserve">2 </w:t>
      </w:r>
      <w:r>
        <w:rPr>
          <w:rFonts w:ascii="Times New Roman" w:hAnsi="Times New Roman" w:cs="Times New Roman"/>
          <w:sz w:val="24"/>
          <w:szCs w:val="24"/>
        </w:rPr>
        <w:t>emission per unit of energy produced. The improvement</w:t>
      </w:r>
      <w:r w:rsidR="006F082A">
        <w:rPr>
          <w:rFonts w:ascii="Times New Roman" w:hAnsi="Times New Roman" w:cs="Times New Roman"/>
          <w:sz w:val="24"/>
          <w:szCs w:val="24"/>
        </w:rPr>
        <w:t>s</w:t>
      </w:r>
      <w:r>
        <w:rPr>
          <w:rFonts w:ascii="Times New Roman" w:hAnsi="Times New Roman" w:cs="Times New Roman"/>
          <w:sz w:val="24"/>
          <w:szCs w:val="24"/>
        </w:rPr>
        <w:t xml:space="preserve"> in energy use and production can already account for a large reduction of CO2 emissions (31 % according to [6]). Trends appear in energy intensity reduction at both country level and sectorial level, with different nuances from sector to sector [7, 8].</w:t>
      </w:r>
    </w:p>
    <w:p w14:paraId="3F407733" w14:textId="51C06409" w:rsidR="00D9017E" w:rsidRDefault="00D9017E" w:rsidP="00D9017E">
      <w:pPr>
        <w:spacing w:line="360" w:lineRule="auto"/>
        <w:jc w:val="both"/>
        <w:rPr>
          <w:rFonts w:ascii="Times New Roman" w:hAnsi="Times New Roman" w:cs="Times New Roman"/>
          <w:sz w:val="24"/>
          <w:szCs w:val="24"/>
        </w:rPr>
      </w:pPr>
      <w:r w:rsidRPr="00BD00BE">
        <w:rPr>
          <w:rFonts w:ascii="Times New Roman" w:hAnsi="Times New Roman" w:cs="Times New Roman"/>
          <w:sz w:val="24"/>
          <w:szCs w:val="24"/>
        </w:rPr>
        <w:t>There are ways</w:t>
      </w:r>
      <w:r>
        <w:rPr>
          <w:rFonts w:ascii="Times New Roman" w:hAnsi="Times New Roman" w:cs="Times New Roman"/>
          <w:sz w:val="24"/>
          <w:szCs w:val="24"/>
        </w:rPr>
        <w:t xml:space="preserve"> to</w:t>
      </w:r>
      <w:r w:rsidRPr="00BD00BE">
        <w:rPr>
          <w:rFonts w:ascii="Times New Roman" w:hAnsi="Times New Roman" w:cs="Times New Roman"/>
          <w:sz w:val="24"/>
          <w:szCs w:val="24"/>
        </w:rPr>
        <w:t xml:space="preserve"> investigate how efficient the </w:t>
      </w:r>
      <w:r>
        <w:rPr>
          <w:rFonts w:ascii="Times New Roman" w:hAnsi="Times New Roman" w:cs="Times New Roman"/>
          <w:sz w:val="24"/>
          <w:szCs w:val="24"/>
        </w:rPr>
        <w:t>economic growth process has been CO</w:t>
      </w:r>
      <w:r w:rsidRPr="00747A60">
        <w:rPr>
          <w:rFonts w:ascii="Times New Roman" w:hAnsi="Times New Roman" w:cs="Times New Roman"/>
          <w:sz w:val="24"/>
          <w:szCs w:val="24"/>
          <w:vertAlign w:val="subscript"/>
        </w:rPr>
        <w:t>2</w:t>
      </w:r>
      <w:r>
        <w:rPr>
          <w:rFonts w:ascii="Times New Roman" w:hAnsi="Times New Roman" w:cs="Times New Roman"/>
          <w:sz w:val="24"/>
          <w:szCs w:val="24"/>
        </w:rPr>
        <w:t>-</w:t>
      </w:r>
      <w:r w:rsidRPr="00BD00BE">
        <w:rPr>
          <w:rFonts w:ascii="Times New Roman" w:hAnsi="Times New Roman" w:cs="Times New Roman"/>
          <w:sz w:val="24"/>
          <w:szCs w:val="24"/>
        </w:rPr>
        <w:t>wise and how much the technological improvement</w:t>
      </w:r>
      <w:r>
        <w:rPr>
          <w:rFonts w:ascii="Times New Roman" w:hAnsi="Times New Roman" w:cs="Times New Roman"/>
          <w:sz w:val="24"/>
          <w:szCs w:val="24"/>
        </w:rPr>
        <w:t>s</w:t>
      </w:r>
      <w:r w:rsidRPr="00BD00BE">
        <w:rPr>
          <w:rFonts w:ascii="Times New Roman" w:hAnsi="Times New Roman" w:cs="Times New Roman"/>
          <w:sz w:val="24"/>
          <w:szCs w:val="24"/>
        </w:rPr>
        <w:t xml:space="preserve"> </w:t>
      </w:r>
      <w:r>
        <w:rPr>
          <w:rFonts w:ascii="Times New Roman" w:hAnsi="Times New Roman" w:cs="Times New Roman"/>
          <w:sz w:val="24"/>
          <w:szCs w:val="24"/>
        </w:rPr>
        <w:t xml:space="preserve">have contributed to reduce the energy </w:t>
      </w:r>
      <w:r>
        <w:rPr>
          <w:rFonts w:ascii="Times New Roman" w:hAnsi="Times New Roman" w:cs="Times New Roman"/>
          <w:sz w:val="24"/>
          <w:szCs w:val="24"/>
        </w:rPr>
        <w:lastRenderedPageBreak/>
        <w:t>requirements and the emission generation</w:t>
      </w:r>
      <w:r w:rsidRPr="00BD00BE">
        <w:rPr>
          <w:rFonts w:ascii="Times New Roman" w:hAnsi="Times New Roman" w:cs="Times New Roman"/>
          <w:sz w:val="24"/>
          <w:szCs w:val="24"/>
        </w:rPr>
        <w:t xml:space="preserve">. </w:t>
      </w:r>
      <w:r>
        <w:rPr>
          <w:rFonts w:ascii="Times New Roman" w:hAnsi="Times New Roman" w:cs="Times New Roman"/>
          <w:sz w:val="24"/>
          <w:szCs w:val="24"/>
        </w:rPr>
        <w:t>The Organization for the Economic Co-operation and Development (</w:t>
      </w:r>
      <w:r w:rsidRPr="00BD00BE">
        <w:rPr>
          <w:rFonts w:ascii="Times New Roman" w:hAnsi="Times New Roman" w:cs="Times New Roman"/>
          <w:sz w:val="24"/>
          <w:szCs w:val="24"/>
        </w:rPr>
        <w:t>OECD</w:t>
      </w:r>
      <w:r>
        <w:rPr>
          <w:rFonts w:ascii="Times New Roman" w:hAnsi="Times New Roman" w:cs="Times New Roman"/>
          <w:sz w:val="24"/>
          <w:szCs w:val="24"/>
        </w:rPr>
        <w:t>), European Commission, United Nations</w:t>
      </w:r>
      <w:r w:rsidRPr="00BD00BE">
        <w:rPr>
          <w:rFonts w:ascii="Times New Roman" w:hAnsi="Times New Roman" w:cs="Times New Roman"/>
          <w:sz w:val="24"/>
          <w:szCs w:val="24"/>
        </w:rPr>
        <w:t xml:space="preserve"> and other organizations have collected data than can be </w:t>
      </w:r>
      <w:r>
        <w:rPr>
          <w:rFonts w:ascii="Times New Roman" w:hAnsi="Times New Roman" w:cs="Times New Roman"/>
          <w:sz w:val="24"/>
          <w:szCs w:val="24"/>
        </w:rPr>
        <w:t xml:space="preserve">used to perform </w:t>
      </w:r>
      <w:r w:rsidR="006F082A">
        <w:rPr>
          <w:rFonts w:ascii="Times New Roman" w:hAnsi="Times New Roman" w:cs="Times New Roman"/>
          <w:sz w:val="24"/>
          <w:szCs w:val="24"/>
        </w:rPr>
        <w:t xml:space="preserve">a </w:t>
      </w:r>
      <w:r>
        <w:rPr>
          <w:rFonts w:ascii="Times New Roman" w:hAnsi="Times New Roman" w:cs="Times New Roman"/>
          <w:sz w:val="24"/>
          <w:szCs w:val="24"/>
        </w:rPr>
        <w:t xml:space="preserve">decomposition analysis </w:t>
      </w:r>
      <w:r w:rsidR="006F082A">
        <w:rPr>
          <w:rFonts w:ascii="Times New Roman" w:hAnsi="Times New Roman" w:cs="Times New Roman"/>
          <w:sz w:val="24"/>
          <w:szCs w:val="24"/>
        </w:rPr>
        <w:t>with the scope</w:t>
      </w:r>
      <w:r>
        <w:rPr>
          <w:rFonts w:ascii="Times New Roman" w:hAnsi="Times New Roman" w:cs="Times New Roman"/>
          <w:sz w:val="24"/>
          <w:szCs w:val="24"/>
        </w:rPr>
        <w:t xml:space="preserve"> to investigate the contribution of different socio-economic and technological factors.</w:t>
      </w:r>
      <w:r w:rsidDel="00747A60">
        <w:rPr>
          <w:rFonts w:ascii="Times New Roman" w:hAnsi="Times New Roman" w:cs="Times New Roman"/>
          <w:sz w:val="24"/>
          <w:szCs w:val="24"/>
        </w:rPr>
        <w:t xml:space="preserve"> </w:t>
      </w:r>
    </w:p>
    <w:p w14:paraId="2729BF36" w14:textId="386E98E3" w:rsidR="00D9017E" w:rsidRDefault="00D9017E" w:rsidP="00D9017E">
      <w:pPr>
        <w:spacing w:line="360" w:lineRule="auto"/>
        <w:jc w:val="both"/>
        <w:rPr>
          <w:rFonts w:ascii="Times New Roman" w:hAnsi="Times New Roman" w:cs="Times New Roman"/>
          <w:sz w:val="24"/>
          <w:szCs w:val="24"/>
        </w:rPr>
      </w:pPr>
      <w:r>
        <w:rPr>
          <w:rFonts w:ascii="Times New Roman" w:hAnsi="Times New Roman" w:cs="Times New Roman"/>
          <w:sz w:val="24"/>
          <w:szCs w:val="24"/>
        </w:rPr>
        <w:t>In this paper, a decomposition analysis is performed to investigate the main elements that generated CO</w:t>
      </w:r>
      <w:r w:rsidRPr="00A77977">
        <w:rPr>
          <w:rFonts w:ascii="Times New Roman" w:hAnsi="Times New Roman" w:cs="Times New Roman"/>
          <w:sz w:val="24"/>
          <w:szCs w:val="24"/>
          <w:vertAlign w:val="subscript"/>
        </w:rPr>
        <w:t>2</w:t>
      </w:r>
      <w:r>
        <w:rPr>
          <w:rFonts w:ascii="Times New Roman" w:hAnsi="Times New Roman" w:cs="Times New Roman"/>
          <w:sz w:val="24"/>
          <w:szCs w:val="24"/>
        </w:rPr>
        <w:t xml:space="preserve"> emissions variations in</w:t>
      </w:r>
      <w:r w:rsidR="003814CF">
        <w:rPr>
          <w:rFonts w:ascii="Times New Roman" w:hAnsi="Times New Roman" w:cs="Times New Roman"/>
          <w:sz w:val="24"/>
          <w:szCs w:val="24"/>
        </w:rPr>
        <w:t xml:space="preserve"> 33 world countries. </w:t>
      </w:r>
      <w:r w:rsidRPr="00BD00BE">
        <w:rPr>
          <w:rFonts w:ascii="Times New Roman" w:hAnsi="Times New Roman" w:cs="Times New Roman"/>
          <w:sz w:val="24"/>
          <w:szCs w:val="24"/>
        </w:rPr>
        <w:t xml:space="preserve">The group </w:t>
      </w:r>
      <w:r>
        <w:rPr>
          <w:rFonts w:ascii="Times New Roman" w:hAnsi="Times New Roman" w:cs="Times New Roman"/>
          <w:sz w:val="24"/>
          <w:szCs w:val="24"/>
        </w:rPr>
        <w:t>of countries includes</w:t>
      </w:r>
      <w:r w:rsidRPr="00BD00BE">
        <w:rPr>
          <w:rFonts w:ascii="Times New Roman" w:hAnsi="Times New Roman" w:cs="Times New Roman"/>
          <w:sz w:val="24"/>
          <w:szCs w:val="24"/>
        </w:rPr>
        <w:t xml:space="preserve"> developed economies and developing one</w:t>
      </w:r>
      <w:r>
        <w:rPr>
          <w:rFonts w:ascii="Times New Roman" w:hAnsi="Times New Roman" w:cs="Times New Roman"/>
          <w:sz w:val="24"/>
          <w:szCs w:val="24"/>
        </w:rPr>
        <w:t>s</w:t>
      </w:r>
      <w:r w:rsidRPr="00BD00BE">
        <w:rPr>
          <w:rFonts w:ascii="Times New Roman" w:hAnsi="Times New Roman" w:cs="Times New Roman"/>
          <w:sz w:val="24"/>
          <w:szCs w:val="24"/>
        </w:rPr>
        <w:t xml:space="preserve"> so that </w:t>
      </w:r>
      <w:r>
        <w:rPr>
          <w:rFonts w:ascii="Times New Roman" w:hAnsi="Times New Roman" w:cs="Times New Roman"/>
          <w:sz w:val="24"/>
          <w:szCs w:val="24"/>
        </w:rPr>
        <w:t xml:space="preserve">different </w:t>
      </w:r>
      <w:r w:rsidRPr="00BD00BE">
        <w:rPr>
          <w:rFonts w:ascii="Times New Roman" w:hAnsi="Times New Roman" w:cs="Times New Roman"/>
          <w:sz w:val="24"/>
          <w:szCs w:val="24"/>
        </w:rPr>
        <w:t>possib</w:t>
      </w:r>
      <w:r>
        <w:rPr>
          <w:rFonts w:ascii="Times New Roman" w:hAnsi="Times New Roman" w:cs="Times New Roman"/>
          <w:sz w:val="24"/>
          <w:szCs w:val="24"/>
        </w:rPr>
        <w:t>le ranges of economy-</w:t>
      </w:r>
      <w:r w:rsidRPr="00BD00BE">
        <w:rPr>
          <w:rFonts w:ascii="Times New Roman" w:hAnsi="Times New Roman" w:cs="Times New Roman"/>
          <w:sz w:val="24"/>
          <w:szCs w:val="24"/>
        </w:rPr>
        <w:t>dependent CO</w:t>
      </w:r>
      <w:r w:rsidRPr="009454DB">
        <w:rPr>
          <w:rFonts w:ascii="Times New Roman" w:hAnsi="Times New Roman" w:cs="Times New Roman"/>
          <w:sz w:val="24"/>
          <w:szCs w:val="24"/>
          <w:vertAlign w:val="subscript"/>
        </w:rPr>
        <w:t>2</w:t>
      </w:r>
      <w:r>
        <w:rPr>
          <w:rFonts w:ascii="Times New Roman" w:hAnsi="Times New Roman" w:cs="Times New Roman"/>
          <w:sz w:val="24"/>
          <w:szCs w:val="24"/>
        </w:rPr>
        <w:t>-</w:t>
      </w:r>
      <w:r w:rsidRPr="00BD00BE">
        <w:rPr>
          <w:rFonts w:ascii="Times New Roman" w:hAnsi="Times New Roman" w:cs="Times New Roman"/>
          <w:sz w:val="24"/>
          <w:szCs w:val="24"/>
        </w:rPr>
        <w:t>emissions</w:t>
      </w:r>
      <w:r>
        <w:rPr>
          <w:rFonts w:ascii="Times New Roman" w:hAnsi="Times New Roman" w:cs="Times New Roman"/>
          <w:sz w:val="24"/>
          <w:szCs w:val="24"/>
        </w:rPr>
        <w:t xml:space="preserve"> are considered</w:t>
      </w:r>
      <w:r w:rsidRPr="00BD00BE">
        <w:rPr>
          <w:rFonts w:ascii="Times New Roman" w:hAnsi="Times New Roman" w:cs="Times New Roman"/>
          <w:sz w:val="24"/>
          <w:szCs w:val="24"/>
        </w:rPr>
        <w:t>. The period of the analysis is particu</w:t>
      </w:r>
      <w:r>
        <w:rPr>
          <w:rFonts w:ascii="Times New Roman" w:hAnsi="Times New Roman" w:cs="Times New Roman"/>
          <w:sz w:val="24"/>
          <w:szCs w:val="24"/>
        </w:rPr>
        <w:t>larly interesting as it starts in 1995,</w:t>
      </w:r>
      <w:r w:rsidRPr="00BD00BE">
        <w:rPr>
          <w:rFonts w:ascii="Times New Roman" w:hAnsi="Times New Roman" w:cs="Times New Roman"/>
          <w:sz w:val="24"/>
          <w:szCs w:val="24"/>
        </w:rPr>
        <w:t xml:space="preserve"> slightly before the signature of the Kyoto protocol (1997)</w:t>
      </w:r>
      <w:r>
        <w:rPr>
          <w:rFonts w:ascii="Times New Roman" w:hAnsi="Times New Roman" w:cs="Times New Roman"/>
          <w:sz w:val="24"/>
          <w:szCs w:val="24"/>
        </w:rPr>
        <w:t>,</w:t>
      </w:r>
      <w:r w:rsidRPr="00BD00BE">
        <w:rPr>
          <w:rFonts w:ascii="Times New Roman" w:hAnsi="Times New Roman" w:cs="Times New Roman"/>
          <w:sz w:val="24"/>
          <w:szCs w:val="24"/>
        </w:rPr>
        <w:t xml:space="preserve"> and ends in 200</w:t>
      </w:r>
      <w:r>
        <w:rPr>
          <w:rFonts w:ascii="Times New Roman" w:hAnsi="Times New Roman" w:cs="Times New Roman"/>
          <w:sz w:val="24"/>
          <w:szCs w:val="24"/>
        </w:rPr>
        <w:t>7</w:t>
      </w:r>
      <w:r w:rsidRPr="00BD00BE">
        <w:rPr>
          <w:rFonts w:ascii="Times New Roman" w:hAnsi="Times New Roman" w:cs="Times New Roman"/>
          <w:sz w:val="24"/>
          <w:szCs w:val="24"/>
        </w:rPr>
        <w:t>, t</w:t>
      </w:r>
      <w:r>
        <w:rPr>
          <w:rFonts w:ascii="Times New Roman" w:hAnsi="Times New Roman" w:cs="Times New Roman"/>
          <w:sz w:val="24"/>
          <w:szCs w:val="24"/>
        </w:rPr>
        <w:t>wo</w:t>
      </w:r>
      <w:r w:rsidRPr="00BD00BE">
        <w:rPr>
          <w:rFonts w:ascii="Times New Roman" w:hAnsi="Times New Roman" w:cs="Times New Roman"/>
          <w:sz w:val="24"/>
          <w:szCs w:val="24"/>
        </w:rPr>
        <w:t xml:space="preserve"> years </w:t>
      </w:r>
      <w:r w:rsidR="006F082A">
        <w:rPr>
          <w:rFonts w:ascii="Times New Roman" w:hAnsi="Times New Roman" w:cs="Times New Roman"/>
          <w:sz w:val="24"/>
          <w:szCs w:val="24"/>
        </w:rPr>
        <w:t>from</w:t>
      </w:r>
      <w:r w:rsidRPr="00BD00BE">
        <w:rPr>
          <w:rFonts w:ascii="Times New Roman" w:hAnsi="Times New Roman" w:cs="Times New Roman"/>
          <w:sz w:val="24"/>
          <w:szCs w:val="24"/>
        </w:rPr>
        <w:t xml:space="preserve"> </w:t>
      </w:r>
      <w:r w:rsidR="006F082A">
        <w:rPr>
          <w:rFonts w:ascii="Times New Roman" w:hAnsi="Times New Roman" w:cs="Times New Roman"/>
          <w:sz w:val="24"/>
          <w:szCs w:val="24"/>
        </w:rPr>
        <w:t>its</w:t>
      </w:r>
      <w:r w:rsidRPr="00BD00BE">
        <w:rPr>
          <w:rFonts w:ascii="Times New Roman" w:hAnsi="Times New Roman" w:cs="Times New Roman"/>
          <w:sz w:val="24"/>
          <w:szCs w:val="24"/>
        </w:rPr>
        <w:t xml:space="preserve"> </w:t>
      </w:r>
      <w:r w:rsidR="006F082A">
        <w:rPr>
          <w:rFonts w:ascii="Times New Roman" w:hAnsi="Times New Roman" w:cs="Times New Roman"/>
          <w:sz w:val="24"/>
          <w:szCs w:val="24"/>
        </w:rPr>
        <w:t>implementation</w:t>
      </w:r>
      <w:r w:rsidRPr="00BD00BE">
        <w:rPr>
          <w:rFonts w:ascii="Times New Roman" w:hAnsi="Times New Roman" w:cs="Times New Roman"/>
          <w:sz w:val="24"/>
          <w:szCs w:val="24"/>
        </w:rPr>
        <w:t xml:space="preserve"> and </w:t>
      </w:r>
      <w:r w:rsidRPr="00D9017E">
        <w:rPr>
          <w:rFonts w:ascii="Times New Roman" w:hAnsi="Times New Roman" w:cs="Times New Roman"/>
          <w:sz w:val="24"/>
          <w:szCs w:val="24"/>
        </w:rPr>
        <w:t>right b</w:t>
      </w:r>
      <w:r>
        <w:rPr>
          <w:rFonts w:ascii="Times New Roman" w:hAnsi="Times New Roman" w:cs="Times New Roman"/>
          <w:sz w:val="24"/>
          <w:szCs w:val="24"/>
        </w:rPr>
        <w:t xml:space="preserve">efore </w:t>
      </w:r>
      <w:r w:rsidRPr="00BD00BE">
        <w:rPr>
          <w:rFonts w:ascii="Times New Roman" w:hAnsi="Times New Roman" w:cs="Times New Roman"/>
          <w:sz w:val="24"/>
          <w:szCs w:val="24"/>
        </w:rPr>
        <w:t xml:space="preserve">of the global economic crises. </w:t>
      </w:r>
    </w:p>
    <w:p w14:paraId="079952BD" w14:textId="5CCA8CF4" w:rsidR="00D9017E" w:rsidRDefault="00D9017E" w:rsidP="00D9017E">
      <w:pPr>
        <w:spacing w:line="360" w:lineRule="auto"/>
        <w:jc w:val="both"/>
        <w:rPr>
          <w:rFonts w:ascii="Times New Roman" w:hAnsi="Times New Roman" w:cs="Times New Roman"/>
          <w:sz w:val="24"/>
          <w:szCs w:val="24"/>
        </w:rPr>
      </w:pPr>
      <w:r>
        <w:rPr>
          <w:rFonts w:ascii="Times New Roman" w:hAnsi="Times New Roman" w:cs="Times New Roman"/>
          <w:sz w:val="24"/>
          <w:szCs w:val="24"/>
        </w:rPr>
        <w:t>The</w:t>
      </w:r>
      <w:r w:rsidRPr="00BD00BE">
        <w:rPr>
          <w:rFonts w:ascii="Times New Roman" w:hAnsi="Times New Roman" w:cs="Times New Roman"/>
          <w:sz w:val="24"/>
          <w:szCs w:val="24"/>
        </w:rPr>
        <w:t xml:space="preserve"> main factors responsible for changes in the energy-related CO</w:t>
      </w:r>
      <w:r w:rsidRPr="00BD00BE">
        <w:rPr>
          <w:rFonts w:ascii="Times New Roman" w:hAnsi="Times New Roman" w:cs="Times New Roman"/>
          <w:sz w:val="24"/>
          <w:szCs w:val="24"/>
          <w:vertAlign w:val="subscript"/>
        </w:rPr>
        <w:t>2</w:t>
      </w:r>
      <w:r w:rsidRPr="00BD00BE">
        <w:rPr>
          <w:rFonts w:ascii="Times New Roman" w:hAnsi="Times New Roman" w:cs="Times New Roman"/>
          <w:sz w:val="24"/>
          <w:szCs w:val="24"/>
        </w:rPr>
        <w:t xml:space="preserve"> emission</w:t>
      </w:r>
      <w:r>
        <w:rPr>
          <w:rFonts w:ascii="Times New Roman" w:hAnsi="Times New Roman" w:cs="Times New Roman"/>
          <w:sz w:val="24"/>
          <w:szCs w:val="24"/>
        </w:rPr>
        <w:t xml:space="preserve"> considered here</w:t>
      </w:r>
      <w:r w:rsidRPr="00BD00BE">
        <w:rPr>
          <w:rFonts w:ascii="Times New Roman" w:hAnsi="Times New Roman" w:cs="Times New Roman"/>
          <w:sz w:val="24"/>
          <w:szCs w:val="24"/>
        </w:rPr>
        <w:t xml:space="preserve"> are: </w:t>
      </w:r>
      <w:r w:rsidRPr="00BD00BE">
        <w:rPr>
          <w:rFonts w:ascii="Times New Roman" w:hAnsi="Times New Roman" w:cs="Times New Roman"/>
          <w:i/>
          <w:sz w:val="24"/>
          <w:szCs w:val="24"/>
        </w:rPr>
        <w:t>(i)</w:t>
      </w:r>
      <w:r w:rsidRPr="00BD00BE">
        <w:rPr>
          <w:rFonts w:ascii="Times New Roman" w:hAnsi="Times New Roman" w:cs="Times New Roman"/>
          <w:sz w:val="24"/>
          <w:szCs w:val="24"/>
        </w:rPr>
        <w:t xml:space="preserve"> changes in abatement technologies, fuel quality and fuel switching; </w:t>
      </w:r>
      <w:r w:rsidRPr="00BD00BE">
        <w:rPr>
          <w:rFonts w:ascii="Times New Roman" w:hAnsi="Times New Roman" w:cs="Times New Roman"/>
          <w:i/>
          <w:sz w:val="24"/>
          <w:szCs w:val="24"/>
        </w:rPr>
        <w:t>(ii)</w:t>
      </w:r>
      <w:r w:rsidRPr="00BD00BE">
        <w:rPr>
          <w:rFonts w:ascii="Times New Roman" w:hAnsi="Times New Roman" w:cs="Times New Roman"/>
          <w:sz w:val="24"/>
          <w:szCs w:val="24"/>
        </w:rPr>
        <w:t xml:space="preserve"> changes in the structure and efficiency of the energy system</w:t>
      </w:r>
      <w:r>
        <w:rPr>
          <w:rFonts w:ascii="Times New Roman" w:hAnsi="Times New Roman" w:cs="Times New Roman"/>
          <w:sz w:val="24"/>
          <w:szCs w:val="24"/>
        </w:rPr>
        <w:t>s</w:t>
      </w:r>
      <w:r w:rsidRPr="00BD00BE">
        <w:rPr>
          <w:rFonts w:ascii="Times New Roman" w:hAnsi="Times New Roman" w:cs="Times New Roman"/>
          <w:sz w:val="24"/>
          <w:szCs w:val="24"/>
        </w:rPr>
        <w:t xml:space="preserve">; </w:t>
      </w:r>
      <w:r w:rsidRPr="00BD00BE">
        <w:rPr>
          <w:rFonts w:ascii="Times New Roman" w:hAnsi="Times New Roman" w:cs="Times New Roman"/>
          <w:i/>
          <w:sz w:val="24"/>
          <w:szCs w:val="24"/>
        </w:rPr>
        <w:t xml:space="preserve">(iii) </w:t>
      </w:r>
      <w:r w:rsidRPr="00BD00BE">
        <w:rPr>
          <w:rFonts w:ascii="Times New Roman" w:hAnsi="Times New Roman" w:cs="Times New Roman"/>
          <w:sz w:val="24"/>
          <w:szCs w:val="24"/>
        </w:rPr>
        <w:t xml:space="preserve">the relative position of a country in the </w:t>
      </w:r>
      <w:r>
        <w:rPr>
          <w:rFonts w:ascii="Times New Roman" w:hAnsi="Times New Roman" w:cs="Times New Roman"/>
          <w:sz w:val="24"/>
          <w:szCs w:val="24"/>
        </w:rPr>
        <w:t>global</w:t>
      </w:r>
      <w:r w:rsidRPr="00BD00BE">
        <w:rPr>
          <w:rFonts w:ascii="Times New Roman" w:hAnsi="Times New Roman" w:cs="Times New Roman"/>
          <w:sz w:val="24"/>
          <w:szCs w:val="24"/>
        </w:rPr>
        <w:t xml:space="preserve"> Gross Domestic Product (GDP) generation and </w:t>
      </w:r>
      <w:r w:rsidRPr="00BD00BE">
        <w:rPr>
          <w:rFonts w:ascii="Times New Roman" w:hAnsi="Times New Roman" w:cs="Times New Roman"/>
          <w:i/>
          <w:sz w:val="24"/>
          <w:szCs w:val="24"/>
        </w:rPr>
        <w:t>(iv)</w:t>
      </w:r>
      <w:r w:rsidRPr="00BD00BE">
        <w:rPr>
          <w:rFonts w:ascii="Times New Roman" w:hAnsi="Times New Roman" w:cs="Times New Roman"/>
          <w:sz w:val="24"/>
          <w:szCs w:val="24"/>
        </w:rPr>
        <w:t xml:space="preserve"> changes of the total economic activity. The decomposition among these parameters allows </w:t>
      </w:r>
      <w:r>
        <w:rPr>
          <w:rFonts w:ascii="Times New Roman" w:hAnsi="Times New Roman" w:cs="Times New Roman"/>
          <w:sz w:val="24"/>
          <w:szCs w:val="24"/>
        </w:rPr>
        <w:t xml:space="preserve">us </w:t>
      </w:r>
      <w:r w:rsidRPr="00BD00BE">
        <w:rPr>
          <w:rFonts w:ascii="Times New Roman" w:hAnsi="Times New Roman" w:cs="Times New Roman"/>
          <w:sz w:val="24"/>
          <w:szCs w:val="24"/>
        </w:rPr>
        <w:t xml:space="preserve">to </w:t>
      </w:r>
      <w:r w:rsidR="003814CF">
        <w:rPr>
          <w:rFonts w:ascii="Times New Roman" w:hAnsi="Times New Roman" w:cs="Times New Roman"/>
          <w:sz w:val="24"/>
          <w:szCs w:val="24"/>
        </w:rPr>
        <w:t xml:space="preserve">estimate </w:t>
      </w:r>
      <w:r w:rsidRPr="00BD00BE">
        <w:rPr>
          <w:rFonts w:ascii="Times New Roman" w:hAnsi="Times New Roman" w:cs="Times New Roman"/>
          <w:sz w:val="24"/>
          <w:szCs w:val="24"/>
        </w:rPr>
        <w:t>how much CO</w:t>
      </w:r>
      <w:r w:rsidRPr="00D23318">
        <w:rPr>
          <w:rFonts w:ascii="Times New Roman" w:hAnsi="Times New Roman" w:cs="Times New Roman"/>
          <w:sz w:val="24"/>
          <w:szCs w:val="24"/>
          <w:vertAlign w:val="subscript"/>
        </w:rPr>
        <w:t>2</w:t>
      </w:r>
      <w:r w:rsidRPr="00BD00BE">
        <w:rPr>
          <w:rFonts w:ascii="Times New Roman" w:hAnsi="Times New Roman" w:cs="Times New Roman"/>
          <w:sz w:val="24"/>
          <w:szCs w:val="24"/>
        </w:rPr>
        <w:t xml:space="preserve"> variation can be attributed to technologies improvement</w:t>
      </w:r>
      <w:r>
        <w:rPr>
          <w:rFonts w:ascii="Times New Roman" w:hAnsi="Times New Roman" w:cs="Times New Roman"/>
          <w:sz w:val="24"/>
          <w:szCs w:val="24"/>
        </w:rPr>
        <w:t>s</w:t>
      </w:r>
      <w:r w:rsidRPr="00BD00BE">
        <w:rPr>
          <w:rFonts w:ascii="Times New Roman" w:hAnsi="Times New Roman" w:cs="Times New Roman"/>
          <w:sz w:val="24"/>
          <w:szCs w:val="24"/>
        </w:rPr>
        <w:t>, to a more efficient use of energy, and how those two relate to the relative improvement, stagnation o</w:t>
      </w:r>
      <w:r>
        <w:rPr>
          <w:rFonts w:ascii="Times New Roman" w:hAnsi="Times New Roman" w:cs="Times New Roman"/>
          <w:sz w:val="24"/>
          <w:szCs w:val="24"/>
        </w:rPr>
        <w:t xml:space="preserve">r </w:t>
      </w:r>
      <w:r w:rsidRPr="00BD00BE">
        <w:rPr>
          <w:rFonts w:ascii="Times New Roman" w:hAnsi="Times New Roman" w:cs="Times New Roman"/>
          <w:sz w:val="24"/>
          <w:szCs w:val="24"/>
        </w:rPr>
        <w:t>reduction of the individual country economic situation. The focus of this paper is a comparative analysis of t</w:t>
      </w:r>
      <w:r>
        <w:rPr>
          <w:rFonts w:ascii="Times New Roman" w:hAnsi="Times New Roman" w:cs="Times New Roman"/>
          <w:sz w:val="24"/>
          <w:szCs w:val="24"/>
        </w:rPr>
        <w:t>he decomposed factors across different</w:t>
      </w:r>
      <w:r w:rsidRPr="00BD00BE">
        <w:rPr>
          <w:rFonts w:ascii="Times New Roman" w:hAnsi="Times New Roman" w:cs="Times New Roman"/>
          <w:sz w:val="24"/>
          <w:szCs w:val="24"/>
        </w:rPr>
        <w:t xml:space="preserve"> world </w:t>
      </w:r>
      <w:r>
        <w:rPr>
          <w:rFonts w:ascii="Times New Roman" w:hAnsi="Times New Roman" w:cs="Times New Roman"/>
          <w:sz w:val="24"/>
          <w:szCs w:val="24"/>
        </w:rPr>
        <w:t xml:space="preserve">areas </w:t>
      </w:r>
      <w:r w:rsidRPr="00BD00BE">
        <w:rPr>
          <w:rFonts w:ascii="Times New Roman" w:hAnsi="Times New Roman" w:cs="Times New Roman"/>
          <w:sz w:val="24"/>
          <w:szCs w:val="24"/>
        </w:rPr>
        <w:t>in an attempt to assess the status of the actions taken by world countries toward a reduction of CO</w:t>
      </w:r>
      <w:r w:rsidRPr="00D23318">
        <w:rPr>
          <w:rFonts w:ascii="Times New Roman" w:hAnsi="Times New Roman" w:cs="Times New Roman"/>
          <w:sz w:val="24"/>
          <w:szCs w:val="24"/>
          <w:vertAlign w:val="subscript"/>
        </w:rPr>
        <w:t xml:space="preserve">2 </w:t>
      </w:r>
      <w:r>
        <w:rPr>
          <w:rFonts w:ascii="Times New Roman" w:hAnsi="Times New Roman" w:cs="Times New Roman"/>
          <w:sz w:val="24"/>
          <w:szCs w:val="24"/>
        </w:rPr>
        <w:t xml:space="preserve">emissions. </w:t>
      </w:r>
    </w:p>
    <w:p w14:paraId="2007C127" w14:textId="0D450668" w:rsidR="00D9017E" w:rsidRDefault="00D9017E" w:rsidP="00D9017E">
      <w:pPr>
        <w:spacing w:line="360" w:lineRule="auto"/>
        <w:jc w:val="both"/>
        <w:rPr>
          <w:rFonts w:ascii="Times New Roman" w:hAnsi="Times New Roman" w:cs="Times New Roman"/>
          <w:sz w:val="24"/>
          <w:szCs w:val="24"/>
        </w:rPr>
      </w:pPr>
      <w:r>
        <w:rPr>
          <w:rFonts w:ascii="Times New Roman" w:hAnsi="Times New Roman" w:cs="Times New Roman"/>
          <w:sz w:val="24"/>
          <w:szCs w:val="24"/>
        </w:rPr>
        <w:t>A similar analysis has been recently presented by [7] that used the same database [9] used in the present paper. The decomposition approach and the factor included in this paper are however different from [7]. Other works that used decomposition analysis to investigate CO</w:t>
      </w:r>
      <w:r w:rsidRPr="00B90C89">
        <w:rPr>
          <w:rFonts w:ascii="Times New Roman" w:hAnsi="Times New Roman" w:cs="Times New Roman"/>
          <w:sz w:val="24"/>
          <w:szCs w:val="24"/>
          <w:vertAlign w:val="subscript"/>
        </w:rPr>
        <w:t>2</w:t>
      </w:r>
      <w:r>
        <w:rPr>
          <w:rFonts w:ascii="Times New Roman" w:hAnsi="Times New Roman" w:cs="Times New Roman"/>
          <w:sz w:val="24"/>
          <w:szCs w:val="24"/>
        </w:rPr>
        <w:t xml:space="preserve"> emission </w:t>
      </w:r>
      <w:r w:rsidR="006F082A">
        <w:rPr>
          <w:rFonts w:ascii="Times New Roman" w:hAnsi="Times New Roman" w:cs="Times New Roman"/>
          <w:sz w:val="24"/>
          <w:szCs w:val="24"/>
        </w:rPr>
        <w:t>variations. Among</w:t>
      </w:r>
      <w:r>
        <w:rPr>
          <w:rFonts w:ascii="Times New Roman" w:hAnsi="Times New Roman" w:cs="Times New Roman"/>
          <w:sz w:val="24"/>
          <w:szCs w:val="24"/>
        </w:rPr>
        <w:t xml:space="preserve"> others [10-16]</w:t>
      </w:r>
      <w:r w:rsidR="006F082A">
        <w:rPr>
          <w:rFonts w:ascii="Times New Roman" w:hAnsi="Times New Roman" w:cs="Times New Roman"/>
          <w:sz w:val="24"/>
          <w:szCs w:val="24"/>
        </w:rPr>
        <w:t>,</w:t>
      </w:r>
      <w:r>
        <w:rPr>
          <w:rFonts w:ascii="Times New Roman" w:hAnsi="Times New Roman" w:cs="Times New Roman"/>
          <w:sz w:val="24"/>
          <w:szCs w:val="24"/>
        </w:rPr>
        <w:t xml:space="preserve">with a particular focus on USA, China and India. The present work falls into the category of the multiple country analysis and, differently from other works [17-19], it includes both OECD and non-OECD areas. </w:t>
      </w:r>
    </w:p>
    <w:p w14:paraId="6489BA40" w14:textId="2C137815" w:rsidR="00D9017E" w:rsidRPr="00BD00BE" w:rsidRDefault="00D9017E" w:rsidP="00945F9B">
      <w:pPr>
        <w:spacing w:line="360" w:lineRule="auto"/>
        <w:jc w:val="both"/>
        <w:rPr>
          <w:rFonts w:ascii="Times New Roman" w:hAnsi="Times New Roman" w:cs="Times New Roman"/>
          <w:sz w:val="24"/>
          <w:szCs w:val="24"/>
        </w:rPr>
      </w:pPr>
      <w:r>
        <w:rPr>
          <w:rFonts w:ascii="Times New Roman" w:hAnsi="Times New Roman" w:cs="Times New Roman"/>
          <w:sz w:val="24"/>
          <w:szCs w:val="24"/>
        </w:rPr>
        <w:t>The paper is structured as follow: in section 2 the data are presented and analysed. Section 3 introduces the decomposition technique adopted in this study. The results of the analysis are represented in Section 4 while limitations of this work and the conclusions are presented in section 5 and 6 respectively.</w:t>
      </w:r>
    </w:p>
    <w:p w14:paraId="12BB153A" w14:textId="77777777" w:rsidR="00CC37F4" w:rsidRPr="00D9017E" w:rsidRDefault="00CC37F4" w:rsidP="00D9017E">
      <w:pPr>
        <w:spacing w:line="360" w:lineRule="auto"/>
        <w:rPr>
          <w:rFonts w:ascii="Times New Roman" w:hAnsi="Times New Roman" w:cs="Times New Roman"/>
          <w:b/>
          <w:sz w:val="24"/>
          <w:szCs w:val="24"/>
        </w:rPr>
      </w:pPr>
    </w:p>
    <w:p w14:paraId="2E29FBBB" w14:textId="77777777" w:rsidR="00197EB4" w:rsidRPr="00803ABC" w:rsidRDefault="00197EB4" w:rsidP="00803ABC">
      <w:pPr>
        <w:pStyle w:val="Paragrafoelenco"/>
        <w:numPr>
          <w:ilvl w:val="0"/>
          <w:numId w:val="1"/>
        </w:numPr>
        <w:spacing w:line="360" w:lineRule="auto"/>
        <w:rPr>
          <w:rFonts w:ascii="Times New Roman" w:hAnsi="Times New Roman" w:cs="Times New Roman"/>
          <w:sz w:val="24"/>
          <w:szCs w:val="24"/>
        </w:rPr>
      </w:pPr>
      <w:r w:rsidRPr="00803ABC">
        <w:rPr>
          <w:rFonts w:ascii="Times New Roman" w:hAnsi="Times New Roman" w:cs="Times New Roman"/>
          <w:b/>
          <w:sz w:val="24"/>
          <w:szCs w:val="24"/>
        </w:rPr>
        <w:lastRenderedPageBreak/>
        <w:t>Data and data analysis:</w:t>
      </w:r>
    </w:p>
    <w:p w14:paraId="1BAB0E7A" w14:textId="5763CF8C" w:rsidR="00502D77" w:rsidRDefault="00066D49" w:rsidP="00803ABC">
      <w:pPr>
        <w:spacing w:line="360" w:lineRule="auto"/>
        <w:jc w:val="both"/>
        <w:rPr>
          <w:rFonts w:ascii="Times New Roman" w:hAnsi="Times New Roman" w:cs="Times New Roman"/>
          <w:sz w:val="24"/>
          <w:szCs w:val="24"/>
        </w:rPr>
      </w:pPr>
      <w:r w:rsidRPr="00803ABC">
        <w:rPr>
          <w:rFonts w:ascii="Times New Roman" w:hAnsi="Times New Roman" w:cs="Times New Roman"/>
          <w:sz w:val="24"/>
          <w:szCs w:val="24"/>
        </w:rPr>
        <w:t>The decomposition analysis p</w:t>
      </w:r>
      <w:r w:rsidR="004B2802">
        <w:rPr>
          <w:rFonts w:ascii="Times New Roman" w:hAnsi="Times New Roman" w:cs="Times New Roman"/>
          <w:sz w:val="24"/>
          <w:szCs w:val="24"/>
        </w:rPr>
        <w:t>erformed in this paper</w:t>
      </w:r>
      <w:r w:rsidR="00A51BF7">
        <w:rPr>
          <w:rFonts w:ascii="Times New Roman" w:hAnsi="Times New Roman" w:cs="Times New Roman"/>
          <w:sz w:val="24"/>
          <w:szCs w:val="24"/>
        </w:rPr>
        <w:t xml:space="preserve"> aims at</w:t>
      </w:r>
      <w:r w:rsidR="004B2802">
        <w:rPr>
          <w:rFonts w:ascii="Times New Roman" w:hAnsi="Times New Roman" w:cs="Times New Roman"/>
          <w:sz w:val="24"/>
          <w:szCs w:val="24"/>
        </w:rPr>
        <w:t xml:space="preserve"> </w:t>
      </w:r>
      <w:r w:rsidR="00A51BF7">
        <w:rPr>
          <w:rFonts w:ascii="Times New Roman" w:hAnsi="Times New Roman" w:cs="Times New Roman"/>
          <w:sz w:val="24"/>
          <w:szCs w:val="24"/>
        </w:rPr>
        <w:t xml:space="preserve">investigating </w:t>
      </w:r>
      <w:r w:rsidR="004B2802">
        <w:rPr>
          <w:rFonts w:ascii="Times New Roman" w:hAnsi="Times New Roman" w:cs="Times New Roman"/>
          <w:sz w:val="24"/>
          <w:szCs w:val="24"/>
        </w:rPr>
        <w:t>the main factors responsible for</w:t>
      </w:r>
      <w:r w:rsidR="00FD544A">
        <w:rPr>
          <w:rFonts w:ascii="Times New Roman" w:hAnsi="Times New Roman" w:cs="Times New Roman"/>
          <w:sz w:val="24"/>
          <w:szCs w:val="24"/>
        </w:rPr>
        <w:t xml:space="preserve"> </w:t>
      </w:r>
      <w:r w:rsidR="00A51BF7">
        <w:rPr>
          <w:rFonts w:ascii="Times New Roman" w:hAnsi="Times New Roman" w:cs="Times New Roman"/>
          <w:sz w:val="24"/>
          <w:szCs w:val="24"/>
        </w:rPr>
        <w:t xml:space="preserve">the </w:t>
      </w:r>
      <w:r w:rsidR="00FD544A">
        <w:rPr>
          <w:rFonts w:ascii="Times New Roman" w:hAnsi="Times New Roman" w:cs="Times New Roman"/>
          <w:sz w:val="24"/>
          <w:szCs w:val="24"/>
        </w:rPr>
        <w:t>changes in the energy-related CO</w:t>
      </w:r>
      <w:r w:rsidR="00FD544A" w:rsidRPr="00FD544A">
        <w:rPr>
          <w:rFonts w:ascii="Times New Roman" w:hAnsi="Times New Roman" w:cs="Times New Roman"/>
          <w:sz w:val="24"/>
          <w:szCs w:val="24"/>
          <w:vertAlign w:val="subscript"/>
        </w:rPr>
        <w:t>2</w:t>
      </w:r>
      <w:r w:rsidR="004B2802">
        <w:rPr>
          <w:rFonts w:ascii="Times New Roman" w:hAnsi="Times New Roman" w:cs="Times New Roman"/>
          <w:sz w:val="24"/>
          <w:szCs w:val="24"/>
        </w:rPr>
        <w:t xml:space="preserve"> emission</w:t>
      </w:r>
      <w:r w:rsidR="00502D77">
        <w:rPr>
          <w:rFonts w:ascii="Times New Roman" w:hAnsi="Times New Roman" w:cs="Times New Roman"/>
          <w:sz w:val="24"/>
          <w:szCs w:val="24"/>
        </w:rPr>
        <w:t xml:space="preserve"> </w:t>
      </w:r>
      <w:r w:rsidR="00A51BF7">
        <w:rPr>
          <w:rFonts w:ascii="Times New Roman" w:hAnsi="Times New Roman" w:cs="Times New Roman"/>
          <w:sz w:val="24"/>
          <w:szCs w:val="24"/>
        </w:rPr>
        <w:t xml:space="preserve">of </w:t>
      </w:r>
      <w:r w:rsidR="00502D77">
        <w:rPr>
          <w:rFonts w:ascii="Times New Roman" w:hAnsi="Times New Roman" w:cs="Times New Roman"/>
          <w:sz w:val="24"/>
          <w:szCs w:val="24"/>
        </w:rPr>
        <w:t>3</w:t>
      </w:r>
      <w:r w:rsidR="00D9017E">
        <w:rPr>
          <w:rFonts w:ascii="Times New Roman" w:hAnsi="Times New Roman" w:cs="Times New Roman"/>
          <w:sz w:val="24"/>
          <w:szCs w:val="24"/>
        </w:rPr>
        <w:t>3</w:t>
      </w:r>
      <w:r w:rsidR="00502D77">
        <w:rPr>
          <w:rFonts w:ascii="Times New Roman" w:hAnsi="Times New Roman" w:cs="Times New Roman"/>
          <w:sz w:val="24"/>
          <w:szCs w:val="24"/>
        </w:rPr>
        <w:t xml:space="preserve"> countries around the world</w:t>
      </w:r>
      <w:r w:rsidR="00FD544A">
        <w:rPr>
          <w:rFonts w:ascii="Times New Roman" w:hAnsi="Times New Roman" w:cs="Times New Roman"/>
          <w:sz w:val="24"/>
          <w:szCs w:val="24"/>
        </w:rPr>
        <w:t xml:space="preserve">. The study refers to the period 1995-2007 and considers both developed and developing </w:t>
      </w:r>
      <w:r w:rsidR="00A51BF7">
        <w:rPr>
          <w:rFonts w:ascii="Times New Roman" w:hAnsi="Times New Roman" w:cs="Times New Roman"/>
          <w:sz w:val="24"/>
          <w:szCs w:val="24"/>
        </w:rPr>
        <w:t>countries</w:t>
      </w:r>
      <w:r w:rsidR="006A426E" w:rsidRPr="00803ABC">
        <w:rPr>
          <w:rFonts w:ascii="Times New Roman" w:hAnsi="Times New Roman" w:cs="Times New Roman"/>
          <w:sz w:val="24"/>
          <w:szCs w:val="24"/>
        </w:rPr>
        <w:t>. The data</w:t>
      </w:r>
      <w:r w:rsidR="00FD544A">
        <w:rPr>
          <w:rFonts w:ascii="Times New Roman" w:hAnsi="Times New Roman" w:cs="Times New Roman"/>
          <w:sz w:val="24"/>
          <w:szCs w:val="24"/>
        </w:rPr>
        <w:t xml:space="preserve"> used have been taken from OECD and from the World Input-Output Data</w:t>
      </w:r>
      <w:r w:rsidR="00690E2B">
        <w:rPr>
          <w:rFonts w:ascii="Times New Roman" w:hAnsi="Times New Roman" w:cs="Times New Roman"/>
          <w:sz w:val="24"/>
          <w:szCs w:val="24"/>
        </w:rPr>
        <w:t xml:space="preserve">base (WIOD). In particular, the data on </w:t>
      </w:r>
      <w:r w:rsidR="006F082A">
        <w:rPr>
          <w:rFonts w:ascii="Times New Roman" w:hAnsi="Times New Roman" w:cs="Times New Roman"/>
          <w:sz w:val="24"/>
          <w:szCs w:val="24"/>
        </w:rPr>
        <w:t xml:space="preserve">emission-relevant </w:t>
      </w:r>
      <w:r w:rsidR="00FD544A">
        <w:rPr>
          <w:rFonts w:ascii="Times New Roman" w:hAnsi="Times New Roman" w:cs="Times New Roman"/>
          <w:sz w:val="24"/>
          <w:szCs w:val="24"/>
        </w:rPr>
        <w:t>energy use and the quantity of energy-related carbon dioxide emis</w:t>
      </w:r>
      <w:r w:rsidR="00690E2B">
        <w:rPr>
          <w:rFonts w:ascii="Times New Roman" w:hAnsi="Times New Roman" w:cs="Times New Roman"/>
          <w:sz w:val="24"/>
          <w:szCs w:val="24"/>
        </w:rPr>
        <w:t xml:space="preserve">sions have been collected from the World Input-Output Database that includes a set of socio-economic and environmental information for 40 world countries plus the </w:t>
      </w:r>
      <w:r w:rsidR="00690E2B" w:rsidRPr="00990688">
        <w:rPr>
          <w:rFonts w:ascii="Times New Roman" w:hAnsi="Times New Roman" w:cs="Times New Roman"/>
          <w:sz w:val="24"/>
          <w:szCs w:val="24"/>
        </w:rPr>
        <w:t>Rest of the World</w:t>
      </w:r>
      <w:r w:rsidR="00690E2B">
        <w:rPr>
          <w:rFonts w:ascii="Times New Roman" w:hAnsi="Times New Roman" w:cs="Times New Roman"/>
          <w:sz w:val="24"/>
          <w:szCs w:val="24"/>
        </w:rPr>
        <w:t xml:space="preserve"> for the time period 1995-2009</w:t>
      </w:r>
      <w:r w:rsidR="00FF6AE4" w:rsidRPr="00803ABC">
        <w:rPr>
          <w:rFonts w:ascii="Times New Roman" w:hAnsi="Times New Roman" w:cs="Times New Roman"/>
          <w:sz w:val="24"/>
          <w:szCs w:val="24"/>
        </w:rPr>
        <w:t xml:space="preserve"> </w:t>
      </w:r>
      <w:r w:rsidR="009C6C91" w:rsidRPr="00803ABC">
        <w:rPr>
          <w:rFonts w:ascii="Times New Roman" w:hAnsi="Times New Roman" w:cs="Times New Roman"/>
          <w:sz w:val="24"/>
          <w:szCs w:val="24"/>
        </w:rPr>
        <w:t xml:space="preserve">(for a description of the database see </w:t>
      </w:r>
      <w:r w:rsidR="0060672F">
        <w:rPr>
          <w:rFonts w:ascii="Times New Roman" w:hAnsi="Times New Roman" w:cs="Times New Roman"/>
          <w:sz w:val="24"/>
          <w:szCs w:val="24"/>
        </w:rPr>
        <w:t>[20]</w:t>
      </w:r>
      <w:r w:rsidR="009C6C91" w:rsidRPr="00803ABC">
        <w:rPr>
          <w:rFonts w:ascii="Times New Roman" w:hAnsi="Times New Roman" w:cs="Times New Roman"/>
          <w:sz w:val="24"/>
          <w:szCs w:val="24"/>
        </w:rPr>
        <w:t>)</w:t>
      </w:r>
      <w:r w:rsidR="00FF6AE4" w:rsidRPr="00803ABC">
        <w:rPr>
          <w:rFonts w:ascii="Times New Roman" w:hAnsi="Times New Roman" w:cs="Times New Roman"/>
          <w:sz w:val="24"/>
          <w:szCs w:val="24"/>
        </w:rPr>
        <w:t>. Gross Domestic Product</w:t>
      </w:r>
      <w:r w:rsidR="00690E2B">
        <w:rPr>
          <w:rFonts w:ascii="Times New Roman" w:hAnsi="Times New Roman" w:cs="Times New Roman"/>
          <w:sz w:val="24"/>
          <w:szCs w:val="24"/>
        </w:rPr>
        <w:t xml:space="preserve"> (GDP)</w:t>
      </w:r>
      <w:r w:rsidR="00FF6AE4" w:rsidRPr="00803ABC">
        <w:rPr>
          <w:rFonts w:ascii="Times New Roman" w:hAnsi="Times New Roman" w:cs="Times New Roman"/>
          <w:sz w:val="24"/>
          <w:szCs w:val="24"/>
        </w:rPr>
        <w:t xml:space="preserve"> </w:t>
      </w:r>
      <w:r w:rsidR="00A51BF7">
        <w:rPr>
          <w:rFonts w:ascii="Times New Roman" w:hAnsi="Times New Roman" w:cs="Times New Roman"/>
          <w:sz w:val="24"/>
          <w:szCs w:val="24"/>
        </w:rPr>
        <w:t>data were</w:t>
      </w:r>
      <w:r w:rsidR="00A51BF7" w:rsidRPr="00803ABC">
        <w:rPr>
          <w:rFonts w:ascii="Times New Roman" w:hAnsi="Times New Roman" w:cs="Times New Roman"/>
          <w:sz w:val="24"/>
          <w:szCs w:val="24"/>
        </w:rPr>
        <w:t xml:space="preserve"> </w:t>
      </w:r>
      <w:r w:rsidR="00FF6AE4" w:rsidRPr="00803ABC">
        <w:rPr>
          <w:rFonts w:ascii="Times New Roman" w:hAnsi="Times New Roman" w:cs="Times New Roman"/>
          <w:sz w:val="24"/>
          <w:szCs w:val="24"/>
        </w:rPr>
        <w:t xml:space="preserve">taken from </w:t>
      </w:r>
      <w:r w:rsidR="00203D23">
        <w:rPr>
          <w:rFonts w:ascii="Times New Roman" w:hAnsi="Times New Roman" w:cs="Times New Roman"/>
          <w:sz w:val="24"/>
          <w:szCs w:val="24"/>
        </w:rPr>
        <w:t xml:space="preserve">[21] </w:t>
      </w:r>
      <w:r w:rsidR="00502D77">
        <w:rPr>
          <w:rFonts w:ascii="Times New Roman" w:hAnsi="Times New Roman" w:cs="Times New Roman"/>
          <w:sz w:val="24"/>
          <w:szCs w:val="24"/>
        </w:rPr>
        <w:t xml:space="preserve">that provides data </w:t>
      </w:r>
      <w:r w:rsidR="00690E2B">
        <w:rPr>
          <w:rFonts w:ascii="Times New Roman" w:hAnsi="Times New Roman" w:cs="Times New Roman"/>
          <w:sz w:val="24"/>
          <w:szCs w:val="24"/>
        </w:rPr>
        <w:t xml:space="preserve">at </w:t>
      </w:r>
      <w:r w:rsidR="00FF6AE4" w:rsidRPr="00803ABC">
        <w:rPr>
          <w:rFonts w:ascii="Times New Roman" w:hAnsi="Times New Roman" w:cs="Times New Roman"/>
          <w:sz w:val="24"/>
          <w:szCs w:val="24"/>
        </w:rPr>
        <w:t>constant prices for 31 of the</w:t>
      </w:r>
      <w:r w:rsidR="00DE7AE4" w:rsidRPr="00803ABC">
        <w:rPr>
          <w:rFonts w:ascii="Times New Roman" w:hAnsi="Times New Roman" w:cs="Times New Roman"/>
          <w:sz w:val="24"/>
          <w:szCs w:val="24"/>
        </w:rPr>
        <w:t xml:space="preserve"> </w:t>
      </w:r>
      <w:r w:rsidR="00D9017E">
        <w:rPr>
          <w:rFonts w:ascii="Times New Roman" w:hAnsi="Times New Roman" w:cs="Times New Roman"/>
          <w:sz w:val="24"/>
          <w:szCs w:val="24"/>
        </w:rPr>
        <w:t>33 countries considered in this paper</w:t>
      </w:r>
      <w:r w:rsidR="00DE7AE4" w:rsidRPr="00803ABC">
        <w:rPr>
          <w:rFonts w:ascii="Times New Roman" w:hAnsi="Times New Roman" w:cs="Times New Roman"/>
          <w:sz w:val="24"/>
          <w:szCs w:val="24"/>
        </w:rPr>
        <w:t xml:space="preserve"> for the period 1995-2007.</w:t>
      </w:r>
      <w:r w:rsidR="00197EB4" w:rsidRPr="00803ABC">
        <w:rPr>
          <w:rFonts w:ascii="Times New Roman" w:hAnsi="Times New Roman" w:cs="Times New Roman"/>
          <w:sz w:val="24"/>
          <w:szCs w:val="24"/>
        </w:rPr>
        <w:t xml:space="preserve"> </w:t>
      </w:r>
      <w:r w:rsidR="00AC4918">
        <w:rPr>
          <w:rFonts w:ascii="Times New Roman" w:hAnsi="Times New Roman" w:cs="Times New Roman"/>
          <w:sz w:val="24"/>
          <w:szCs w:val="24"/>
        </w:rPr>
        <w:t>GDP d</w:t>
      </w:r>
      <w:r w:rsidR="00D9017E">
        <w:rPr>
          <w:rFonts w:ascii="Times New Roman" w:hAnsi="Times New Roman" w:cs="Times New Roman"/>
          <w:sz w:val="24"/>
          <w:szCs w:val="24"/>
        </w:rPr>
        <w:t>ata for Brazil and India are only available for the time period 2000-2008 for Brazil an</w:t>
      </w:r>
      <w:r w:rsidR="005C67A8">
        <w:rPr>
          <w:rFonts w:ascii="Times New Roman" w:hAnsi="Times New Roman" w:cs="Times New Roman"/>
          <w:sz w:val="24"/>
          <w:szCs w:val="24"/>
        </w:rPr>
        <w:t>d 2004-2008 for India. For this</w:t>
      </w:r>
      <w:r w:rsidR="00D9017E">
        <w:rPr>
          <w:rFonts w:ascii="Times New Roman" w:hAnsi="Times New Roman" w:cs="Times New Roman"/>
          <w:sz w:val="24"/>
          <w:szCs w:val="24"/>
        </w:rPr>
        <w:t xml:space="preserve"> reason the decomposition analysis performed for these two countries have been keep separate from the decomposition analysis performed for the other 31 countries. </w:t>
      </w:r>
      <w:r w:rsidR="008718A1" w:rsidRPr="00803ABC">
        <w:rPr>
          <w:rFonts w:ascii="Times New Roman" w:hAnsi="Times New Roman" w:cs="Times New Roman"/>
          <w:sz w:val="24"/>
          <w:szCs w:val="24"/>
        </w:rPr>
        <w:t xml:space="preserve">These data are analysed hereafter. </w:t>
      </w:r>
      <w:r w:rsidR="008718A1">
        <w:rPr>
          <w:rFonts w:ascii="Times New Roman" w:hAnsi="Times New Roman" w:cs="Times New Roman"/>
          <w:sz w:val="24"/>
          <w:szCs w:val="24"/>
        </w:rPr>
        <w:t xml:space="preserve">The key objective is to provide an overview of the main trends and relationships existing between energy use, </w:t>
      </w:r>
      <w:r w:rsidR="00F93E85">
        <w:rPr>
          <w:rFonts w:ascii="Times New Roman" w:hAnsi="Times New Roman" w:cs="Times New Roman"/>
          <w:sz w:val="24"/>
          <w:szCs w:val="24"/>
        </w:rPr>
        <w:t>CO</w:t>
      </w:r>
      <w:r w:rsidR="00F93E85" w:rsidRPr="00CB0D6E">
        <w:rPr>
          <w:rFonts w:ascii="Times New Roman" w:hAnsi="Times New Roman" w:cs="Times New Roman"/>
          <w:sz w:val="24"/>
          <w:szCs w:val="24"/>
          <w:vertAlign w:val="subscript"/>
        </w:rPr>
        <w:t>2</w:t>
      </w:r>
      <w:r w:rsidR="00F93E85">
        <w:rPr>
          <w:rFonts w:ascii="Times New Roman" w:hAnsi="Times New Roman" w:cs="Times New Roman"/>
          <w:sz w:val="24"/>
          <w:szCs w:val="24"/>
          <w:vertAlign w:val="subscript"/>
        </w:rPr>
        <w:t xml:space="preserve"> </w:t>
      </w:r>
      <w:r w:rsidR="008718A1">
        <w:rPr>
          <w:rFonts w:ascii="Times New Roman" w:hAnsi="Times New Roman" w:cs="Times New Roman"/>
          <w:sz w:val="24"/>
          <w:szCs w:val="24"/>
        </w:rPr>
        <w:t xml:space="preserve">emissions and GDP. In the following section the energy related </w:t>
      </w:r>
      <w:r w:rsidR="00CB0D6E">
        <w:rPr>
          <w:rFonts w:ascii="Times New Roman" w:hAnsi="Times New Roman" w:cs="Times New Roman"/>
          <w:sz w:val="24"/>
          <w:szCs w:val="24"/>
        </w:rPr>
        <w:t>CO</w:t>
      </w:r>
      <w:r w:rsidR="00CB0D6E" w:rsidRPr="00CB0D6E">
        <w:rPr>
          <w:rFonts w:ascii="Times New Roman" w:hAnsi="Times New Roman" w:cs="Times New Roman"/>
          <w:sz w:val="24"/>
          <w:szCs w:val="24"/>
          <w:vertAlign w:val="subscript"/>
        </w:rPr>
        <w:t>2</w:t>
      </w:r>
      <w:r w:rsidR="003F749F">
        <w:rPr>
          <w:rFonts w:ascii="Times New Roman" w:hAnsi="Times New Roman" w:cs="Times New Roman"/>
          <w:sz w:val="24"/>
          <w:szCs w:val="24"/>
        </w:rPr>
        <w:t xml:space="preserve"> </w:t>
      </w:r>
      <w:r w:rsidR="00CB0D6E">
        <w:rPr>
          <w:rFonts w:ascii="Times New Roman" w:hAnsi="Times New Roman" w:cs="Times New Roman"/>
          <w:sz w:val="24"/>
          <w:szCs w:val="24"/>
        </w:rPr>
        <w:t xml:space="preserve">emissions </w:t>
      </w:r>
      <w:r w:rsidR="008718A1">
        <w:rPr>
          <w:rFonts w:ascii="Times New Roman" w:hAnsi="Times New Roman" w:cs="Times New Roman"/>
          <w:sz w:val="24"/>
          <w:szCs w:val="24"/>
        </w:rPr>
        <w:t xml:space="preserve">will be decomposed </w:t>
      </w:r>
      <w:r w:rsidR="00CB0D6E">
        <w:rPr>
          <w:rFonts w:ascii="Times New Roman" w:hAnsi="Times New Roman" w:cs="Times New Roman"/>
          <w:sz w:val="24"/>
          <w:szCs w:val="24"/>
        </w:rPr>
        <w:t xml:space="preserve">in the factors presented </w:t>
      </w:r>
      <w:r w:rsidR="00D04448">
        <w:rPr>
          <w:rFonts w:ascii="Times New Roman" w:hAnsi="Times New Roman" w:cs="Times New Roman"/>
          <w:sz w:val="24"/>
          <w:szCs w:val="24"/>
        </w:rPr>
        <w:t>in Section 3</w:t>
      </w:r>
      <w:r w:rsidR="00CB0D6E">
        <w:rPr>
          <w:rFonts w:ascii="Times New Roman" w:hAnsi="Times New Roman" w:cs="Times New Roman"/>
          <w:sz w:val="24"/>
          <w:szCs w:val="24"/>
        </w:rPr>
        <w:t xml:space="preserve">. </w:t>
      </w:r>
    </w:p>
    <w:p w14:paraId="0C57141F" w14:textId="77777777" w:rsidR="00593774" w:rsidRDefault="00593774" w:rsidP="00803ABC">
      <w:pPr>
        <w:spacing w:line="360" w:lineRule="auto"/>
        <w:jc w:val="both"/>
        <w:rPr>
          <w:rFonts w:ascii="Times New Roman" w:hAnsi="Times New Roman" w:cs="Times New Roman"/>
          <w:sz w:val="24"/>
          <w:szCs w:val="24"/>
        </w:rPr>
      </w:pPr>
    </w:p>
    <w:p w14:paraId="03ABACC7" w14:textId="77777777" w:rsidR="00192F25" w:rsidRPr="00D04448" w:rsidRDefault="00D04448" w:rsidP="00D04448">
      <w:pPr>
        <w:spacing w:line="360" w:lineRule="auto"/>
        <w:ind w:firstLine="720"/>
        <w:jc w:val="both"/>
        <w:rPr>
          <w:rFonts w:ascii="Times New Roman" w:hAnsi="Times New Roman" w:cs="Times New Roman"/>
          <w:i/>
          <w:sz w:val="24"/>
          <w:szCs w:val="24"/>
        </w:rPr>
      </w:pPr>
      <w:r>
        <w:rPr>
          <w:rFonts w:ascii="Times New Roman" w:hAnsi="Times New Roman" w:cs="Times New Roman"/>
          <w:i/>
          <w:sz w:val="24"/>
          <w:szCs w:val="24"/>
        </w:rPr>
        <w:t xml:space="preserve">2.1 </w:t>
      </w:r>
      <w:r w:rsidR="009653E2">
        <w:rPr>
          <w:rFonts w:ascii="Times New Roman" w:hAnsi="Times New Roman" w:cs="Times New Roman"/>
          <w:i/>
          <w:sz w:val="24"/>
          <w:szCs w:val="24"/>
        </w:rPr>
        <w:t xml:space="preserve">Overview of the data used </w:t>
      </w:r>
    </w:p>
    <w:p w14:paraId="6C0FF4A7" w14:textId="2B1E08E6" w:rsidR="009653E2" w:rsidRDefault="00192F25" w:rsidP="00803AB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Figures 1, 2 and 3 summarize </w:t>
      </w:r>
      <w:r w:rsidR="009653E2">
        <w:rPr>
          <w:rFonts w:ascii="Times New Roman" w:hAnsi="Times New Roman" w:cs="Times New Roman"/>
          <w:sz w:val="24"/>
          <w:szCs w:val="24"/>
        </w:rPr>
        <w:t xml:space="preserve">in </w:t>
      </w:r>
      <w:r>
        <w:rPr>
          <w:rFonts w:ascii="Times New Roman" w:hAnsi="Times New Roman" w:cs="Times New Roman"/>
          <w:sz w:val="24"/>
          <w:szCs w:val="24"/>
        </w:rPr>
        <w:t>percentage</w:t>
      </w:r>
      <w:r w:rsidR="009653E2">
        <w:rPr>
          <w:rFonts w:ascii="Times New Roman" w:hAnsi="Times New Roman" w:cs="Times New Roman"/>
          <w:sz w:val="24"/>
          <w:szCs w:val="24"/>
        </w:rPr>
        <w:t xml:space="preserve"> the</w:t>
      </w:r>
      <w:r>
        <w:rPr>
          <w:rFonts w:ascii="Times New Roman" w:hAnsi="Times New Roman" w:cs="Times New Roman"/>
          <w:sz w:val="24"/>
          <w:szCs w:val="24"/>
        </w:rPr>
        <w:t xml:space="preserve"> variations of GDP, CO</w:t>
      </w:r>
      <w:r w:rsidRPr="00192F25">
        <w:rPr>
          <w:rFonts w:ascii="Times New Roman" w:hAnsi="Times New Roman" w:cs="Times New Roman"/>
          <w:sz w:val="24"/>
          <w:szCs w:val="24"/>
          <w:vertAlign w:val="subscript"/>
        </w:rPr>
        <w:t>2</w:t>
      </w:r>
      <w:r>
        <w:rPr>
          <w:rFonts w:ascii="Times New Roman" w:hAnsi="Times New Roman" w:cs="Times New Roman"/>
          <w:sz w:val="24"/>
          <w:szCs w:val="24"/>
        </w:rPr>
        <w:t xml:space="preserve"> emissions and energy consumption for the countries considered in this paper</w:t>
      </w:r>
      <w:r w:rsidR="00CE16A7">
        <w:rPr>
          <w:rStyle w:val="Rimandonotaapidipagina"/>
          <w:rFonts w:ascii="Times New Roman" w:hAnsi="Times New Roman" w:cs="Times New Roman"/>
          <w:sz w:val="24"/>
          <w:szCs w:val="24"/>
        </w:rPr>
        <w:footnoteReference w:id="1"/>
      </w:r>
      <w:r>
        <w:rPr>
          <w:rFonts w:ascii="Times New Roman" w:hAnsi="Times New Roman" w:cs="Times New Roman"/>
          <w:sz w:val="24"/>
          <w:szCs w:val="24"/>
        </w:rPr>
        <w:t xml:space="preserve"> </w:t>
      </w:r>
      <w:r w:rsidR="009653E2">
        <w:rPr>
          <w:rFonts w:ascii="Times New Roman" w:hAnsi="Times New Roman" w:cs="Times New Roman"/>
          <w:sz w:val="24"/>
          <w:szCs w:val="24"/>
        </w:rPr>
        <w:t xml:space="preserve">grouped in </w:t>
      </w:r>
      <w:r>
        <w:rPr>
          <w:rFonts w:ascii="Times New Roman" w:hAnsi="Times New Roman" w:cs="Times New Roman"/>
          <w:sz w:val="24"/>
          <w:szCs w:val="24"/>
        </w:rPr>
        <w:t xml:space="preserve">European, Eastern European, Developed non-European and Developed countries. The objective is to provide an overview of the main trends </w:t>
      </w:r>
      <w:r w:rsidR="009653E2">
        <w:rPr>
          <w:rFonts w:ascii="Times New Roman" w:hAnsi="Times New Roman" w:cs="Times New Roman"/>
          <w:sz w:val="24"/>
          <w:szCs w:val="24"/>
        </w:rPr>
        <w:t xml:space="preserve">existing </w:t>
      </w:r>
      <w:r>
        <w:rPr>
          <w:rFonts w:ascii="Times New Roman" w:hAnsi="Times New Roman" w:cs="Times New Roman"/>
          <w:sz w:val="24"/>
          <w:szCs w:val="24"/>
        </w:rPr>
        <w:t>between 1995 and 2007 and to identify patterns that can be useful to</w:t>
      </w:r>
      <w:r w:rsidR="002F2E3F">
        <w:rPr>
          <w:rFonts w:ascii="Times New Roman" w:hAnsi="Times New Roman" w:cs="Times New Roman"/>
          <w:sz w:val="24"/>
          <w:szCs w:val="24"/>
        </w:rPr>
        <w:t xml:space="preserve"> explain the results obtain</w:t>
      </w:r>
      <w:r w:rsidR="001A1BD9">
        <w:rPr>
          <w:rFonts w:ascii="Times New Roman" w:hAnsi="Times New Roman" w:cs="Times New Roman"/>
          <w:sz w:val="24"/>
          <w:szCs w:val="24"/>
        </w:rPr>
        <w:t>ed in the decomposition exercise</w:t>
      </w:r>
      <w:r w:rsidR="002F2E3F">
        <w:rPr>
          <w:rFonts w:ascii="Times New Roman" w:hAnsi="Times New Roman" w:cs="Times New Roman"/>
          <w:sz w:val="24"/>
          <w:szCs w:val="24"/>
        </w:rPr>
        <w:t xml:space="preserve">. According to data reported in </w:t>
      </w:r>
      <w:r w:rsidR="001A1BD9">
        <w:rPr>
          <w:rFonts w:ascii="Times New Roman" w:hAnsi="Times New Roman" w:cs="Times New Roman"/>
          <w:sz w:val="24"/>
          <w:szCs w:val="24"/>
        </w:rPr>
        <w:t xml:space="preserve">the following </w:t>
      </w:r>
      <w:r w:rsidR="002F2E3F">
        <w:rPr>
          <w:rFonts w:ascii="Times New Roman" w:hAnsi="Times New Roman" w:cs="Times New Roman"/>
          <w:sz w:val="24"/>
          <w:szCs w:val="24"/>
        </w:rPr>
        <w:t>Figure</w:t>
      </w:r>
      <w:r w:rsidR="001A1BD9">
        <w:rPr>
          <w:rFonts w:ascii="Times New Roman" w:hAnsi="Times New Roman" w:cs="Times New Roman"/>
          <w:sz w:val="24"/>
          <w:szCs w:val="24"/>
        </w:rPr>
        <w:t>s,</w:t>
      </w:r>
      <w:r w:rsidR="002F2E3F">
        <w:rPr>
          <w:rFonts w:ascii="Times New Roman" w:hAnsi="Times New Roman" w:cs="Times New Roman"/>
          <w:sz w:val="24"/>
          <w:szCs w:val="24"/>
        </w:rPr>
        <w:t xml:space="preserve"> developing countries </w:t>
      </w:r>
      <w:r w:rsidR="009653E2">
        <w:rPr>
          <w:rFonts w:ascii="Times New Roman" w:hAnsi="Times New Roman" w:cs="Times New Roman"/>
          <w:sz w:val="24"/>
          <w:szCs w:val="24"/>
        </w:rPr>
        <w:t xml:space="preserve">show </w:t>
      </w:r>
      <w:r w:rsidR="002F2E3F">
        <w:rPr>
          <w:rFonts w:ascii="Times New Roman" w:hAnsi="Times New Roman" w:cs="Times New Roman"/>
          <w:sz w:val="24"/>
          <w:szCs w:val="24"/>
        </w:rPr>
        <w:t xml:space="preserve">the largest </w:t>
      </w:r>
      <w:r w:rsidR="001A1BD9">
        <w:rPr>
          <w:rFonts w:ascii="Times New Roman" w:hAnsi="Times New Roman" w:cs="Times New Roman"/>
          <w:sz w:val="24"/>
          <w:szCs w:val="24"/>
        </w:rPr>
        <w:t xml:space="preserve">percentage </w:t>
      </w:r>
      <w:r w:rsidR="002F2E3F">
        <w:rPr>
          <w:rFonts w:ascii="Times New Roman" w:hAnsi="Times New Roman" w:cs="Times New Roman"/>
          <w:sz w:val="24"/>
          <w:szCs w:val="24"/>
        </w:rPr>
        <w:t>variations in GPD, CO</w:t>
      </w:r>
      <w:r w:rsidR="002F2E3F" w:rsidRPr="002F2E3F">
        <w:rPr>
          <w:rFonts w:ascii="Times New Roman" w:hAnsi="Times New Roman" w:cs="Times New Roman"/>
          <w:sz w:val="24"/>
          <w:szCs w:val="24"/>
          <w:vertAlign w:val="subscript"/>
        </w:rPr>
        <w:t>2</w:t>
      </w:r>
      <w:r w:rsidR="002F2E3F">
        <w:rPr>
          <w:rFonts w:ascii="Times New Roman" w:hAnsi="Times New Roman" w:cs="Times New Roman"/>
          <w:sz w:val="24"/>
          <w:szCs w:val="24"/>
          <w:vertAlign w:val="subscript"/>
        </w:rPr>
        <w:t xml:space="preserve"> </w:t>
      </w:r>
      <w:r w:rsidR="002F2E3F" w:rsidRPr="002F2E3F">
        <w:rPr>
          <w:rFonts w:ascii="Times New Roman" w:hAnsi="Times New Roman" w:cs="Times New Roman"/>
          <w:sz w:val="24"/>
          <w:szCs w:val="24"/>
        </w:rPr>
        <w:t>emissions</w:t>
      </w:r>
      <w:r w:rsidR="001A1BD9">
        <w:rPr>
          <w:rFonts w:ascii="Times New Roman" w:hAnsi="Times New Roman" w:cs="Times New Roman"/>
          <w:sz w:val="24"/>
          <w:szCs w:val="24"/>
        </w:rPr>
        <w:t xml:space="preserve"> and energy use (+136.3%, +87.8%, +83.9% respectively between 1995 and 2007). </w:t>
      </w:r>
      <w:r w:rsidR="008147BA">
        <w:rPr>
          <w:rFonts w:ascii="Times New Roman" w:hAnsi="Times New Roman" w:cs="Times New Roman"/>
          <w:sz w:val="24"/>
          <w:szCs w:val="24"/>
        </w:rPr>
        <w:t xml:space="preserve">Easter European </w:t>
      </w:r>
      <w:r w:rsidR="00536379">
        <w:rPr>
          <w:rFonts w:ascii="Times New Roman" w:hAnsi="Times New Roman" w:cs="Times New Roman"/>
          <w:sz w:val="24"/>
          <w:szCs w:val="24"/>
        </w:rPr>
        <w:t xml:space="preserve">countries </w:t>
      </w:r>
      <w:r w:rsidR="0099563E">
        <w:rPr>
          <w:rFonts w:ascii="Times New Roman" w:hAnsi="Times New Roman" w:cs="Times New Roman"/>
          <w:sz w:val="24"/>
          <w:szCs w:val="24"/>
        </w:rPr>
        <w:t>also</w:t>
      </w:r>
      <w:r w:rsidR="008147BA">
        <w:rPr>
          <w:rFonts w:ascii="Times New Roman" w:hAnsi="Times New Roman" w:cs="Times New Roman"/>
          <w:sz w:val="24"/>
          <w:szCs w:val="24"/>
        </w:rPr>
        <w:t xml:space="preserve"> had a large variation in terms of GDP</w:t>
      </w:r>
      <w:r w:rsidR="00536379">
        <w:rPr>
          <w:rFonts w:ascii="Times New Roman" w:hAnsi="Times New Roman" w:cs="Times New Roman"/>
          <w:sz w:val="24"/>
          <w:szCs w:val="24"/>
        </w:rPr>
        <w:t xml:space="preserve"> (64.7% between 1995 and 2007) </w:t>
      </w:r>
      <w:r w:rsidR="00D04448">
        <w:rPr>
          <w:rFonts w:ascii="Times New Roman" w:hAnsi="Times New Roman" w:cs="Times New Roman"/>
          <w:sz w:val="24"/>
          <w:szCs w:val="24"/>
        </w:rPr>
        <w:t>and in particular</w:t>
      </w:r>
      <w:r w:rsidR="00536379">
        <w:rPr>
          <w:rFonts w:ascii="Times New Roman" w:hAnsi="Times New Roman" w:cs="Times New Roman"/>
          <w:sz w:val="24"/>
          <w:szCs w:val="24"/>
        </w:rPr>
        <w:t xml:space="preserve"> after the accession to European Union in 2004</w:t>
      </w:r>
      <w:r w:rsidR="00E577E6">
        <w:rPr>
          <w:rFonts w:ascii="Times New Roman" w:hAnsi="Times New Roman" w:cs="Times New Roman"/>
          <w:sz w:val="24"/>
          <w:szCs w:val="24"/>
        </w:rPr>
        <w:t xml:space="preserve"> (+117% between 2004 and 2007)</w:t>
      </w:r>
      <w:r w:rsidR="00536379">
        <w:rPr>
          <w:rFonts w:ascii="Times New Roman" w:hAnsi="Times New Roman" w:cs="Times New Roman"/>
          <w:sz w:val="24"/>
          <w:szCs w:val="24"/>
        </w:rPr>
        <w:t xml:space="preserve">. </w:t>
      </w:r>
      <w:r w:rsidR="00D04448">
        <w:rPr>
          <w:rFonts w:ascii="Times New Roman" w:hAnsi="Times New Roman" w:cs="Times New Roman"/>
          <w:sz w:val="24"/>
          <w:szCs w:val="24"/>
        </w:rPr>
        <w:t>T</w:t>
      </w:r>
      <w:r w:rsidR="00536379">
        <w:rPr>
          <w:rFonts w:ascii="Times New Roman" w:hAnsi="Times New Roman" w:cs="Times New Roman"/>
          <w:sz w:val="24"/>
          <w:szCs w:val="24"/>
        </w:rPr>
        <w:t xml:space="preserve">he </w:t>
      </w:r>
      <w:r w:rsidR="008147BA">
        <w:rPr>
          <w:rFonts w:ascii="Times New Roman" w:hAnsi="Times New Roman" w:cs="Times New Roman"/>
          <w:sz w:val="24"/>
          <w:szCs w:val="24"/>
        </w:rPr>
        <w:t xml:space="preserve">energy consumption </w:t>
      </w:r>
      <w:r w:rsidR="0099563E">
        <w:rPr>
          <w:rFonts w:ascii="Times New Roman" w:hAnsi="Times New Roman" w:cs="Times New Roman"/>
          <w:sz w:val="24"/>
          <w:szCs w:val="24"/>
        </w:rPr>
        <w:t>increase (+3.2%)</w:t>
      </w:r>
      <w:r w:rsidR="00D04448">
        <w:rPr>
          <w:rFonts w:ascii="Times New Roman" w:hAnsi="Times New Roman" w:cs="Times New Roman"/>
          <w:sz w:val="24"/>
          <w:szCs w:val="24"/>
        </w:rPr>
        <w:t>, however,</w:t>
      </w:r>
      <w:r w:rsidR="008147BA">
        <w:rPr>
          <w:rFonts w:ascii="Times New Roman" w:hAnsi="Times New Roman" w:cs="Times New Roman"/>
          <w:sz w:val="24"/>
          <w:szCs w:val="24"/>
        </w:rPr>
        <w:t xml:space="preserve"> have </w:t>
      </w:r>
      <w:r w:rsidR="008147BA">
        <w:rPr>
          <w:rFonts w:ascii="Times New Roman" w:hAnsi="Times New Roman" w:cs="Times New Roman"/>
          <w:sz w:val="24"/>
          <w:szCs w:val="24"/>
        </w:rPr>
        <w:lastRenderedPageBreak/>
        <w:t>been largely smaller than in the case of developing areas and the quantity of CO</w:t>
      </w:r>
      <w:r w:rsidR="008147BA" w:rsidRPr="008147BA">
        <w:rPr>
          <w:rFonts w:ascii="Times New Roman" w:hAnsi="Times New Roman" w:cs="Times New Roman"/>
          <w:sz w:val="24"/>
          <w:szCs w:val="24"/>
          <w:vertAlign w:val="subscript"/>
        </w:rPr>
        <w:t>2</w:t>
      </w:r>
      <w:r w:rsidR="008147BA">
        <w:rPr>
          <w:rFonts w:ascii="Times New Roman" w:hAnsi="Times New Roman" w:cs="Times New Roman"/>
          <w:sz w:val="24"/>
          <w:szCs w:val="24"/>
        </w:rPr>
        <w:t xml:space="preserve"> emissions </w:t>
      </w:r>
      <w:r w:rsidR="0099563E">
        <w:rPr>
          <w:rFonts w:ascii="Times New Roman" w:hAnsi="Times New Roman" w:cs="Times New Roman"/>
          <w:sz w:val="24"/>
          <w:szCs w:val="24"/>
        </w:rPr>
        <w:t>decreased (</w:t>
      </w:r>
      <w:r w:rsidR="008147BA">
        <w:rPr>
          <w:rFonts w:ascii="Times New Roman" w:hAnsi="Times New Roman" w:cs="Times New Roman"/>
          <w:sz w:val="24"/>
          <w:szCs w:val="24"/>
        </w:rPr>
        <w:t>-5.3%)</w:t>
      </w:r>
      <w:r w:rsidR="0099563E">
        <w:rPr>
          <w:rFonts w:ascii="Times New Roman" w:hAnsi="Times New Roman" w:cs="Times New Roman"/>
          <w:sz w:val="24"/>
          <w:szCs w:val="24"/>
        </w:rPr>
        <w:t xml:space="preserve"> </w:t>
      </w:r>
      <w:r w:rsidR="00536379">
        <w:rPr>
          <w:rFonts w:ascii="Times New Roman" w:hAnsi="Times New Roman" w:cs="Times New Roman"/>
          <w:sz w:val="24"/>
          <w:szCs w:val="24"/>
        </w:rPr>
        <w:t xml:space="preserve">across the period </w:t>
      </w:r>
      <w:r w:rsidR="00BD195F">
        <w:rPr>
          <w:rFonts w:ascii="Times New Roman" w:hAnsi="Times New Roman" w:cs="Times New Roman"/>
          <w:sz w:val="24"/>
          <w:szCs w:val="24"/>
        </w:rPr>
        <w:t xml:space="preserve">even if a slightly increase (+2.1%) took place between 2004 and 2007 as a consequence of </w:t>
      </w:r>
      <w:r w:rsidR="00D04448">
        <w:rPr>
          <w:rFonts w:ascii="Times New Roman" w:hAnsi="Times New Roman" w:cs="Times New Roman"/>
          <w:sz w:val="24"/>
          <w:szCs w:val="24"/>
        </w:rPr>
        <w:t>the economic</w:t>
      </w:r>
      <w:r w:rsidR="00536379">
        <w:rPr>
          <w:rFonts w:ascii="Times New Roman" w:hAnsi="Times New Roman" w:cs="Times New Roman"/>
          <w:sz w:val="24"/>
          <w:szCs w:val="24"/>
        </w:rPr>
        <w:t xml:space="preserve"> boom</w:t>
      </w:r>
      <w:r w:rsidR="009928DA">
        <w:rPr>
          <w:rFonts w:ascii="Times New Roman" w:hAnsi="Times New Roman" w:cs="Times New Roman"/>
          <w:sz w:val="24"/>
          <w:szCs w:val="24"/>
        </w:rPr>
        <w:t xml:space="preserve"> [22]</w:t>
      </w:r>
      <w:r w:rsidR="00536379">
        <w:rPr>
          <w:rFonts w:ascii="Times New Roman" w:hAnsi="Times New Roman" w:cs="Times New Roman"/>
          <w:sz w:val="24"/>
          <w:szCs w:val="24"/>
        </w:rPr>
        <w:t xml:space="preserve">. </w:t>
      </w:r>
      <w:r w:rsidR="0099563E">
        <w:rPr>
          <w:rFonts w:ascii="Times New Roman" w:hAnsi="Times New Roman" w:cs="Times New Roman"/>
          <w:sz w:val="24"/>
          <w:szCs w:val="24"/>
        </w:rPr>
        <w:t>In a simil</w:t>
      </w:r>
      <w:r w:rsidR="00536379">
        <w:rPr>
          <w:rFonts w:ascii="Times New Roman" w:hAnsi="Times New Roman" w:cs="Times New Roman"/>
          <w:sz w:val="24"/>
          <w:szCs w:val="24"/>
        </w:rPr>
        <w:t>ar way, European countries and d</w:t>
      </w:r>
      <w:r w:rsidR="0099563E">
        <w:rPr>
          <w:rFonts w:ascii="Times New Roman" w:hAnsi="Times New Roman" w:cs="Times New Roman"/>
          <w:sz w:val="24"/>
          <w:szCs w:val="24"/>
        </w:rPr>
        <w:t>eve</w:t>
      </w:r>
      <w:r w:rsidR="00FB46DD">
        <w:rPr>
          <w:rFonts w:ascii="Times New Roman" w:hAnsi="Times New Roman" w:cs="Times New Roman"/>
          <w:sz w:val="24"/>
          <w:szCs w:val="24"/>
        </w:rPr>
        <w:t>loped non-European areas</w:t>
      </w:r>
      <w:r w:rsidR="00536379">
        <w:rPr>
          <w:rFonts w:ascii="Times New Roman" w:hAnsi="Times New Roman" w:cs="Times New Roman"/>
          <w:sz w:val="24"/>
          <w:szCs w:val="24"/>
        </w:rPr>
        <w:t xml:space="preserve"> had </w:t>
      </w:r>
      <w:r w:rsidR="00D04448">
        <w:rPr>
          <w:rFonts w:ascii="Times New Roman" w:hAnsi="Times New Roman" w:cs="Times New Roman"/>
          <w:sz w:val="24"/>
          <w:szCs w:val="24"/>
        </w:rPr>
        <w:t>a positive variation</w:t>
      </w:r>
      <w:r w:rsidR="00CC2D61">
        <w:rPr>
          <w:rFonts w:ascii="Times New Roman" w:hAnsi="Times New Roman" w:cs="Times New Roman"/>
          <w:sz w:val="24"/>
          <w:szCs w:val="24"/>
        </w:rPr>
        <w:t xml:space="preserve"> of</w:t>
      </w:r>
      <w:r w:rsidR="00536379">
        <w:rPr>
          <w:rFonts w:ascii="Times New Roman" w:hAnsi="Times New Roman" w:cs="Times New Roman"/>
          <w:sz w:val="24"/>
          <w:szCs w:val="24"/>
        </w:rPr>
        <w:t xml:space="preserve"> </w:t>
      </w:r>
      <w:r w:rsidR="0099563E">
        <w:rPr>
          <w:rFonts w:ascii="Times New Roman" w:hAnsi="Times New Roman" w:cs="Times New Roman"/>
          <w:sz w:val="24"/>
          <w:szCs w:val="24"/>
        </w:rPr>
        <w:t xml:space="preserve">GDP </w:t>
      </w:r>
      <w:r w:rsidR="00CC2D61">
        <w:rPr>
          <w:rFonts w:ascii="Times New Roman" w:hAnsi="Times New Roman" w:cs="Times New Roman"/>
          <w:sz w:val="24"/>
          <w:szCs w:val="24"/>
        </w:rPr>
        <w:t xml:space="preserve">(+34% and 42.8%), </w:t>
      </w:r>
      <w:r w:rsidR="00D04448">
        <w:rPr>
          <w:rFonts w:ascii="Times New Roman" w:hAnsi="Times New Roman" w:cs="Times New Roman"/>
          <w:sz w:val="24"/>
          <w:szCs w:val="24"/>
        </w:rPr>
        <w:t>relatively</w:t>
      </w:r>
      <w:r w:rsidR="00CC2D61">
        <w:rPr>
          <w:rFonts w:ascii="Times New Roman" w:hAnsi="Times New Roman" w:cs="Times New Roman"/>
          <w:sz w:val="24"/>
          <w:szCs w:val="24"/>
        </w:rPr>
        <w:t xml:space="preserve"> small</w:t>
      </w:r>
      <w:r w:rsidR="00536379">
        <w:rPr>
          <w:rFonts w:ascii="Times New Roman" w:hAnsi="Times New Roman" w:cs="Times New Roman"/>
          <w:sz w:val="24"/>
          <w:szCs w:val="24"/>
        </w:rPr>
        <w:t xml:space="preserve"> energy consumption </w:t>
      </w:r>
      <w:r w:rsidR="00BD195F">
        <w:rPr>
          <w:rFonts w:ascii="Times New Roman" w:hAnsi="Times New Roman" w:cs="Times New Roman"/>
          <w:sz w:val="24"/>
          <w:szCs w:val="24"/>
        </w:rPr>
        <w:t xml:space="preserve">increase </w:t>
      </w:r>
      <w:r w:rsidR="0099563E">
        <w:rPr>
          <w:rFonts w:ascii="Times New Roman" w:hAnsi="Times New Roman" w:cs="Times New Roman"/>
          <w:sz w:val="24"/>
          <w:szCs w:val="24"/>
        </w:rPr>
        <w:t xml:space="preserve">(11.9% and 12.7%) and </w:t>
      </w:r>
      <w:r w:rsidR="00CC2D61">
        <w:rPr>
          <w:rFonts w:ascii="Times New Roman" w:hAnsi="Times New Roman" w:cs="Times New Roman"/>
          <w:sz w:val="24"/>
          <w:szCs w:val="24"/>
        </w:rPr>
        <w:t xml:space="preserve">low variations </w:t>
      </w:r>
      <w:r w:rsidR="009653E2">
        <w:rPr>
          <w:rFonts w:ascii="Times New Roman" w:hAnsi="Times New Roman" w:cs="Times New Roman"/>
          <w:sz w:val="24"/>
          <w:szCs w:val="24"/>
        </w:rPr>
        <w:t xml:space="preserve">in </w:t>
      </w:r>
      <w:r w:rsidR="00CC2D61">
        <w:rPr>
          <w:rFonts w:ascii="Times New Roman" w:hAnsi="Times New Roman" w:cs="Times New Roman"/>
          <w:sz w:val="24"/>
          <w:szCs w:val="24"/>
        </w:rPr>
        <w:t>CO</w:t>
      </w:r>
      <w:r w:rsidR="00CC2D61" w:rsidRPr="00CC2D61">
        <w:rPr>
          <w:rFonts w:ascii="Times New Roman" w:hAnsi="Times New Roman" w:cs="Times New Roman"/>
          <w:sz w:val="24"/>
          <w:szCs w:val="24"/>
          <w:vertAlign w:val="subscript"/>
        </w:rPr>
        <w:t>2</w:t>
      </w:r>
      <w:r w:rsidR="00CC2D61">
        <w:rPr>
          <w:rFonts w:ascii="Times New Roman" w:hAnsi="Times New Roman" w:cs="Times New Roman"/>
          <w:sz w:val="24"/>
          <w:szCs w:val="24"/>
        </w:rPr>
        <w:t xml:space="preserve"> </w:t>
      </w:r>
      <w:r w:rsidR="0099563E">
        <w:rPr>
          <w:rFonts w:ascii="Times New Roman" w:hAnsi="Times New Roman" w:cs="Times New Roman"/>
          <w:sz w:val="24"/>
          <w:szCs w:val="24"/>
        </w:rPr>
        <w:t xml:space="preserve">emissions </w:t>
      </w:r>
      <w:r w:rsidR="00B14666">
        <w:rPr>
          <w:rFonts w:ascii="Times New Roman" w:hAnsi="Times New Roman" w:cs="Times New Roman"/>
          <w:sz w:val="24"/>
          <w:szCs w:val="24"/>
        </w:rPr>
        <w:t>(+5.4% and 13.4% respectively)</w:t>
      </w:r>
      <w:r w:rsidR="0099563E">
        <w:rPr>
          <w:rFonts w:ascii="Times New Roman" w:hAnsi="Times New Roman" w:cs="Times New Roman"/>
          <w:sz w:val="24"/>
          <w:szCs w:val="24"/>
        </w:rPr>
        <w:t xml:space="preserve">. </w:t>
      </w:r>
    </w:p>
    <w:p w14:paraId="3B29AADF" w14:textId="77777777" w:rsidR="00192F25" w:rsidRDefault="00192F25" w:rsidP="005C67A8">
      <w:pPr>
        <w:spacing w:after="0" w:line="240" w:lineRule="auto"/>
        <w:jc w:val="both"/>
        <w:rPr>
          <w:rFonts w:ascii="Times New Roman" w:hAnsi="Times New Roman" w:cs="Times New Roman"/>
          <w:b/>
          <w:sz w:val="24"/>
          <w:szCs w:val="24"/>
        </w:rPr>
      </w:pPr>
      <w:r w:rsidRPr="00192F25">
        <w:rPr>
          <w:rFonts w:ascii="Times New Roman" w:hAnsi="Times New Roman" w:cs="Times New Roman"/>
          <w:b/>
          <w:sz w:val="24"/>
          <w:szCs w:val="24"/>
        </w:rPr>
        <w:t>Figure 1. % variation on GDP</w:t>
      </w:r>
    </w:p>
    <w:p w14:paraId="488CFEC2" w14:textId="77777777" w:rsidR="002F2E3F" w:rsidRDefault="0070791A" w:rsidP="005C67A8">
      <w:pPr>
        <w:spacing w:after="0" w:line="240" w:lineRule="auto"/>
        <w:jc w:val="both"/>
        <w:rPr>
          <w:rFonts w:ascii="Times New Roman" w:hAnsi="Times New Roman" w:cs="Times New Roman"/>
          <w:b/>
          <w:sz w:val="24"/>
          <w:szCs w:val="24"/>
        </w:rPr>
      </w:pPr>
      <w:r>
        <w:rPr>
          <w:noProof/>
          <w:lang w:val="it-IT" w:eastAsia="it-IT"/>
        </w:rPr>
        <w:drawing>
          <wp:inline distT="0" distB="0" distL="0" distR="0" wp14:anchorId="290942B1" wp14:editId="63503739">
            <wp:extent cx="4572000" cy="27432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41638D5" w14:textId="77777777" w:rsidR="002F2E3F" w:rsidRPr="00D04448" w:rsidRDefault="00D04448" w:rsidP="005C67A8">
      <w:pPr>
        <w:spacing w:after="0" w:line="240" w:lineRule="auto"/>
        <w:jc w:val="both"/>
        <w:rPr>
          <w:rFonts w:ascii="Times New Roman" w:hAnsi="Times New Roman" w:cs="Times New Roman"/>
          <w:sz w:val="20"/>
          <w:szCs w:val="20"/>
        </w:rPr>
      </w:pPr>
      <w:r w:rsidRPr="00D04448">
        <w:rPr>
          <w:rFonts w:ascii="Times New Roman" w:hAnsi="Times New Roman" w:cs="Times New Roman"/>
          <w:sz w:val="20"/>
          <w:szCs w:val="20"/>
        </w:rPr>
        <w:t xml:space="preserve">Source: </w:t>
      </w:r>
      <w:r w:rsidR="00A5002C">
        <w:rPr>
          <w:rFonts w:ascii="Times New Roman" w:hAnsi="Times New Roman" w:cs="Times New Roman"/>
          <w:sz w:val="20"/>
          <w:szCs w:val="20"/>
        </w:rPr>
        <w:t>[9, 21]</w:t>
      </w:r>
    </w:p>
    <w:p w14:paraId="438F33D9" w14:textId="77777777" w:rsidR="00192F25" w:rsidRPr="0019726D" w:rsidRDefault="0019726D" w:rsidP="005C67A8">
      <w:pPr>
        <w:spacing w:after="0" w:line="240" w:lineRule="auto"/>
        <w:jc w:val="both"/>
        <w:rPr>
          <w:rFonts w:ascii="Times New Roman" w:hAnsi="Times New Roman" w:cs="Times New Roman"/>
          <w:sz w:val="20"/>
          <w:szCs w:val="20"/>
        </w:rPr>
      </w:pPr>
      <w:r w:rsidRPr="0019726D">
        <w:rPr>
          <w:rFonts w:ascii="Times New Roman" w:hAnsi="Times New Roman" w:cs="Times New Roman"/>
          <w:sz w:val="20"/>
          <w:szCs w:val="20"/>
        </w:rPr>
        <w:t xml:space="preserve">Note: European Countries include: Austria, Belgium, Denmark, Finland, France, Germany, Greece, Ireland, Italy, Luxembourg, Netherland, Portugal, Spain, Sweden, </w:t>
      </w:r>
      <w:r w:rsidR="00A24628" w:rsidRPr="0019726D">
        <w:rPr>
          <w:rFonts w:ascii="Times New Roman" w:hAnsi="Times New Roman" w:cs="Times New Roman"/>
          <w:sz w:val="20"/>
          <w:szCs w:val="20"/>
        </w:rPr>
        <w:t>and UK</w:t>
      </w:r>
    </w:p>
    <w:p w14:paraId="67C4D7F5" w14:textId="77777777" w:rsidR="0019726D" w:rsidRPr="0019726D" w:rsidRDefault="0019726D" w:rsidP="005C67A8">
      <w:pPr>
        <w:spacing w:after="0" w:line="240" w:lineRule="auto"/>
        <w:jc w:val="both"/>
        <w:rPr>
          <w:rFonts w:ascii="Times New Roman" w:hAnsi="Times New Roman" w:cs="Times New Roman"/>
          <w:sz w:val="20"/>
          <w:szCs w:val="20"/>
        </w:rPr>
      </w:pPr>
      <w:r w:rsidRPr="0019726D">
        <w:rPr>
          <w:rFonts w:ascii="Times New Roman" w:hAnsi="Times New Roman" w:cs="Times New Roman"/>
          <w:sz w:val="20"/>
          <w:szCs w:val="20"/>
        </w:rPr>
        <w:t xml:space="preserve">Eastern European countries include: Czech Republic, Estonia, Hungary, Poland, Slovak Republic, </w:t>
      </w:r>
      <w:r w:rsidR="00A24628" w:rsidRPr="0019726D">
        <w:rPr>
          <w:rFonts w:ascii="Times New Roman" w:hAnsi="Times New Roman" w:cs="Times New Roman"/>
          <w:sz w:val="20"/>
          <w:szCs w:val="20"/>
        </w:rPr>
        <w:t>and Slovenia</w:t>
      </w:r>
    </w:p>
    <w:p w14:paraId="059DC0D4" w14:textId="77777777" w:rsidR="0019726D" w:rsidRPr="0019726D" w:rsidRDefault="0019726D" w:rsidP="005C67A8">
      <w:pPr>
        <w:spacing w:after="0" w:line="240" w:lineRule="auto"/>
        <w:jc w:val="both"/>
        <w:rPr>
          <w:rFonts w:ascii="Times New Roman" w:hAnsi="Times New Roman" w:cs="Times New Roman"/>
          <w:sz w:val="20"/>
          <w:szCs w:val="20"/>
        </w:rPr>
      </w:pPr>
      <w:r w:rsidRPr="0019726D">
        <w:rPr>
          <w:rFonts w:ascii="Times New Roman" w:hAnsi="Times New Roman" w:cs="Times New Roman"/>
          <w:sz w:val="20"/>
          <w:szCs w:val="20"/>
        </w:rPr>
        <w:t>Developed non-European countries include: Australia, Canada, Japan,</w:t>
      </w:r>
      <w:r w:rsidR="007251B5">
        <w:rPr>
          <w:rFonts w:ascii="Times New Roman" w:hAnsi="Times New Roman" w:cs="Times New Roman"/>
          <w:sz w:val="20"/>
          <w:szCs w:val="20"/>
        </w:rPr>
        <w:t xml:space="preserve"> South</w:t>
      </w:r>
      <w:r w:rsidRPr="0019726D">
        <w:rPr>
          <w:rFonts w:ascii="Times New Roman" w:hAnsi="Times New Roman" w:cs="Times New Roman"/>
          <w:sz w:val="20"/>
          <w:szCs w:val="20"/>
        </w:rPr>
        <w:t xml:space="preserve"> Korea, Russia, </w:t>
      </w:r>
      <w:r w:rsidR="00A24628" w:rsidRPr="0019726D">
        <w:rPr>
          <w:rFonts w:ascii="Times New Roman" w:hAnsi="Times New Roman" w:cs="Times New Roman"/>
          <w:sz w:val="20"/>
          <w:szCs w:val="20"/>
        </w:rPr>
        <w:t>and USA</w:t>
      </w:r>
    </w:p>
    <w:p w14:paraId="0FFB2AEF" w14:textId="77777777" w:rsidR="0019726D" w:rsidRDefault="0019726D" w:rsidP="005C67A8">
      <w:pPr>
        <w:spacing w:after="0" w:line="240" w:lineRule="auto"/>
        <w:jc w:val="both"/>
        <w:rPr>
          <w:rFonts w:ascii="Times New Roman" w:hAnsi="Times New Roman" w:cs="Times New Roman"/>
          <w:sz w:val="20"/>
          <w:szCs w:val="20"/>
        </w:rPr>
      </w:pPr>
      <w:r w:rsidRPr="0019726D">
        <w:rPr>
          <w:rFonts w:ascii="Times New Roman" w:hAnsi="Times New Roman" w:cs="Times New Roman"/>
          <w:sz w:val="20"/>
          <w:szCs w:val="20"/>
        </w:rPr>
        <w:t xml:space="preserve">Developing countries include: </w:t>
      </w:r>
      <w:r w:rsidR="00A24628" w:rsidRPr="0019726D">
        <w:rPr>
          <w:rFonts w:ascii="Times New Roman" w:hAnsi="Times New Roman" w:cs="Times New Roman"/>
          <w:sz w:val="20"/>
          <w:szCs w:val="20"/>
        </w:rPr>
        <w:t>China</w:t>
      </w:r>
      <w:r w:rsidRPr="0019726D">
        <w:rPr>
          <w:rFonts w:ascii="Times New Roman" w:hAnsi="Times New Roman" w:cs="Times New Roman"/>
          <w:sz w:val="20"/>
          <w:szCs w:val="20"/>
        </w:rPr>
        <w:t xml:space="preserve">, Indonesia, Mexico, </w:t>
      </w:r>
      <w:r w:rsidR="00A24628" w:rsidRPr="0019726D">
        <w:rPr>
          <w:rFonts w:ascii="Times New Roman" w:hAnsi="Times New Roman" w:cs="Times New Roman"/>
          <w:sz w:val="20"/>
          <w:szCs w:val="20"/>
        </w:rPr>
        <w:t>and Turkey</w:t>
      </w:r>
    </w:p>
    <w:p w14:paraId="7F020F97" w14:textId="77777777" w:rsidR="00CE1271" w:rsidRDefault="00CE1271" w:rsidP="005C67A8">
      <w:pPr>
        <w:spacing w:after="0" w:line="240" w:lineRule="auto"/>
        <w:jc w:val="both"/>
        <w:rPr>
          <w:rFonts w:ascii="Times New Roman" w:hAnsi="Times New Roman" w:cs="Times New Roman"/>
          <w:b/>
          <w:sz w:val="24"/>
          <w:szCs w:val="24"/>
        </w:rPr>
      </w:pPr>
    </w:p>
    <w:p w14:paraId="2F2FD9DA" w14:textId="77777777" w:rsidR="00192F25" w:rsidRDefault="00192F25" w:rsidP="005C67A8">
      <w:pPr>
        <w:spacing w:after="0" w:line="240" w:lineRule="auto"/>
        <w:jc w:val="both"/>
        <w:rPr>
          <w:rFonts w:ascii="Times New Roman" w:hAnsi="Times New Roman" w:cs="Times New Roman"/>
          <w:b/>
          <w:sz w:val="24"/>
          <w:szCs w:val="24"/>
        </w:rPr>
      </w:pPr>
      <w:r w:rsidRPr="00192F25">
        <w:rPr>
          <w:rFonts w:ascii="Times New Roman" w:hAnsi="Times New Roman" w:cs="Times New Roman"/>
          <w:b/>
          <w:sz w:val="24"/>
          <w:szCs w:val="24"/>
        </w:rPr>
        <w:t>Figure 2. % variation on CO</w:t>
      </w:r>
      <w:r w:rsidRPr="00192F25">
        <w:rPr>
          <w:rFonts w:ascii="Times New Roman" w:hAnsi="Times New Roman" w:cs="Times New Roman"/>
          <w:b/>
          <w:sz w:val="24"/>
          <w:szCs w:val="24"/>
          <w:vertAlign w:val="subscript"/>
        </w:rPr>
        <w:t>2</w:t>
      </w:r>
      <w:r w:rsidRPr="00192F25">
        <w:rPr>
          <w:rFonts w:ascii="Times New Roman" w:hAnsi="Times New Roman" w:cs="Times New Roman"/>
          <w:b/>
          <w:sz w:val="24"/>
          <w:szCs w:val="24"/>
        </w:rPr>
        <w:t xml:space="preserve"> emissions</w:t>
      </w:r>
    </w:p>
    <w:p w14:paraId="59C55B75" w14:textId="77777777" w:rsidR="0070791A" w:rsidRDefault="0070791A" w:rsidP="005C67A8">
      <w:pPr>
        <w:spacing w:after="0" w:line="240" w:lineRule="auto"/>
        <w:jc w:val="both"/>
        <w:rPr>
          <w:rFonts w:ascii="Times New Roman" w:hAnsi="Times New Roman" w:cs="Times New Roman"/>
          <w:b/>
          <w:sz w:val="24"/>
          <w:szCs w:val="24"/>
        </w:rPr>
      </w:pPr>
    </w:p>
    <w:p w14:paraId="03527A7D" w14:textId="77777777" w:rsidR="00192F25" w:rsidRDefault="0070791A" w:rsidP="005C67A8">
      <w:pPr>
        <w:spacing w:after="0" w:line="240" w:lineRule="auto"/>
        <w:jc w:val="both"/>
        <w:rPr>
          <w:rFonts w:ascii="Times New Roman" w:hAnsi="Times New Roman" w:cs="Times New Roman"/>
          <w:b/>
          <w:sz w:val="24"/>
          <w:szCs w:val="24"/>
        </w:rPr>
      </w:pPr>
      <w:r>
        <w:rPr>
          <w:noProof/>
          <w:lang w:val="it-IT" w:eastAsia="it-IT"/>
        </w:rPr>
        <w:drawing>
          <wp:inline distT="0" distB="0" distL="0" distR="0" wp14:anchorId="17636505" wp14:editId="5B272617">
            <wp:extent cx="4572000" cy="27432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E31BEDE" w14:textId="77777777" w:rsidR="00D04448" w:rsidRPr="00D04448" w:rsidRDefault="00A5002C" w:rsidP="005C67A8">
      <w:pPr>
        <w:spacing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Source: [9, 21]</w:t>
      </w:r>
    </w:p>
    <w:p w14:paraId="2573F9A2" w14:textId="77777777" w:rsidR="00D04448" w:rsidRDefault="00D04448" w:rsidP="005C67A8">
      <w:pPr>
        <w:spacing w:after="0" w:line="240" w:lineRule="auto"/>
        <w:jc w:val="both"/>
        <w:rPr>
          <w:rFonts w:ascii="Times New Roman" w:hAnsi="Times New Roman" w:cs="Times New Roman"/>
          <w:b/>
          <w:sz w:val="24"/>
          <w:szCs w:val="24"/>
        </w:rPr>
      </w:pPr>
    </w:p>
    <w:p w14:paraId="6D3C820F" w14:textId="77777777" w:rsidR="00192F25" w:rsidRDefault="00192F25" w:rsidP="005C67A8">
      <w:pPr>
        <w:spacing w:after="0" w:line="240" w:lineRule="auto"/>
        <w:jc w:val="both"/>
        <w:rPr>
          <w:rFonts w:ascii="Times New Roman" w:hAnsi="Times New Roman" w:cs="Times New Roman"/>
          <w:b/>
          <w:sz w:val="24"/>
          <w:szCs w:val="24"/>
        </w:rPr>
      </w:pPr>
      <w:r w:rsidRPr="00192F25">
        <w:rPr>
          <w:rFonts w:ascii="Times New Roman" w:hAnsi="Times New Roman" w:cs="Times New Roman"/>
          <w:b/>
          <w:sz w:val="24"/>
          <w:szCs w:val="24"/>
        </w:rPr>
        <w:t>Figure 3. % variations on energy consumption</w:t>
      </w:r>
    </w:p>
    <w:p w14:paraId="45565ADB" w14:textId="77777777" w:rsidR="0070791A" w:rsidRPr="00192F25" w:rsidRDefault="0070791A" w:rsidP="005C67A8">
      <w:pPr>
        <w:spacing w:after="0" w:line="240" w:lineRule="auto"/>
        <w:jc w:val="both"/>
        <w:rPr>
          <w:rFonts w:ascii="Times New Roman" w:hAnsi="Times New Roman" w:cs="Times New Roman"/>
          <w:b/>
          <w:sz w:val="24"/>
          <w:szCs w:val="24"/>
        </w:rPr>
      </w:pPr>
    </w:p>
    <w:p w14:paraId="1CE8627F" w14:textId="77777777" w:rsidR="00D04448" w:rsidRDefault="0070791A" w:rsidP="005C67A8">
      <w:pPr>
        <w:spacing w:line="240" w:lineRule="auto"/>
        <w:jc w:val="both"/>
        <w:rPr>
          <w:rFonts w:ascii="Times New Roman" w:hAnsi="Times New Roman" w:cs="Times New Roman"/>
          <w:sz w:val="24"/>
          <w:szCs w:val="24"/>
        </w:rPr>
      </w:pPr>
      <w:r>
        <w:rPr>
          <w:noProof/>
          <w:lang w:val="it-IT" w:eastAsia="it-IT"/>
        </w:rPr>
        <w:drawing>
          <wp:inline distT="0" distB="0" distL="0" distR="0" wp14:anchorId="07ED1FD1" wp14:editId="2EEA5823">
            <wp:extent cx="4572000" cy="27432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A175AEF" w14:textId="77777777" w:rsidR="00104CB6" w:rsidRDefault="00D04448" w:rsidP="005C67A8">
      <w:pPr>
        <w:spacing w:line="240" w:lineRule="auto"/>
        <w:jc w:val="both"/>
        <w:rPr>
          <w:rFonts w:ascii="Times New Roman" w:hAnsi="Times New Roman" w:cs="Times New Roman"/>
          <w:sz w:val="24"/>
          <w:szCs w:val="24"/>
        </w:rPr>
      </w:pPr>
      <w:r w:rsidRPr="00D04448">
        <w:rPr>
          <w:rFonts w:ascii="Times New Roman" w:hAnsi="Times New Roman" w:cs="Times New Roman"/>
          <w:sz w:val="20"/>
          <w:szCs w:val="20"/>
        </w:rPr>
        <w:t xml:space="preserve">Source: </w:t>
      </w:r>
      <w:r w:rsidR="00A5002C">
        <w:rPr>
          <w:rFonts w:ascii="Times New Roman" w:hAnsi="Times New Roman" w:cs="Times New Roman"/>
          <w:sz w:val="20"/>
          <w:szCs w:val="20"/>
        </w:rPr>
        <w:t>[9, 21]</w:t>
      </w:r>
    </w:p>
    <w:p w14:paraId="7F6D66E9" w14:textId="77777777" w:rsidR="005C67A8" w:rsidRDefault="005C67A8" w:rsidP="00104CB6">
      <w:pPr>
        <w:spacing w:line="360" w:lineRule="auto"/>
        <w:jc w:val="both"/>
        <w:rPr>
          <w:rFonts w:ascii="Times New Roman" w:hAnsi="Times New Roman" w:cs="Times New Roman"/>
          <w:sz w:val="24"/>
          <w:szCs w:val="24"/>
        </w:rPr>
      </w:pPr>
    </w:p>
    <w:p w14:paraId="0D085087" w14:textId="0D042EF7" w:rsidR="009653E2" w:rsidRDefault="00D04448" w:rsidP="00104CB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general terms, a decreasing trend in the energy and in the carbon dioxide emission intensity took place across the period. </w:t>
      </w:r>
      <w:r w:rsidR="00B14666">
        <w:rPr>
          <w:rFonts w:ascii="Times New Roman" w:hAnsi="Times New Roman" w:cs="Times New Roman"/>
          <w:sz w:val="24"/>
          <w:szCs w:val="24"/>
        </w:rPr>
        <w:t>According to da</w:t>
      </w:r>
      <w:r w:rsidR="00361C07">
        <w:rPr>
          <w:rFonts w:ascii="Times New Roman" w:hAnsi="Times New Roman" w:cs="Times New Roman"/>
          <w:sz w:val="24"/>
          <w:szCs w:val="24"/>
        </w:rPr>
        <w:t>ta reported in Tables 1 and 2</w:t>
      </w:r>
      <w:r w:rsidR="000B163B">
        <w:rPr>
          <w:rFonts w:ascii="Times New Roman" w:hAnsi="Times New Roman" w:cs="Times New Roman"/>
          <w:sz w:val="24"/>
          <w:szCs w:val="24"/>
        </w:rPr>
        <w:t xml:space="preserve"> all the areas considered in this paper reduced the quantity of energy used and the quantity of CO</w:t>
      </w:r>
      <w:r w:rsidR="000B163B" w:rsidRPr="000B163B">
        <w:rPr>
          <w:rFonts w:ascii="Times New Roman" w:hAnsi="Times New Roman" w:cs="Times New Roman"/>
          <w:sz w:val="24"/>
          <w:szCs w:val="24"/>
          <w:vertAlign w:val="subscript"/>
        </w:rPr>
        <w:t>2</w:t>
      </w:r>
      <w:r w:rsidR="00B14666">
        <w:rPr>
          <w:rFonts w:ascii="Times New Roman" w:hAnsi="Times New Roman" w:cs="Times New Roman"/>
          <w:sz w:val="24"/>
          <w:szCs w:val="24"/>
        </w:rPr>
        <w:t xml:space="preserve"> </w:t>
      </w:r>
      <w:r w:rsidR="000B163B">
        <w:rPr>
          <w:rFonts w:ascii="Times New Roman" w:hAnsi="Times New Roman" w:cs="Times New Roman"/>
          <w:sz w:val="24"/>
          <w:szCs w:val="24"/>
        </w:rPr>
        <w:t>emissions generated per unit of GDP. T</w:t>
      </w:r>
      <w:r w:rsidR="00104CB6">
        <w:rPr>
          <w:rFonts w:ascii="Times New Roman" w:hAnsi="Times New Roman" w:cs="Times New Roman"/>
          <w:sz w:val="24"/>
          <w:szCs w:val="24"/>
        </w:rPr>
        <w:t xml:space="preserve">he largest </w:t>
      </w:r>
      <w:r w:rsidR="00DB569A">
        <w:rPr>
          <w:rFonts w:ascii="Times New Roman" w:hAnsi="Times New Roman" w:cs="Times New Roman"/>
          <w:sz w:val="24"/>
          <w:szCs w:val="24"/>
        </w:rPr>
        <w:t xml:space="preserve">percentage </w:t>
      </w:r>
      <w:r w:rsidR="00104CB6">
        <w:rPr>
          <w:rFonts w:ascii="Times New Roman" w:hAnsi="Times New Roman" w:cs="Times New Roman"/>
          <w:sz w:val="24"/>
          <w:szCs w:val="24"/>
        </w:rPr>
        <w:t xml:space="preserve">variations </w:t>
      </w:r>
      <w:r w:rsidR="00B14666">
        <w:rPr>
          <w:rFonts w:ascii="Times New Roman" w:hAnsi="Times New Roman" w:cs="Times New Roman"/>
          <w:sz w:val="24"/>
          <w:szCs w:val="24"/>
        </w:rPr>
        <w:t xml:space="preserve">took place </w:t>
      </w:r>
      <w:r w:rsidR="00104CB6">
        <w:rPr>
          <w:rFonts w:ascii="Times New Roman" w:hAnsi="Times New Roman" w:cs="Times New Roman"/>
          <w:sz w:val="24"/>
          <w:szCs w:val="24"/>
        </w:rPr>
        <w:t xml:space="preserve">in </w:t>
      </w:r>
      <w:r w:rsidR="008E51B0">
        <w:rPr>
          <w:rFonts w:ascii="Times New Roman" w:hAnsi="Times New Roman" w:cs="Times New Roman"/>
          <w:sz w:val="24"/>
          <w:szCs w:val="24"/>
        </w:rPr>
        <w:t xml:space="preserve">the </w:t>
      </w:r>
      <w:r w:rsidR="00860D51">
        <w:rPr>
          <w:rFonts w:ascii="Times New Roman" w:hAnsi="Times New Roman" w:cs="Times New Roman"/>
          <w:sz w:val="24"/>
          <w:szCs w:val="24"/>
        </w:rPr>
        <w:t>Eastern European countries</w:t>
      </w:r>
      <w:r w:rsidR="008E51B0">
        <w:rPr>
          <w:rFonts w:ascii="Times New Roman" w:hAnsi="Times New Roman" w:cs="Times New Roman"/>
          <w:sz w:val="24"/>
          <w:szCs w:val="24"/>
        </w:rPr>
        <w:t xml:space="preserve"> that </w:t>
      </w:r>
      <w:r w:rsidR="00CC2D61">
        <w:rPr>
          <w:rFonts w:ascii="Times New Roman" w:hAnsi="Times New Roman" w:cs="Times New Roman"/>
          <w:sz w:val="24"/>
          <w:szCs w:val="24"/>
        </w:rPr>
        <w:t xml:space="preserve">after joining the EU </w:t>
      </w:r>
      <w:r w:rsidR="008E51B0">
        <w:rPr>
          <w:rFonts w:ascii="Times New Roman" w:hAnsi="Times New Roman" w:cs="Times New Roman"/>
          <w:sz w:val="24"/>
          <w:szCs w:val="24"/>
        </w:rPr>
        <w:t>benefitted from energy reforms,</w:t>
      </w:r>
      <w:r w:rsidR="000B163B">
        <w:rPr>
          <w:rFonts w:ascii="Times New Roman" w:hAnsi="Times New Roman" w:cs="Times New Roman"/>
          <w:sz w:val="24"/>
          <w:szCs w:val="24"/>
        </w:rPr>
        <w:t xml:space="preserve"> </w:t>
      </w:r>
      <w:r w:rsidR="008E51B0">
        <w:rPr>
          <w:rFonts w:ascii="Times New Roman" w:hAnsi="Times New Roman" w:cs="Times New Roman"/>
          <w:sz w:val="24"/>
          <w:szCs w:val="24"/>
        </w:rPr>
        <w:t xml:space="preserve">renewable energy projects and transfer of energy and carbon efficient technologies from western European areas </w:t>
      </w:r>
      <w:r w:rsidR="00CE1271">
        <w:rPr>
          <w:rFonts w:ascii="Times New Roman" w:hAnsi="Times New Roman" w:cs="Times New Roman"/>
          <w:sz w:val="24"/>
          <w:szCs w:val="24"/>
        </w:rPr>
        <w:t>[23-</w:t>
      </w:r>
      <w:r w:rsidR="00203D23">
        <w:rPr>
          <w:rFonts w:ascii="Times New Roman" w:hAnsi="Times New Roman" w:cs="Times New Roman"/>
          <w:sz w:val="24"/>
          <w:szCs w:val="24"/>
        </w:rPr>
        <w:t>25]</w:t>
      </w:r>
      <w:r w:rsidR="00C61134">
        <w:rPr>
          <w:rFonts w:ascii="Times New Roman" w:hAnsi="Times New Roman" w:cs="Times New Roman"/>
          <w:sz w:val="24"/>
          <w:szCs w:val="24"/>
        </w:rPr>
        <w:t xml:space="preserve">. </w:t>
      </w:r>
      <w:r w:rsidR="00860D51">
        <w:rPr>
          <w:rFonts w:ascii="Times New Roman" w:hAnsi="Times New Roman" w:cs="Times New Roman"/>
          <w:sz w:val="24"/>
          <w:szCs w:val="24"/>
        </w:rPr>
        <w:t xml:space="preserve">In spite of </w:t>
      </w:r>
      <w:r w:rsidR="009653E2">
        <w:rPr>
          <w:rFonts w:ascii="Times New Roman" w:hAnsi="Times New Roman" w:cs="Times New Roman"/>
          <w:sz w:val="24"/>
          <w:szCs w:val="24"/>
        </w:rPr>
        <w:t>these improvements</w:t>
      </w:r>
      <w:r w:rsidR="00EF6F25">
        <w:rPr>
          <w:rFonts w:ascii="Times New Roman" w:hAnsi="Times New Roman" w:cs="Times New Roman"/>
          <w:sz w:val="24"/>
          <w:szCs w:val="24"/>
        </w:rPr>
        <w:t>, however the</w:t>
      </w:r>
      <w:r w:rsidR="000B163B">
        <w:rPr>
          <w:rFonts w:ascii="Times New Roman" w:hAnsi="Times New Roman" w:cs="Times New Roman"/>
          <w:sz w:val="24"/>
          <w:szCs w:val="24"/>
        </w:rPr>
        <w:t>ir</w:t>
      </w:r>
      <w:r w:rsidR="00EF6F25">
        <w:rPr>
          <w:rFonts w:ascii="Times New Roman" w:hAnsi="Times New Roman" w:cs="Times New Roman"/>
          <w:sz w:val="24"/>
          <w:szCs w:val="24"/>
        </w:rPr>
        <w:t xml:space="preserve"> carbon and </w:t>
      </w:r>
      <w:r w:rsidR="0042125F">
        <w:rPr>
          <w:rFonts w:ascii="Times New Roman" w:hAnsi="Times New Roman" w:cs="Times New Roman"/>
          <w:sz w:val="24"/>
          <w:szCs w:val="24"/>
        </w:rPr>
        <w:t xml:space="preserve">the </w:t>
      </w:r>
      <w:r w:rsidR="00EF6F25">
        <w:rPr>
          <w:rFonts w:ascii="Times New Roman" w:hAnsi="Times New Roman" w:cs="Times New Roman"/>
          <w:sz w:val="24"/>
          <w:szCs w:val="24"/>
        </w:rPr>
        <w:t>energy efficiency still remain largely lower than in</w:t>
      </w:r>
      <w:r w:rsidR="003C2A8D">
        <w:rPr>
          <w:rFonts w:ascii="Times New Roman" w:hAnsi="Times New Roman" w:cs="Times New Roman"/>
          <w:sz w:val="24"/>
          <w:szCs w:val="24"/>
        </w:rPr>
        <w:t xml:space="preserve"> the Western European countries where since the 1990s a large set of energy and carbon policies have been implemented in response to climate change concerns </w:t>
      </w:r>
      <w:r w:rsidR="00203D23">
        <w:rPr>
          <w:rFonts w:ascii="Times New Roman" w:hAnsi="Times New Roman" w:cs="Times New Roman"/>
          <w:sz w:val="24"/>
          <w:szCs w:val="24"/>
        </w:rPr>
        <w:t>[26]</w:t>
      </w:r>
      <w:r w:rsidR="003C2A8D">
        <w:rPr>
          <w:rFonts w:ascii="Times New Roman" w:hAnsi="Times New Roman" w:cs="Times New Roman"/>
          <w:sz w:val="24"/>
          <w:szCs w:val="24"/>
        </w:rPr>
        <w:t xml:space="preserve">.  </w:t>
      </w:r>
      <w:r w:rsidR="0042125F">
        <w:rPr>
          <w:rFonts w:ascii="Times New Roman" w:hAnsi="Times New Roman" w:cs="Times New Roman"/>
          <w:sz w:val="24"/>
          <w:szCs w:val="24"/>
        </w:rPr>
        <w:t xml:space="preserve">In terms of </w:t>
      </w:r>
      <w:r w:rsidR="00DB569A">
        <w:rPr>
          <w:rFonts w:ascii="Times New Roman" w:hAnsi="Times New Roman" w:cs="Times New Roman"/>
          <w:sz w:val="24"/>
          <w:szCs w:val="24"/>
        </w:rPr>
        <w:t xml:space="preserve">Developed non-European </w:t>
      </w:r>
      <w:r w:rsidR="0042125F">
        <w:rPr>
          <w:rFonts w:ascii="Times New Roman" w:hAnsi="Times New Roman" w:cs="Times New Roman"/>
          <w:sz w:val="24"/>
          <w:szCs w:val="24"/>
        </w:rPr>
        <w:t xml:space="preserve">areas </w:t>
      </w:r>
      <w:r w:rsidR="00DB569A">
        <w:rPr>
          <w:rFonts w:ascii="Times New Roman" w:hAnsi="Times New Roman" w:cs="Times New Roman"/>
          <w:sz w:val="24"/>
          <w:szCs w:val="24"/>
        </w:rPr>
        <w:t xml:space="preserve">and Developing countries </w:t>
      </w:r>
      <w:r w:rsidR="00361C07">
        <w:rPr>
          <w:rFonts w:ascii="Times New Roman" w:hAnsi="Times New Roman" w:cs="Times New Roman"/>
          <w:sz w:val="24"/>
          <w:szCs w:val="24"/>
        </w:rPr>
        <w:t>both areas performed energy and emissions intensity improvements</w:t>
      </w:r>
      <w:r w:rsidR="0042125F">
        <w:rPr>
          <w:rFonts w:ascii="Times New Roman" w:hAnsi="Times New Roman" w:cs="Times New Roman"/>
          <w:sz w:val="24"/>
          <w:szCs w:val="24"/>
        </w:rPr>
        <w:t xml:space="preserve"> between 1995 and 2007</w:t>
      </w:r>
      <w:r w:rsidR="00DB569A">
        <w:rPr>
          <w:rFonts w:ascii="Times New Roman" w:hAnsi="Times New Roman" w:cs="Times New Roman"/>
          <w:sz w:val="24"/>
          <w:szCs w:val="24"/>
        </w:rPr>
        <w:t xml:space="preserve">. </w:t>
      </w:r>
    </w:p>
    <w:p w14:paraId="13060C62" w14:textId="77777777" w:rsidR="00104CB6" w:rsidRPr="00104CB6" w:rsidRDefault="00104CB6" w:rsidP="00104CB6">
      <w:pPr>
        <w:spacing w:after="0" w:line="360" w:lineRule="auto"/>
        <w:jc w:val="both"/>
        <w:rPr>
          <w:rFonts w:ascii="Times New Roman" w:hAnsi="Times New Roman" w:cs="Times New Roman"/>
          <w:b/>
          <w:sz w:val="24"/>
          <w:szCs w:val="24"/>
        </w:rPr>
      </w:pPr>
      <w:r w:rsidRPr="00104CB6">
        <w:rPr>
          <w:rFonts w:ascii="Times New Roman" w:hAnsi="Times New Roman" w:cs="Times New Roman"/>
          <w:b/>
          <w:sz w:val="24"/>
          <w:szCs w:val="24"/>
        </w:rPr>
        <w:t>Table 1. CO</w:t>
      </w:r>
      <w:r w:rsidRPr="00104CB6">
        <w:rPr>
          <w:rFonts w:ascii="Times New Roman" w:hAnsi="Times New Roman" w:cs="Times New Roman"/>
          <w:b/>
          <w:sz w:val="24"/>
          <w:szCs w:val="24"/>
          <w:vertAlign w:val="subscript"/>
        </w:rPr>
        <w:t>2</w:t>
      </w:r>
      <w:r w:rsidRPr="00104CB6">
        <w:rPr>
          <w:rFonts w:ascii="Times New Roman" w:hAnsi="Times New Roman" w:cs="Times New Roman"/>
          <w:b/>
          <w:sz w:val="24"/>
          <w:szCs w:val="24"/>
        </w:rPr>
        <w:t xml:space="preserve"> emission intensity (CO</w:t>
      </w:r>
      <w:r w:rsidRPr="00104CB6">
        <w:rPr>
          <w:rFonts w:ascii="Times New Roman" w:hAnsi="Times New Roman" w:cs="Times New Roman"/>
          <w:b/>
          <w:sz w:val="24"/>
          <w:szCs w:val="24"/>
          <w:vertAlign w:val="subscript"/>
        </w:rPr>
        <w:t xml:space="preserve">2 </w:t>
      </w:r>
      <w:r w:rsidRPr="00104CB6">
        <w:rPr>
          <w:rFonts w:ascii="Times New Roman" w:hAnsi="Times New Roman" w:cs="Times New Roman"/>
          <w:b/>
          <w:sz w:val="24"/>
          <w:szCs w:val="24"/>
        </w:rPr>
        <w:t>emissions/GDP)</w:t>
      </w:r>
      <w:r w:rsidR="006D4B8C">
        <w:rPr>
          <w:rFonts w:ascii="Times New Roman" w:hAnsi="Times New Roman" w:cs="Times New Roman"/>
          <w:b/>
          <w:sz w:val="24"/>
          <w:szCs w:val="24"/>
        </w:rPr>
        <w:t xml:space="preserve"> (Kilotons/Millions US$)</w:t>
      </w:r>
    </w:p>
    <w:tbl>
      <w:tblPr>
        <w:tblW w:w="8892" w:type="dxa"/>
        <w:tblInd w:w="70" w:type="dxa"/>
        <w:tblCellMar>
          <w:left w:w="70" w:type="dxa"/>
          <w:right w:w="70" w:type="dxa"/>
        </w:tblCellMar>
        <w:tblLook w:val="04A0" w:firstRow="1" w:lastRow="0" w:firstColumn="1" w:lastColumn="0" w:noHBand="0" w:noVBand="1"/>
      </w:tblPr>
      <w:tblGrid>
        <w:gridCol w:w="3568"/>
        <w:gridCol w:w="976"/>
        <w:gridCol w:w="976"/>
        <w:gridCol w:w="976"/>
        <w:gridCol w:w="976"/>
        <w:gridCol w:w="1420"/>
      </w:tblGrid>
      <w:tr w:rsidR="00104CB6" w:rsidRPr="00DB569A" w14:paraId="10CD103E" w14:textId="77777777" w:rsidTr="00104CB6">
        <w:trPr>
          <w:trHeight w:val="300"/>
        </w:trPr>
        <w:tc>
          <w:tcPr>
            <w:tcW w:w="3568" w:type="dxa"/>
            <w:tcBorders>
              <w:top w:val="nil"/>
              <w:left w:val="nil"/>
              <w:bottom w:val="single" w:sz="4" w:space="0" w:color="auto"/>
              <w:right w:val="nil"/>
            </w:tcBorders>
            <w:shd w:val="clear" w:color="auto" w:fill="auto"/>
            <w:noWrap/>
            <w:vAlign w:val="bottom"/>
            <w:hideMark/>
          </w:tcPr>
          <w:p w14:paraId="6A15CE10" w14:textId="77777777" w:rsidR="00104CB6" w:rsidRPr="00104CB6" w:rsidRDefault="00104CB6" w:rsidP="00104CB6">
            <w:pPr>
              <w:spacing w:after="0" w:line="240" w:lineRule="auto"/>
              <w:rPr>
                <w:rFonts w:ascii="Times New Roman" w:eastAsia="Times New Roman" w:hAnsi="Times New Roman" w:cs="Times New Roman"/>
                <w:color w:val="000000"/>
                <w:lang w:val="en-US" w:eastAsia="it-IT"/>
              </w:rPr>
            </w:pPr>
          </w:p>
        </w:tc>
        <w:tc>
          <w:tcPr>
            <w:tcW w:w="976" w:type="dxa"/>
            <w:tcBorders>
              <w:top w:val="nil"/>
              <w:left w:val="nil"/>
              <w:bottom w:val="single" w:sz="4" w:space="0" w:color="auto"/>
              <w:right w:val="nil"/>
            </w:tcBorders>
            <w:shd w:val="clear" w:color="auto" w:fill="auto"/>
            <w:noWrap/>
            <w:vAlign w:val="bottom"/>
            <w:hideMark/>
          </w:tcPr>
          <w:p w14:paraId="618F1A12" w14:textId="77777777" w:rsidR="00104CB6" w:rsidRPr="00104CB6" w:rsidRDefault="00104CB6" w:rsidP="00104CB6">
            <w:pPr>
              <w:spacing w:after="0" w:line="240" w:lineRule="auto"/>
              <w:jc w:val="right"/>
              <w:rPr>
                <w:rFonts w:ascii="Times New Roman" w:eastAsia="Times New Roman" w:hAnsi="Times New Roman" w:cs="Times New Roman"/>
                <w:b/>
                <w:bCs/>
                <w:color w:val="000000"/>
                <w:lang w:val="en-US" w:eastAsia="it-IT"/>
              </w:rPr>
            </w:pPr>
            <w:r w:rsidRPr="00104CB6">
              <w:rPr>
                <w:rFonts w:ascii="Times New Roman" w:eastAsia="Times New Roman" w:hAnsi="Times New Roman" w:cs="Times New Roman"/>
                <w:b/>
                <w:bCs/>
                <w:color w:val="000000"/>
                <w:lang w:val="en-US" w:eastAsia="it-IT"/>
              </w:rPr>
              <w:t>1995</w:t>
            </w:r>
          </w:p>
        </w:tc>
        <w:tc>
          <w:tcPr>
            <w:tcW w:w="976" w:type="dxa"/>
            <w:tcBorders>
              <w:top w:val="nil"/>
              <w:left w:val="nil"/>
              <w:bottom w:val="single" w:sz="4" w:space="0" w:color="auto"/>
              <w:right w:val="nil"/>
            </w:tcBorders>
            <w:shd w:val="clear" w:color="auto" w:fill="auto"/>
            <w:noWrap/>
            <w:vAlign w:val="bottom"/>
            <w:hideMark/>
          </w:tcPr>
          <w:p w14:paraId="49E811B6" w14:textId="77777777" w:rsidR="00104CB6" w:rsidRPr="00104CB6" w:rsidRDefault="00104CB6" w:rsidP="00104CB6">
            <w:pPr>
              <w:spacing w:after="0" w:line="240" w:lineRule="auto"/>
              <w:jc w:val="right"/>
              <w:rPr>
                <w:rFonts w:ascii="Times New Roman" w:eastAsia="Times New Roman" w:hAnsi="Times New Roman" w:cs="Times New Roman"/>
                <w:b/>
                <w:bCs/>
                <w:color w:val="000000"/>
                <w:lang w:val="en-US" w:eastAsia="it-IT"/>
              </w:rPr>
            </w:pPr>
            <w:r w:rsidRPr="00104CB6">
              <w:rPr>
                <w:rFonts w:ascii="Times New Roman" w:eastAsia="Times New Roman" w:hAnsi="Times New Roman" w:cs="Times New Roman"/>
                <w:b/>
                <w:bCs/>
                <w:color w:val="000000"/>
                <w:lang w:val="en-US" w:eastAsia="it-IT"/>
              </w:rPr>
              <w:t>1999</w:t>
            </w:r>
          </w:p>
        </w:tc>
        <w:tc>
          <w:tcPr>
            <w:tcW w:w="976" w:type="dxa"/>
            <w:tcBorders>
              <w:top w:val="nil"/>
              <w:left w:val="nil"/>
              <w:bottom w:val="single" w:sz="4" w:space="0" w:color="auto"/>
              <w:right w:val="nil"/>
            </w:tcBorders>
            <w:shd w:val="clear" w:color="auto" w:fill="auto"/>
            <w:noWrap/>
            <w:vAlign w:val="bottom"/>
            <w:hideMark/>
          </w:tcPr>
          <w:p w14:paraId="66FC3F8B" w14:textId="77777777" w:rsidR="00104CB6" w:rsidRPr="00104CB6" w:rsidRDefault="00104CB6" w:rsidP="00104CB6">
            <w:pPr>
              <w:spacing w:after="0" w:line="240" w:lineRule="auto"/>
              <w:jc w:val="right"/>
              <w:rPr>
                <w:rFonts w:ascii="Times New Roman" w:eastAsia="Times New Roman" w:hAnsi="Times New Roman" w:cs="Times New Roman"/>
                <w:b/>
                <w:bCs/>
                <w:color w:val="000000"/>
                <w:lang w:val="en-US" w:eastAsia="it-IT"/>
              </w:rPr>
            </w:pPr>
            <w:r w:rsidRPr="00104CB6">
              <w:rPr>
                <w:rFonts w:ascii="Times New Roman" w:eastAsia="Times New Roman" w:hAnsi="Times New Roman" w:cs="Times New Roman"/>
                <w:b/>
                <w:bCs/>
                <w:color w:val="000000"/>
                <w:lang w:val="en-US" w:eastAsia="it-IT"/>
              </w:rPr>
              <w:t>2003</w:t>
            </w:r>
          </w:p>
        </w:tc>
        <w:tc>
          <w:tcPr>
            <w:tcW w:w="976" w:type="dxa"/>
            <w:tcBorders>
              <w:top w:val="nil"/>
              <w:left w:val="nil"/>
              <w:bottom w:val="single" w:sz="4" w:space="0" w:color="auto"/>
              <w:right w:val="nil"/>
            </w:tcBorders>
            <w:shd w:val="clear" w:color="auto" w:fill="auto"/>
            <w:noWrap/>
            <w:vAlign w:val="bottom"/>
            <w:hideMark/>
          </w:tcPr>
          <w:p w14:paraId="761E9BD2" w14:textId="77777777" w:rsidR="00104CB6" w:rsidRPr="00104CB6" w:rsidRDefault="00104CB6" w:rsidP="00104CB6">
            <w:pPr>
              <w:spacing w:after="0" w:line="240" w:lineRule="auto"/>
              <w:jc w:val="right"/>
              <w:rPr>
                <w:rFonts w:ascii="Times New Roman" w:eastAsia="Times New Roman" w:hAnsi="Times New Roman" w:cs="Times New Roman"/>
                <w:b/>
                <w:bCs/>
                <w:color w:val="000000"/>
                <w:lang w:val="en-US" w:eastAsia="it-IT"/>
              </w:rPr>
            </w:pPr>
            <w:r w:rsidRPr="00104CB6">
              <w:rPr>
                <w:rFonts w:ascii="Times New Roman" w:eastAsia="Times New Roman" w:hAnsi="Times New Roman" w:cs="Times New Roman"/>
                <w:b/>
                <w:bCs/>
                <w:color w:val="000000"/>
                <w:lang w:val="en-US" w:eastAsia="it-IT"/>
              </w:rPr>
              <w:t>2007</w:t>
            </w:r>
          </w:p>
        </w:tc>
        <w:tc>
          <w:tcPr>
            <w:tcW w:w="1420" w:type="dxa"/>
            <w:tcBorders>
              <w:top w:val="nil"/>
              <w:left w:val="nil"/>
              <w:bottom w:val="single" w:sz="4" w:space="0" w:color="auto"/>
              <w:right w:val="nil"/>
            </w:tcBorders>
            <w:shd w:val="clear" w:color="auto" w:fill="auto"/>
            <w:noWrap/>
            <w:vAlign w:val="bottom"/>
            <w:hideMark/>
          </w:tcPr>
          <w:p w14:paraId="0F4CCFD0" w14:textId="77777777" w:rsidR="00104CB6" w:rsidRPr="00104CB6" w:rsidRDefault="00104CB6" w:rsidP="00104CB6">
            <w:pPr>
              <w:spacing w:after="0" w:line="240" w:lineRule="auto"/>
              <w:rPr>
                <w:rFonts w:ascii="Times New Roman" w:eastAsia="Times New Roman" w:hAnsi="Times New Roman" w:cs="Times New Roman"/>
                <w:b/>
                <w:bCs/>
                <w:color w:val="000000"/>
                <w:lang w:val="en-US" w:eastAsia="it-IT"/>
              </w:rPr>
            </w:pPr>
            <w:r w:rsidRPr="00104CB6">
              <w:rPr>
                <w:rFonts w:ascii="Times New Roman" w:eastAsia="Times New Roman" w:hAnsi="Times New Roman" w:cs="Times New Roman"/>
                <w:b/>
                <w:bCs/>
                <w:color w:val="000000"/>
                <w:lang w:val="en-US" w:eastAsia="it-IT"/>
              </w:rPr>
              <w:t>% 2007-1995</w:t>
            </w:r>
          </w:p>
        </w:tc>
      </w:tr>
      <w:tr w:rsidR="00104CB6" w:rsidRPr="00104CB6" w14:paraId="18E147D1" w14:textId="77777777" w:rsidTr="00104CB6">
        <w:trPr>
          <w:trHeight w:val="300"/>
        </w:trPr>
        <w:tc>
          <w:tcPr>
            <w:tcW w:w="3568" w:type="dxa"/>
            <w:tcBorders>
              <w:top w:val="single" w:sz="4" w:space="0" w:color="auto"/>
              <w:left w:val="nil"/>
              <w:bottom w:val="nil"/>
              <w:right w:val="nil"/>
            </w:tcBorders>
            <w:shd w:val="clear" w:color="auto" w:fill="auto"/>
            <w:noWrap/>
            <w:vAlign w:val="bottom"/>
            <w:hideMark/>
          </w:tcPr>
          <w:p w14:paraId="25F4DE69" w14:textId="77777777" w:rsidR="00104CB6" w:rsidRPr="00104CB6" w:rsidRDefault="00DB569A" w:rsidP="00104CB6">
            <w:pPr>
              <w:spacing w:after="0" w:line="240" w:lineRule="auto"/>
              <w:rPr>
                <w:rFonts w:ascii="Times New Roman" w:eastAsia="Times New Roman" w:hAnsi="Times New Roman" w:cs="Times New Roman"/>
                <w:color w:val="000000"/>
                <w:lang w:val="en-US" w:eastAsia="it-IT"/>
              </w:rPr>
            </w:pPr>
            <w:r w:rsidRPr="00DB569A">
              <w:rPr>
                <w:rFonts w:ascii="Times New Roman" w:eastAsia="Times New Roman" w:hAnsi="Times New Roman" w:cs="Times New Roman"/>
                <w:color w:val="000000"/>
                <w:lang w:val="en-US" w:eastAsia="it-IT"/>
              </w:rPr>
              <w:t>European c</w:t>
            </w:r>
            <w:r w:rsidR="00104CB6" w:rsidRPr="00104CB6">
              <w:rPr>
                <w:rFonts w:ascii="Times New Roman" w:eastAsia="Times New Roman" w:hAnsi="Times New Roman" w:cs="Times New Roman"/>
                <w:color w:val="000000"/>
                <w:lang w:val="en-US" w:eastAsia="it-IT"/>
              </w:rPr>
              <w:t>ountries</w:t>
            </w:r>
          </w:p>
        </w:tc>
        <w:tc>
          <w:tcPr>
            <w:tcW w:w="976" w:type="dxa"/>
            <w:tcBorders>
              <w:top w:val="single" w:sz="4" w:space="0" w:color="auto"/>
              <w:left w:val="nil"/>
              <w:bottom w:val="nil"/>
              <w:right w:val="nil"/>
            </w:tcBorders>
            <w:shd w:val="clear" w:color="auto" w:fill="auto"/>
            <w:noWrap/>
            <w:vAlign w:val="bottom"/>
            <w:hideMark/>
          </w:tcPr>
          <w:p w14:paraId="3E052B5A" w14:textId="77777777" w:rsidR="00104CB6" w:rsidRPr="00104CB6" w:rsidRDefault="00104CB6" w:rsidP="00104CB6">
            <w:pPr>
              <w:spacing w:after="0" w:line="240" w:lineRule="auto"/>
              <w:jc w:val="right"/>
              <w:rPr>
                <w:rFonts w:ascii="Times New Roman" w:eastAsia="Times New Roman" w:hAnsi="Times New Roman" w:cs="Times New Roman"/>
                <w:color w:val="000000"/>
                <w:lang w:val="en-US" w:eastAsia="it-IT"/>
              </w:rPr>
            </w:pPr>
            <w:r w:rsidRPr="00104CB6">
              <w:rPr>
                <w:rFonts w:ascii="Times New Roman" w:eastAsia="Times New Roman" w:hAnsi="Times New Roman" w:cs="Times New Roman"/>
                <w:color w:val="000000"/>
                <w:lang w:val="en-US" w:eastAsia="it-IT"/>
              </w:rPr>
              <w:t>0,37</w:t>
            </w:r>
          </w:p>
        </w:tc>
        <w:tc>
          <w:tcPr>
            <w:tcW w:w="976" w:type="dxa"/>
            <w:tcBorders>
              <w:top w:val="single" w:sz="4" w:space="0" w:color="auto"/>
              <w:left w:val="nil"/>
              <w:bottom w:val="nil"/>
              <w:right w:val="nil"/>
            </w:tcBorders>
            <w:shd w:val="clear" w:color="auto" w:fill="auto"/>
            <w:noWrap/>
            <w:vAlign w:val="bottom"/>
            <w:hideMark/>
          </w:tcPr>
          <w:p w14:paraId="675CE0ED" w14:textId="77777777" w:rsidR="00104CB6" w:rsidRPr="00104CB6" w:rsidRDefault="00104CB6" w:rsidP="00104CB6">
            <w:pPr>
              <w:spacing w:after="0" w:line="240" w:lineRule="auto"/>
              <w:jc w:val="right"/>
              <w:rPr>
                <w:rFonts w:ascii="Times New Roman" w:eastAsia="Times New Roman" w:hAnsi="Times New Roman" w:cs="Times New Roman"/>
                <w:color w:val="000000"/>
                <w:lang w:val="en-US" w:eastAsia="it-IT"/>
              </w:rPr>
            </w:pPr>
            <w:r w:rsidRPr="00104CB6">
              <w:rPr>
                <w:rFonts w:ascii="Times New Roman" w:eastAsia="Times New Roman" w:hAnsi="Times New Roman" w:cs="Times New Roman"/>
                <w:color w:val="000000"/>
                <w:lang w:val="en-US" w:eastAsia="it-IT"/>
              </w:rPr>
              <w:t>0,34</w:t>
            </w:r>
          </w:p>
        </w:tc>
        <w:tc>
          <w:tcPr>
            <w:tcW w:w="976" w:type="dxa"/>
            <w:tcBorders>
              <w:top w:val="single" w:sz="4" w:space="0" w:color="auto"/>
              <w:left w:val="nil"/>
              <w:bottom w:val="nil"/>
              <w:right w:val="nil"/>
            </w:tcBorders>
            <w:shd w:val="clear" w:color="auto" w:fill="auto"/>
            <w:noWrap/>
            <w:vAlign w:val="bottom"/>
            <w:hideMark/>
          </w:tcPr>
          <w:p w14:paraId="712DDE01" w14:textId="77777777" w:rsidR="00104CB6" w:rsidRPr="00104CB6" w:rsidRDefault="00104CB6" w:rsidP="00104CB6">
            <w:pPr>
              <w:spacing w:after="0" w:line="240" w:lineRule="auto"/>
              <w:jc w:val="right"/>
              <w:rPr>
                <w:rFonts w:ascii="Times New Roman" w:eastAsia="Times New Roman" w:hAnsi="Times New Roman" w:cs="Times New Roman"/>
                <w:color w:val="000000"/>
                <w:lang w:val="en-US" w:eastAsia="it-IT"/>
              </w:rPr>
            </w:pPr>
            <w:r w:rsidRPr="00104CB6">
              <w:rPr>
                <w:rFonts w:ascii="Times New Roman" w:eastAsia="Times New Roman" w:hAnsi="Times New Roman" w:cs="Times New Roman"/>
                <w:color w:val="000000"/>
                <w:lang w:val="en-US" w:eastAsia="it-IT"/>
              </w:rPr>
              <w:t>0,32</w:t>
            </w:r>
          </w:p>
        </w:tc>
        <w:tc>
          <w:tcPr>
            <w:tcW w:w="976" w:type="dxa"/>
            <w:tcBorders>
              <w:top w:val="single" w:sz="4" w:space="0" w:color="auto"/>
              <w:left w:val="nil"/>
              <w:bottom w:val="nil"/>
              <w:right w:val="nil"/>
            </w:tcBorders>
            <w:shd w:val="clear" w:color="auto" w:fill="auto"/>
            <w:noWrap/>
            <w:vAlign w:val="bottom"/>
            <w:hideMark/>
          </w:tcPr>
          <w:p w14:paraId="07AABA83" w14:textId="77777777" w:rsidR="00104CB6" w:rsidRPr="00104CB6" w:rsidRDefault="00104CB6" w:rsidP="00104CB6">
            <w:pPr>
              <w:spacing w:after="0" w:line="240" w:lineRule="auto"/>
              <w:jc w:val="right"/>
              <w:rPr>
                <w:rFonts w:ascii="Times New Roman" w:eastAsia="Times New Roman" w:hAnsi="Times New Roman" w:cs="Times New Roman"/>
                <w:color w:val="000000"/>
                <w:lang w:val="en-US" w:eastAsia="it-IT"/>
              </w:rPr>
            </w:pPr>
            <w:r w:rsidRPr="00104CB6">
              <w:rPr>
                <w:rFonts w:ascii="Times New Roman" w:eastAsia="Times New Roman" w:hAnsi="Times New Roman" w:cs="Times New Roman"/>
                <w:color w:val="000000"/>
                <w:lang w:val="en-US" w:eastAsia="it-IT"/>
              </w:rPr>
              <w:t>0,29</w:t>
            </w:r>
          </w:p>
        </w:tc>
        <w:tc>
          <w:tcPr>
            <w:tcW w:w="1420" w:type="dxa"/>
            <w:tcBorders>
              <w:top w:val="single" w:sz="4" w:space="0" w:color="auto"/>
              <w:left w:val="nil"/>
              <w:bottom w:val="nil"/>
              <w:right w:val="nil"/>
            </w:tcBorders>
            <w:shd w:val="clear" w:color="auto" w:fill="auto"/>
            <w:noWrap/>
            <w:vAlign w:val="bottom"/>
            <w:hideMark/>
          </w:tcPr>
          <w:p w14:paraId="3BC1E7AA" w14:textId="77777777" w:rsidR="00104CB6" w:rsidRPr="00104CB6" w:rsidRDefault="00104CB6" w:rsidP="00104CB6">
            <w:pPr>
              <w:spacing w:after="0" w:line="240" w:lineRule="auto"/>
              <w:jc w:val="right"/>
              <w:rPr>
                <w:rFonts w:ascii="Times New Roman" w:eastAsia="Times New Roman" w:hAnsi="Times New Roman" w:cs="Times New Roman"/>
                <w:color w:val="000000"/>
                <w:lang w:val="it-IT" w:eastAsia="it-IT"/>
              </w:rPr>
            </w:pPr>
            <w:r w:rsidRPr="00104CB6">
              <w:rPr>
                <w:rFonts w:ascii="Times New Roman" w:eastAsia="Times New Roman" w:hAnsi="Times New Roman" w:cs="Times New Roman"/>
                <w:color w:val="000000"/>
                <w:lang w:val="en-US" w:eastAsia="it-IT"/>
              </w:rPr>
              <w:t>-2</w:t>
            </w:r>
            <w:r w:rsidRPr="00104CB6">
              <w:rPr>
                <w:rFonts w:ascii="Times New Roman" w:eastAsia="Times New Roman" w:hAnsi="Times New Roman" w:cs="Times New Roman"/>
                <w:color w:val="000000"/>
                <w:lang w:val="it-IT" w:eastAsia="it-IT"/>
              </w:rPr>
              <w:t>1,39</w:t>
            </w:r>
          </w:p>
        </w:tc>
      </w:tr>
      <w:tr w:rsidR="00104CB6" w:rsidRPr="00104CB6" w14:paraId="44C39C80" w14:textId="77777777" w:rsidTr="00104CB6">
        <w:trPr>
          <w:trHeight w:val="300"/>
        </w:trPr>
        <w:tc>
          <w:tcPr>
            <w:tcW w:w="3568" w:type="dxa"/>
            <w:tcBorders>
              <w:top w:val="nil"/>
              <w:left w:val="nil"/>
              <w:bottom w:val="nil"/>
              <w:right w:val="nil"/>
            </w:tcBorders>
            <w:shd w:val="clear" w:color="auto" w:fill="auto"/>
            <w:noWrap/>
            <w:vAlign w:val="bottom"/>
            <w:hideMark/>
          </w:tcPr>
          <w:p w14:paraId="158CD55A" w14:textId="77777777" w:rsidR="00104CB6" w:rsidRPr="00104CB6" w:rsidRDefault="00DB569A" w:rsidP="00104CB6">
            <w:pPr>
              <w:spacing w:after="0" w:line="240" w:lineRule="auto"/>
              <w:rPr>
                <w:rFonts w:ascii="Times New Roman" w:eastAsia="Times New Roman" w:hAnsi="Times New Roman" w:cs="Times New Roman"/>
                <w:color w:val="000000"/>
                <w:lang w:val="it-IT" w:eastAsia="it-IT"/>
              </w:rPr>
            </w:pPr>
            <w:r>
              <w:rPr>
                <w:rFonts w:ascii="Times New Roman" w:eastAsia="Times New Roman" w:hAnsi="Times New Roman" w:cs="Times New Roman"/>
                <w:color w:val="000000"/>
                <w:lang w:val="it-IT" w:eastAsia="it-IT"/>
              </w:rPr>
              <w:t>Eastern European c</w:t>
            </w:r>
            <w:r w:rsidR="00104CB6" w:rsidRPr="00104CB6">
              <w:rPr>
                <w:rFonts w:ascii="Times New Roman" w:eastAsia="Times New Roman" w:hAnsi="Times New Roman" w:cs="Times New Roman"/>
                <w:color w:val="000000"/>
                <w:lang w:val="it-IT" w:eastAsia="it-IT"/>
              </w:rPr>
              <w:t>ountries</w:t>
            </w:r>
          </w:p>
        </w:tc>
        <w:tc>
          <w:tcPr>
            <w:tcW w:w="976" w:type="dxa"/>
            <w:tcBorders>
              <w:top w:val="nil"/>
              <w:left w:val="nil"/>
              <w:bottom w:val="nil"/>
              <w:right w:val="nil"/>
            </w:tcBorders>
            <w:shd w:val="clear" w:color="auto" w:fill="auto"/>
            <w:noWrap/>
            <w:vAlign w:val="bottom"/>
            <w:hideMark/>
          </w:tcPr>
          <w:p w14:paraId="56E1888E" w14:textId="77777777" w:rsidR="00104CB6" w:rsidRPr="00104CB6" w:rsidRDefault="00104CB6" w:rsidP="00104CB6">
            <w:pPr>
              <w:spacing w:after="0" w:line="240" w:lineRule="auto"/>
              <w:jc w:val="right"/>
              <w:rPr>
                <w:rFonts w:ascii="Times New Roman" w:eastAsia="Times New Roman" w:hAnsi="Times New Roman" w:cs="Times New Roman"/>
                <w:color w:val="000000"/>
                <w:lang w:val="it-IT" w:eastAsia="it-IT"/>
              </w:rPr>
            </w:pPr>
            <w:r w:rsidRPr="00104CB6">
              <w:rPr>
                <w:rFonts w:ascii="Times New Roman" w:eastAsia="Times New Roman" w:hAnsi="Times New Roman" w:cs="Times New Roman"/>
                <w:color w:val="000000"/>
                <w:lang w:val="it-IT" w:eastAsia="it-IT"/>
              </w:rPr>
              <w:t>0,85</w:t>
            </w:r>
          </w:p>
        </w:tc>
        <w:tc>
          <w:tcPr>
            <w:tcW w:w="976" w:type="dxa"/>
            <w:tcBorders>
              <w:top w:val="nil"/>
              <w:left w:val="nil"/>
              <w:bottom w:val="nil"/>
              <w:right w:val="nil"/>
            </w:tcBorders>
            <w:shd w:val="clear" w:color="auto" w:fill="auto"/>
            <w:noWrap/>
            <w:vAlign w:val="bottom"/>
            <w:hideMark/>
          </w:tcPr>
          <w:p w14:paraId="25408588" w14:textId="77777777" w:rsidR="00104CB6" w:rsidRPr="00104CB6" w:rsidRDefault="00104CB6" w:rsidP="00104CB6">
            <w:pPr>
              <w:spacing w:after="0" w:line="240" w:lineRule="auto"/>
              <w:jc w:val="right"/>
              <w:rPr>
                <w:rFonts w:ascii="Times New Roman" w:eastAsia="Times New Roman" w:hAnsi="Times New Roman" w:cs="Times New Roman"/>
                <w:color w:val="000000"/>
                <w:lang w:val="it-IT" w:eastAsia="it-IT"/>
              </w:rPr>
            </w:pPr>
            <w:r w:rsidRPr="00104CB6">
              <w:rPr>
                <w:rFonts w:ascii="Times New Roman" w:eastAsia="Times New Roman" w:hAnsi="Times New Roman" w:cs="Times New Roman"/>
                <w:color w:val="000000"/>
                <w:lang w:val="it-IT" w:eastAsia="it-IT"/>
              </w:rPr>
              <w:t>0,68</w:t>
            </w:r>
          </w:p>
        </w:tc>
        <w:tc>
          <w:tcPr>
            <w:tcW w:w="976" w:type="dxa"/>
            <w:tcBorders>
              <w:top w:val="nil"/>
              <w:left w:val="nil"/>
              <w:bottom w:val="nil"/>
              <w:right w:val="nil"/>
            </w:tcBorders>
            <w:shd w:val="clear" w:color="auto" w:fill="auto"/>
            <w:noWrap/>
            <w:vAlign w:val="bottom"/>
            <w:hideMark/>
          </w:tcPr>
          <w:p w14:paraId="374F72FF" w14:textId="77777777" w:rsidR="00104CB6" w:rsidRPr="00104CB6" w:rsidRDefault="00104CB6" w:rsidP="00104CB6">
            <w:pPr>
              <w:spacing w:after="0" w:line="240" w:lineRule="auto"/>
              <w:jc w:val="right"/>
              <w:rPr>
                <w:rFonts w:ascii="Times New Roman" w:eastAsia="Times New Roman" w:hAnsi="Times New Roman" w:cs="Times New Roman"/>
                <w:color w:val="000000"/>
                <w:lang w:val="it-IT" w:eastAsia="it-IT"/>
              </w:rPr>
            </w:pPr>
            <w:r w:rsidRPr="00104CB6">
              <w:rPr>
                <w:rFonts w:ascii="Times New Roman" w:eastAsia="Times New Roman" w:hAnsi="Times New Roman" w:cs="Times New Roman"/>
                <w:color w:val="000000"/>
                <w:lang w:val="it-IT" w:eastAsia="it-IT"/>
              </w:rPr>
              <w:t>0,59</w:t>
            </w:r>
          </w:p>
        </w:tc>
        <w:tc>
          <w:tcPr>
            <w:tcW w:w="976" w:type="dxa"/>
            <w:tcBorders>
              <w:top w:val="nil"/>
              <w:left w:val="nil"/>
              <w:bottom w:val="nil"/>
              <w:right w:val="nil"/>
            </w:tcBorders>
            <w:shd w:val="clear" w:color="auto" w:fill="auto"/>
            <w:noWrap/>
            <w:vAlign w:val="bottom"/>
            <w:hideMark/>
          </w:tcPr>
          <w:p w14:paraId="7DFB6A23" w14:textId="77777777" w:rsidR="00104CB6" w:rsidRPr="00104CB6" w:rsidRDefault="00104CB6" w:rsidP="00104CB6">
            <w:pPr>
              <w:spacing w:after="0" w:line="240" w:lineRule="auto"/>
              <w:jc w:val="right"/>
              <w:rPr>
                <w:rFonts w:ascii="Times New Roman" w:eastAsia="Times New Roman" w:hAnsi="Times New Roman" w:cs="Times New Roman"/>
                <w:color w:val="000000"/>
                <w:lang w:val="it-IT" w:eastAsia="it-IT"/>
              </w:rPr>
            </w:pPr>
            <w:r w:rsidRPr="00104CB6">
              <w:rPr>
                <w:rFonts w:ascii="Times New Roman" w:eastAsia="Times New Roman" w:hAnsi="Times New Roman" w:cs="Times New Roman"/>
                <w:color w:val="000000"/>
                <w:lang w:val="it-IT" w:eastAsia="it-IT"/>
              </w:rPr>
              <w:t>0,49</w:t>
            </w:r>
          </w:p>
        </w:tc>
        <w:tc>
          <w:tcPr>
            <w:tcW w:w="1420" w:type="dxa"/>
            <w:tcBorders>
              <w:top w:val="nil"/>
              <w:left w:val="nil"/>
              <w:bottom w:val="nil"/>
              <w:right w:val="nil"/>
            </w:tcBorders>
            <w:shd w:val="clear" w:color="auto" w:fill="auto"/>
            <w:noWrap/>
            <w:vAlign w:val="bottom"/>
            <w:hideMark/>
          </w:tcPr>
          <w:p w14:paraId="3123C830" w14:textId="77777777" w:rsidR="00104CB6" w:rsidRPr="00104CB6" w:rsidRDefault="00104CB6" w:rsidP="00104CB6">
            <w:pPr>
              <w:spacing w:after="0" w:line="240" w:lineRule="auto"/>
              <w:jc w:val="right"/>
              <w:rPr>
                <w:rFonts w:ascii="Times New Roman" w:eastAsia="Times New Roman" w:hAnsi="Times New Roman" w:cs="Times New Roman"/>
                <w:color w:val="000000"/>
                <w:lang w:val="it-IT" w:eastAsia="it-IT"/>
              </w:rPr>
            </w:pPr>
            <w:r w:rsidRPr="00104CB6">
              <w:rPr>
                <w:rFonts w:ascii="Times New Roman" w:eastAsia="Times New Roman" w:hAnsi="Times New Roman" w:cs="Times New Roman"/>
                <w:color w:val="000000"/>
                <w:lang w:val="it-IT" w:eastAsia="it-IT"/>
              </w:rPr>
              <w:t>-42,46</w:t>
            </w:r>
          </w:p>
        </w:tc>
      </w:tr>
      <w:tr w:rsidR="00104CB6" w:rsidRPr="00104CB6" w14:paraId="7702DD9C" w14:textId="77777777" w:rsidTr="00104CB6">
        <w:trPr>
          <w:trHeight w:val="300"/>
        </w:trPr>
        <w:tc>
          <w:tcPr>
            <w:tcW w:w="3568" w:type="dxa"/>
            <w:tcBorders>
              <w:top w:val="nil"/>
              <w:left w:val="nil"/>
              <w:right w:val="nil"/>
            </w:tcBorders>
            <w:shd w:val="clear" w:color="auto" w:fill="auto"/>
            <w:noWrap/>
            <w:vAlign w:val="bottom"/>
            <w:hideMark/>
          </w:tcPr>
          <w:p w14:paraId="1F57A3C8" w14:textId="77777777" w:rsidR="00104CB6" w:rsidRPr="00104CB6" w:rsidRDefault="00DB569A" w:rsidP="00104CB6">
            <w:pPr>
              <w:spacing w:after="0" w:line="240" w:lineRule="auto"/>
              <w:rPr>
                <w:rFonts w:ascii="Times New Roman" w:eastAsia="Times New Roman" w:hAnsi="Times New Roman" w:cs="Times New Roman"/>
                <w:color w:val="000000"/>
                <w:lang w:val="it-IT" w:eastAsia="it-IT"/>
              </w:rPr>
            </w:pPr>
            <w:r>
              <w:rPr>
                <w:rFonts w:ascii="Times New Roman" w:eastAsia="Times New Roman" w:hAnsi="Times New Roman" w:cs="Times New Roman"/>
                <w:color w:val="000000"/>
                <w:lang w:val="it-IT" w:eastAsia="it-IT"/>
              </w:rPr>
              <w:t>Developed non-European c</w:t>
            </w:r>
            <w:r w:rsidR="00104CB6" w:rsidRPr="00104CB6">
              <w:rPr>
                <w:rFonts w:ascii="Times New Roman" w:eastAsia="Times New Roman" w:hAnsi="Times New Roman" w:cs="Times New Roman"/>
                <w:color w:val="000000"/>
                <w:lang w:val="it-IT" w:eastAsia="it-IT"/>
              </w:rPr>
              <w:t>ountries</w:t>
            </w:r>
          </w:p>
        </w:tc>
        <w:tc>
          <w:tcPr>
            <w:tcW w:w="976" w:type="dxa"/>
            <w:tcBorders>
              <w:top w:val="nil"/>
              <w:left w:val="nil"/>
              <w:right w:val="nil"/>
            </w:tcBorders>
            <w:shd w:val="clear" w:color="auto" w:fill="auto"/>
            <w:noWrap/>
            <w:vAlign w:val="bottom"/>
            <w:hideMark/>
          </w:tcPr>
          <w:p w14:paraId="0032FBDD" w14:textId="77777777" w:rsidR="00104CB6" w:rsidRPr="00104CB6" w:rsidRDefault="00104CB6" w:rsidP="00104CB6">
            <w:pPr>
              <w:spacing w:after="0" w:line="240" w:lineRule="auto"/>
              <w:jc w:val="right"/>
              <w:rPr>
                <w:rFonts w:ascii="Times New Roman" w:eastAsia="Times New Roman" w:hAnsi="Times New Roman" w:cs="Times New Roman"/>
                <w:color w:val="000000"/>
                <w:lang w:val="it-IT" w:eastAsia="it-IT"/>
              </w:rPr>
            </w:pPr>
            <w:r w:rsidRPr="00104CB6">
              <w:rPr>
                <w:rFonts w:ascii="Times New Roman" w:eastAsia="Times New Roman" w:hAnsi="Times New Roman" w:cs="Times New Roman"/>
                <w:color w:val="000000"/>
                <w:lang w:val="it-IT" w:eastAsia="it-IT"/>
              </w:rPr>
              <w:t>0,55</w:t>
            </w:r>
          </w:p>
        </w:tc>
        <w:tc>
          <w:tcPr>
            <w:tcW w:w="976" w:type="dxa"/>
            <w:tcBorders>
              <w:top w:val="nil"/>
              <w:left w:val="nil"/>
              <w:right w:val="nil"/>
            </w:tcBorders>
            <w:shd w:val="clear" w:color="auto" w:fill="auto"/>
            <w:noWrap/>
            <w:vAlign w:val="bottom"/>
            <w:hideMark/>
          </w:tcPr>
          <w:p w14:paraId="3EF4F659" w14:textId="77777777" w:rsidR="00104CB6" w:rsidRPr="00104CB6" w:rsidRDefault="00104CB6" w:rsidP="00104CB6">
            <w:pPr>
              <w:spacing w:after="0" w:line="240" w:lineRule="auto"/>
              <w:jc w:val="right"/>
              <w:rPr>
                <w:rFonts w:ascii="Times New Roman" w:eastAsia="Times New Roman" w:hAnsi="Times New Roman" w:cs="Times New Roman"/>
                <w:color w:val="000000"/>
                <w:lang w:val="it-IT" w:eastAsia="it-IT"/>
              </w:rPr>
            </w:pPr>
            <w:r w:rsidRPr="00104CB6">
              <w:rPr>
                <w:rFonts w:ascii="Times New Roman" w:eastAsia="Times New Roman" w:hAnsi="Times New Roman" w:cs="Times New Roman"/>
                <w:color w:val="000000"/>
                <w:lang w:val="it-IT" w:eastAsia="it-IT"/>
              </w:rPr>
              <w:t>0,51</w:t>
            </w:r>
          </w:p>
        </w:tc>
        <w:tc>
          <w:tcPr>
            <w:tcW w:w="976" w:type="dxa"/>
            <w:tcBorders>
              <w:top w:val="nil"/>
              <w:left w:val="nil"/>
              <w:right w:val="nil"/>
            </w:tcBorders>
            <w:shd w:val="clear" w:color="auto" w:fill="auto"/>
            <w:noWrap/>
            <w:vAlign w:val="bottom"/>
            <w:hideMark/>
          </w:tcPr>
          <w:p w14:paraId="569B7C7D" w14:textId="77777777" w:rsidR="00104CB6" w:rsidRPr="00104CB6" w:rsidRDefault="00104CB6" w:rsidP="00104CB6">
            <w:pPr>
              <w:spacing w:after="0" w:line="240" w:lineRule="auto"/>
              <w:jc w:val="right"/>
              <w:rPr>
                <w:rFonts w:ascii="Times New Roman" w:eastAsia="Times New Roman" w:hAnsi="Times New Roman" w:cs="Times New Roman"/>
                <w:color w:val="000000"/>
                <w:lang w:val="it-IT" w:eastAsia="it-IT"/>
              </w:rPr>
            </w:pPr>
            <w:r w:rsidRPr="00104CB6">
              <w:rPr>
                <w:rFonts w:ascii="Times New Roman" w:eastAsia="Times New Roman" w:hAnsi="Times New Roman" w:cs="Times New Roman"/>
                <w:color w:val="000000"/>
                <w:lang w:val="it-IT" w:eastAsia="it-IT"/>
              </w:rPr>
              <w:t>0,48</w:t>
            </w:r>
          </w:p>
        </w:tc>
        <w:tc>
          <w:tcPr>
            <w:tcW w:w="976" w:type="dxa"/>
            <w:tcBorders>
              <w:top w:val="nil"/>
              <w:left w:val="nil"/>
              <w:right w:val="nil"/>
            </w:tcBorders>
            <w:shd w:val="clear" w:color="auto" w:fill="auto"/>
            <w:noWrap/>
            <w:vAlign w:val="bottom"/>
            <w:hideMark/>
          </w:tcPr>
          <w:p w14:paraId="2603AC91" w14:textId="77777777" w:rsidR="00104CB6" w:rsidRPr="00104CB6" w:rsidRDefault="00104CB6" w:rsidP="00104CB6">
            <w:pPr>
              <w:spacing w:after="0" w:line="240" w:lineRule="auto"/>
              <w:jc w:val="right"/>
              <w:rPr>
                <w:rFonts w:ascii="Times New Roman" w:eastAsia="Times New Roman" w:hAnsi="Times New Roman" w:cs="Times New Roman"/>
                <w:color w:val="000000"/>
                <w:lang w:val="it-IT" w:eastAsia="it-IT"/>
              </w:rPr>
            </w:pPr>
            <w:r w:rsidRPr="00104CB6">
              <w:rPr>
                <w:rFonts w:ascii="Times New Roman" w:eastAsia="Times New Roman" w:hAnsi="Times New Roman" w:cs="Times New Roman"/>
                <w:color w:val="000000"/>
                <w:lang w:val="it-IT" w:eastAsia="it-IT"/>
              </w:rPr>
              <w:t>0,44</w:t>
            </w:r>
          </w:p>
        </w:tc>
        <w:tc>
          <w:tcPr>
            <w:tcW w:w="1420" w:type="dxa"/>
            <w:tcBorders>
              <w:top w:val="nil"/>
              <w:left w:val="nil"/>
              <w:right w:val="nil"/>
            </w:tcBorders>
            <w:shd w:val="clear" w:color="auto" w:fill="auto"/>
            <w:noWrap/>
            <w:vAlign w:val="bottom"/>
            <w:hideMark/>
          </w:tcPr>
          <w:p w14:paraId="75FFF264" w14:textId="77777777" w:rsidR="00104CB6" w:rsidRPr="00104CB6" w:rsidRDefault="00104CB6" w:rsidP="00104CB6">
            <w:pPr>
              <w:spacing w:after="0" w:line="240" w:lineRule="auto"/>
              <w:jc w:val="right"/>
              <w:rPr>
                <w:rFonts w:ascii="Times New Roman" w:eastAsia="Times New Roman" w:hAnsi="Times New Roman" w:cs="Times New Roman"/>
                <w:color w:val="000000"/>
                <w:lang w:val="it-IT" w:eastAsia="it-IT"/>
              </w:rPr>
            </w:pPr>
            <w:r w:rsidRPr="00104CB6">
              <w:rPr>
                <w:rFonts w:ascii="Times New Roman" w:eastAsia="Times New Roman" w:hAnsi="Times New Roman" w:cs="Times New Roman"/>
                <w:color w:val="000000"/>
                <w:lang w:val="it-IT" w:eastAsia="it-IT"/>
              </w:rPr>
              <w:t>-20,53</w:t>
            </w:r>
          </w:p>
        </w:tc>
      </w:tr>
      <w:tr w:rsidR="00104CB6" w:rsidRPr="00104CB6" w14:paraId="726DEF9E" w14:textId="77777777" w:rsidTr="00104CB6">
        <w:trPr>
          <w:trHeight w:val="300"/>
        </w:trPr>
        <w:tc>
          <w:tcPr>
            <w:tcW w:w="3568" w:type="dxa"/>
            <w:tcBorders>
              <w:top w:val="nil"/>
              <w:left w:val="nil"/>
              <w:bottom w:val="single" w:sz="4" w:space="0" w:color="auto"/>
              <w:right w:val="nil"/>
            </w:tcBorders>
            <w:shd w:val="clear" w:color="auto" w:fill="auto"/>
            <w:noWrap/>
            <w:vAlign w:val="bottom"/>
            <w:hideMark/>
          </w:tcPr>
          <w:p w14:paraId="43FCB078" w14:textId="77777777" w:rsidR="00104CB6" w:rsidRPr="00104CB6" w:rsidRDefault="00104CB6" w:rsidP="00104CB6">
            <w:pPr>
              <w:spacing w:after="0" w:line="240" w:lineRule="auto"/>
              <w:rPr>
                <w:rFonts w:ascii="Times New Roman" w:eastAsia="Times New Roman" w:hAnsi="Times New Roman" w:cs="Times New Roman"/>
                <w:color w:val="000000"/>
                <w:lang w:val="it-IT" w:eastAsia="it-IT"/>
              </w:rPr>
            </w:pPr>
            <w:r w:rsidRPr="00104CB6">
              <w:rPr>
                <w:rFonts w:ascii="Times New Roman" w:eastAsia="Times New Roman" w:hAnsi="Times New Roman" w:cs="Times New Roman"/>
                <w:color w:val="000000"/>
                <w:lang w:val="it-IT" w:eastAsia="it-IT"/>
              </w:rPr>
              <w:t>Developing countries</w:t>
            </w:r>
          </w:p>
        </w:tc>
        <w:tc>
          <w:tcPr>
            <w:tcW w:w="976" w:type="dxa"/>
            <w:tcBorders>
              <w:top w:val="nil"/>
              <w:left w:val="nil"/>
              <w:bottom w:val="single" w:sz="4" w:space="0" w:color="auto"/>
              <w:right w:val="nil"/>
            </w:tcBorders>
            <w:shd w:val="clear" w:color="auto" w:fill="auto"/>
            <w:noWrap/>
            <w:vAlign w:val="bottom"/>
            <w:hideMark/>
          </w:tcPr>
          <w:p w14:paraId="500ABCBE" w14:textId="77777777" w:rsidR="00104CB6" w:rsidRPr="00104CB6" w:rsidRDefault="00104CB6" w:rsidP="00104CB6">
            <w:pPr>
              <w:spacing w:after="0" w:line="240" w:lineRule="auto"/>
              <w:jc w:val="right"/>
              <w:rPr>
                <w:rFonts w:ascii="Times New Roman" w:eastAsia="Times New Roman" w:hAnsi="Times New Roman" w:cs="Times New Roman"/>
                <w:color w:val="000000"/>
                <w:lang w:val="it-IT" w:eastAsia="it-IT"/>
              </w:rPr>
            </w:pPr>
            <w:r w:rsidRPr="00104CB6">
              <w:rPr>
                <w:rFonts w:ascii="Times New Roman" w:eastAsia="Times New Roman" w:hAnsi="Times New Roman" w:cs="Times New Roman"/>
                <w:color w:val="000000"/>
                <w:lang w:val="it-IT" w:eastAsia="it-IT"/>
              </w:rPr>
              <w:t>0,74</w:t>
            </w:r>
          </w:p>
        </w:tc>
        <w:tc>
          <w:tcPr>
            <w:tcW w:w="976" w:type="dxa"/>
            <w:tcBorders>
              <w:top w:val="nil"/>
              <w:left w:val="nil"/>
              <w:bottom w:val="single" w:sz="4" w:space="0" w:color="auto"/>
              <w:right w:val="nil"/>
            </w:tcBorders>
            <w:shd w:val="clear" w:color="auto" w:fill="auto"/>
            <w:noWrap/>
            <w:vAlign w:val="bottom"/>
            <w:hideMark/>
          </w:tcPr>
          <w:p w14:paraId="46F793FF" w14:textId="77777777" w:rsidR="00104CB6" w:rsidRPr="00104CB6" w:rsidRDefault="00104CB6" w:rsidP="00104CB6">
            <w:pPr>
              <w:spacing w:after="0" w:line="240" w:lineRule="auto"/>
              <w:jc w:val="right"/>
              <w:rPr>
                <w:rFonts w:ascii="Times New Roman" w:eastAsia="Times New Roman" w:hAnsi="Times New Roman" w:cs="Times New Roman"/>
                <w:color w:val="000000"/>
                <w:lang w:val="it-IT" w:eastAsia="it-IT"/>
              </w:rPr>
            </w:pPr>
            <w:r w:rsidRPr="00104CB6">
              <w:rPr>
                <w:rFonts w:ascii="Times New Roman" w:eastAsia="Times New Roman" w:hAnsi="Times New Roman" w:cs="Times New Roman"/>
                <w:color w:val="000000"/>
                <w:lang w:val="it-IT" w:eastAsia="it-IT"/>
              </w:rPr>
              <w:t>0,61</w:t>
            </w:r>
          </w:p>
        </w:tc>
        <w:tc>
          <w:tcPr>
            <w:tcW w:w="976" w:type="dxa"/>
            <w:tcBorders>
              <w:top w:val="nil"/>
              <w:left w:val="nil"/>
              <w:bottom w:val="single" w:sz="4" w:space="0" w:color="auto"/>
              <w:right w:val="nil"/>
            </w:tcBorders>
            <w:shd w:val="clear" w:color="auto" w:fill="auto"/>
            <w:noWrap/>
            <w:vAlign w:val="bottom"/>
            <w:hideMark/>
          </w:tcPr>
          <w:p w14:paraId="22F588B6" w14:textId="77777777" w:rsidR="00104CB6" w:rsidRPr="00104CB6" w:rsidRDefault="00104CB6" w:rsidP="00104CB6">
            <w:pPr>
              <w:spacing w:after="0" w:line="240" w:lineRule="auto"/>
              <w:jc w:val="right"/>
              <w:rPr>
                <w:rFonts w:ascii="Times New Roman" w:eastAsia="Times New Roman" w:hAnsi="Times New Roman" w:cs="Times New Roman"/>
                <w:color w:val="000000"/>
                <w:lang w:val="it-IT" w:eastAsia="it-IT"/>
              </w:rPr>
            </w:pPr>
            <w:r w:rsidRPr="00104CB6">
              <w:rPr>
                <w:rFonts w:ascii="Times New Roman" w:eastAsia="Times New Roman" w:hAnsi="Times New Roman" w:cs="Times New Roman"/>
                <w:color w:val="000000"/>
                <w:lang w:val="it-IT" w:eastAsia="it-IT"/>
              </w:rPr>
              <w:t>0,58</w:t>
            </w:r>
          </w:p>
        </w:tc>
        <w:tc>
          <w:tcPr>
            <w:tcW w:w="976" w:type="dxa"/>
            <w:tcBorders>
              <w:top w:val="nil"/>
              <w:left w:val="nil"/>
              <w:bottom w:val="single" w:sz="4" w:space="0" w:color="auto"/>
              <w:right w:val="nil"/>
            </w:tcBorders>
            <w:shd w:val="clear" w:color="auto" w:fill="auto"/>
            <w:noWrap/>
            <w:vAlign w:val="bottom"/>
            <w:hideMark/>
          </w:tcPr>
          <w:p w14:paraId="408A773F" w14:textId="77777777" w:rsidR="00104CB6" w:rsidRPr="00104CB6" w:rsidRDefault="00104CB6" w:rsidP="00104CB6">
            <w:pPr>
              <w:spacing w:after="0" w:line="240" w:lineRule="auto"/>
              <w:jc w:val="right"/>
              <w:rPr>
                <w:rFonts w:ascii="Times New Roman" w:eastAsia="Times New Roman" w:hAnsi="Times New Roman" w:cs="Times New Roman"/>
                <w:color w:val="000000"/>
                <w:lang w:val="it-IT" w:eastAsia="it-IT"/>
              </w:rPr>
            </w:pPr>
            <w:r w:rsidRPr="00104CB6">
              <w:rPr>
                <w:rFonts w:ascii="Times New Roman" w:eastAsia="Times New Roman" w:hAnsi="Times New Roman" w:cs="Times New Roman"/>
                <w:color w:val="000000"/>
                <w:lang w:val="it-IT" w:eastAsia="it-IT"/>
              </w:rPr>
              <w:t>0,59</w:t>
            </w:r>
          </w:p>
        </w:tc>
        <w:tc>
          <w:tcPr>
            <w:tcW w:w="1420" w:type="dxa"/>
            <w:tcBorders>
              <w:top w:val="nil"/>
              <w:left w:val="nil"/>
              <w:bottom w:val="single" w:sz="4" w:space="0" w:color="auto"/>
              <w:right w:val="nil"/>
            </w:tcBorders>
            <w:shd w:val="clear" w:color="auto" w:fill="auto"/>
            <w:noWrap/>
            <w:vAlign w:val="bottom"/>
            <w:hideMark/>
          </w:tcPr>
          <w:p w14:paraId="1B0D9085" w14:textId="77777777" w:rsidR="00104CB6" w:rsidRPr="00104CB6" w:rsidRDefault="00104CB6" w:rsidP="00104CB6">
            <w:pPr>
              <w:spacing w:after="0" w:line="240" w:lineRule="auto"/>
              <w:jc w:val="right"/>
              <w:rPr>
                <w:rFonts w:ascii="Times New Roman" w:eastAsia="Times New Roman" w:hAnsi="Times New Roman" w:cs="Times New Roman"/>
                <w:color w:val="000000"/>
                <w:lang w:val="it-IT" w:eastAsia="it-IT"/>
              </w:rPr>
            </w:pPr>
            <w:r w:rsidRPr="00104CB6">
              <w:rPr>
                <w:rFonts w:ascii="Times New Roman" w:eastAsia="Times New Roman" w:hAnsi="Times New Roman" w:cs="Times New Roman"/>
                <w:color w:val="000000"/>
                <w:lang w:val="it-IT" w:eastAsia="it-IT"/>
              </w:rPr>
              <w:t>-20,50</w:t>
            </w:r>
          </w:p>
        </w:tc>
      </w:tr>
    </w:tbl>
    <w:p w14:paraId="7E8E6E2A" w14:textId="77777777" w:rsidR="00104CB6" w:rsidRPr="00D04448" w:rsidRDefault="00D04448" w:rsidP="00104CB6">
      <w:pPr>
        <w:spacing w:line="360" w:lineRule="auto"/>
        <w:jc w:val="both"/>
        <w:rPr>
          <w:rFonts w:ascii="Times New Roman" w:hAnsi="Times New Roman" w:cs="Times New Roman"/>
          <w:sz w:val="20"/>
          <w:szCs w:val="20"/>
        </w:rPr>
      </w:pPr>
      <w:r w:rsidRPr="00D04448">
        <w:rPr>
          <w:rFonts w:ascii="Times New Roman" w:hAnsi="Times New Roman" w:cs="Times New Roman"/>
          <w:sz w:val="20"/>
          <w:szCs w:val="20"/>
        </w:rPr>
        <w:lastRenderedPageBreak/>
        <w:t xml:space="preserve">Source: </w:t>
      </w:r>
      <w:r w:rsidR="00A5002C">
        <w:rPr>
          <w:rFonts w:ascii="Times New Roman" w:hAnsi="Times New Roman" w:cs="Times New Roman"/>
          <w:sz w:val="20"/>
          <w:szCs w:val="20"/>
        </w:rPr>
        <w:t>[9, 21]</w:t>
      </w:r>
    </w:p>
    <w:p w14:paraId="39254582" w14:textId="77777777" w:rsidR="00104CB6" w:rsidRDefault="00104CB6" w:rsidP="00104CB6">
      <w:pPr>
        <w:spacing w:after="0" w:line="240" w:lineRule="auto"/>
        <w:jc w:val="both"/>
        <w:rPr>
          <w:rFonts w:ascii="Times New Roman" w:hAnsi="Times New Roman" w:cs="Times New Roman"/>
          <w:b/>
          <w:sz w:val="24"/>
          <w:szCs w:val="24"/>
        </w:rPr>
      </w:pPr>
      <w:r w:rsidRPr="00104CB6">
        <w:rPr>
          <w:rFonts w:ascii="Times New Roman" w:hAnsi="Times New Roman" w:cs="Times New Roman"/>
          <w:b/>
          <w:sz w:val="24"/>
          <w:szCs w:val="24"/>
        </w:rPr>
        <w:t>Table 2. Energy intensity (Energy/GDP)</w:t>
      </w:r>
      <w:r w:rsidR="006D4B8C" w:rsidRPr="006D4B8C">
        <w:t xml:space="preserve"> </w:t>
      </w:r>
      <w:r w:rsidR="006D4B8C" w:rsidRPr="006D4B8C">
        <w:rPr>
          <w:rFonts w:ascii="Times New Roman" w:hAnsi="Times New Roman" w:cs="Times New Roman"/>
          <w:b/>
          <w:sz w:val="24"/>
          <w:szCs w:val="24"/>
        </w:rPr>
        <w:t>(Terajoules/Millions US$)</w:t>
      </w:r>
    </w:p>
    <w:tbl>
      <w:tblPr>
        <w:tblW w:w="8892" w:type="dxa"/>
        <w:tblInd w:w="70" w:type="dxa"/>
        <w:tblCellMar>
          <w:left w:w="70" w:type="dxa"/>
          <w:right w:w="70" w:type="dxa"/>
        </w:tblCellMar>
        <w:tblLook w:val="04A0" w:firstRow="1" w:lastRow="0" w:firstColumn="1" w:lastColumn="0" w:noHBand="0" w:noVBand="1"/>
      </w:tblPr>
      <w:tblGrid>
        <w:gridCol w:w="3568"/>
        <w:gridCol w:w="976"/>
        <w:gridCol w:w="976"/>
        <w:gridCol w:w="976"/>
        <w:gridCol w:w="976"/>
        <w:gridCol w:w="1420"/>
      </w:tblGrid>
      <w:tr w:rsidR="00104CB6" w:rsidRPr="00104CB6" w14:paraId="7A953016" w14:textId="77777777" w:rsidTr="00536379">
        <w:trPr>
          <w:trHeight w:val="300"/>
        </w:trPr>
        <w:tc>
          <w:tcPr>
            <w:tcW w:w="3568" w:type="dxa"/>
            <w:tcBorders>
              <w:top w:val="nil"/>
              <w:left w:val="nil"/>
              <w:bottom w:val="single" w:sz="4" w:space="0" w:color="auto"/>
              <w:right w:val="nil"/>
            </w:tcBorders>
            <w:shd w:val="clear" w:color="auto" w:fill="auto"/>
            <w:noWrap/>
            <w:vAlign w:val="bottom"/>
            <w:hideMark/>
          </w:tcPr>
          <w:p w14:paraId="65E856A1" w14:textId="77777777" w:rsidR="00104CB6" w:rsidRPr="00104CB6" w:rsidRDefault="00104CB6" w:rsidP="00104CB6">
            <w:pPr>
              <w:spacing w:after="0" w:line="240" w:lineRule="auto"/>
              <w:rPr>
                <w:rFonts w:ascii="Times New Roman" w:eastAsia="Times New Roman" w:hAnsi="Times New Roman" w:cs="Times New Roman"/>
                <w:color w:val="000000"/>
                <w:lang w:val="en-US" w:eastAsia="it-IT"/>
              </w:rPr>
            </w:pPr>
          </w:p>
        </w:tc>
        <w:tc>
          <w:tcPr>
            <w:tcW w:w="976" w:type="dxa"/>
            <w:tcBorders>
              <w:top w:val="nil"/>
              <w:left w:val="nil"/>
              <w:bottom w:val="single" w:sz="4" w:space="0" w:color="auto"/>
              <w:right w:val="nil"/>
            </w:tcBorders>
            <w:shd w:val="clear" w:color="auto" w:fill="auto"/>
            <w:noWrap/>
            <w:vAlign w:val="bottom"/>
            <w:hideMark/>
          </w:tcPr>
          <w:p w14:paraId="1D50467E" w14:textId="77777777" w:rsidR="00104CB6" w:rsidRPr="00104CB6" w:rsidRDefault="00104CB6" w:rsidP="00104CB6">
            <w:pPr>
              <w:spacing w:after="0" w:line="240" w:lineRule="auto"/>
              <w:jc w:val="right"/>
              <w:rPr>
                <w:rFonts w:ascii="Times New Roman" w:eastAsia="Times New Roman" w:hAnsi="Times New Roman" w:cs="Times New Roman"/>
                <w:b/>
                <w:bCs/>
                <w:color w:val="000000"/>
                <w:lang w:val="it-IT" w:eastAsia="it-IT"/>
              </w:rPr>
            </w:pPr>
            <w:r w:rsidRPr="00104CB6">
              <w:rPr>
                <w:rFonts w:ascii="Times New Roman" w:eastAsia="Times New Roman" w:hAnsi="Times New Roman" w:cs="Times New Roman"/>
                <w:b/>
                <w:bCs/>
                <w:color w:val="000000"/>
                <w:lang w:val="it-IT" w:eastAsia="it-IT"/>
              </w:rPr>
              <w:t>1995</w:t>
            </w:r>
          </w:p>
        </w:tc>
        <w:tc>
          <w:tcPr>
            <w:tcW w:w="976" w:type="dxa"/>
            <w:tcBorders>
              <w:top w:val="nil"/>
              <w:left w:val="nil"/>
              <w:bottom w:val="single" w:sz="4" w:space="0" w:color="auto"/>
              <w:right w:val="nil"/>
            </w:tcBorders>
            <w:shd w:val="clear" w:color="auto" w:fill="auto"/>
            <w:noWrap/>
            <w:vAlign w:val="bottom"/>
            <w:hideMark/>
          </w:tcPr>
          <w:p w14:paraId="2BAD07BF" w14:textId="77777777" w:rsidR="00104CB6" w:rsidRPr="00104CB6" w:rsidRDefault="00104CB6" w:rsidP="00104CB6">
            <w:pPr>
              <w:spacing w:after="0" w:line="240" w:lineRule="auto"/>
              <w:jc w:val="right"/>
              <w:rPr>
                <w:rFonts w:ascii="Times New Roman" w:eastAsia="Times New Roman" w:hAnsi="Times New Roman" w:cs="Times New Roman"/>
                <w:b/>
                <w:bCs/>
                <w:color w:val="000000"/>
                <w:lang w:val="it-IT" w:eastAsia="it-IT"/>
              </w:rPr>
            </w:pPr>
            <w:r w:rsidRPr="00104CB6">
              <w:rPr>
                <w:rFonts w:ascii="Times New Roman" w:eastAsia="Times New Roman" w:hAnsi="Times New Roman" w:cs="Times New Roman"/>
                <w:b/>
                <w:bCs/>
                <w:color w:val="000000"/>
                <w:lang w:val="it-IT" w:eastAsia="it-IT"/>
              </w:rPr>
              <w:t>1999</w:t>
            </w:r>
          </w:p>
        </w:tc>
        <w:tc>
          <w:tcPr>
            <w:tcW w:w="976" w:type="dxa"/>
            <w:tcBorders>
              <w:top w:val="nil"/>
              <w:left w:val="nil"/>
              <w:bottom w:val="single" w:sz="4" w:space="0" w:color="auto"/>
              <w:right w:val="nil"/>
            </w:tcBorders>
            <w:shd w:val="clear" w:color="auto" w:fill="auto"/>
            <w:noWrap/>
            <w:vAlign w:val="bottom"/>
            <w:hideMark/>
          </w:tcPr>
          <w:p w14:paraId="280EF82A" w14:textId="77777777" w:rsidR="00104CB6" w:rsidRPr="00104CB6" w:rsidRDefault="00104CB6" w:rsidP="00104CB6">
            <w:pPr>
              <w:spacing w:after="0" w:line="240" w:lineRule="auto"/>
              <w:jc w:val="right"/>
              <w:rPr>
                <w:rFonts w:ascii="Times New Roman" w:eastAsia="Times New Roman" w:hAnsi="Times New Roman" w:cs="Times New Roman"/>
                <w:b/>
                <w:bCs/>
                <w:color w:val="000000"/>
                <w:lang w:val="it-IT" w:eastAsia="it-IT"/>
              </w:rPr>
            </w:pPr>
            <w:r w:rsidRPr="00104CB6">
              <w:rPr>
                <w:rFonts w:ascii="Times New Roman" w:eastAsia="Times New Roman" w:hAnsi="Times New Roman" w:cs="Times New Roman"/>
                <w:b/>
                <w:bCs/>
                <w:color w:val="000000"/>
                <w:lang w:val="it-IT" w:eastAsia="it-IT"/>
              </w:rPr>
              <w:t>2003</w:t>
            </w:r>
          </w:p>
        </w:tc>
        <w:tc>
          <w:tcPr>
            <w:tcW w:w="976" w:type="dxa"/>
            <w:tcBorders>
              <w:top w:val="nil"/>
              <w:left w:val="nil"/>
              <w:bottom w:val="single" w:sz="4" w:space="0" w:color="auto"/>
              <w:right w:val="nil"/>
            </w:tcBorders>
            <w:shd w:val="clear" w:color="auto" w:fill="auto"/>
            <w:noWrap/>
            <w:vAlign w:val="bottom"/>
            <w:hideMark/>
          </w:tcPr>
          <w:p w14:paraId="61532B90" w14:textId="77777777" w:rsidR="00104CB6" w:rsidRPr="00104CB6" w:rsidRDefault="00104CB6" w:rsidP="00104CB6">
            <w:pPr>
              <w:spacing w:after="0" w:line="240" w:lineRule="auto"/>
              <w:jc w:val="right"/>
              <w:rPr>
                <w:rFonts w:ascii="Times New Roman" w:eastAsia="Times New Roman" w:hAnsi="Times New Roman" w:cs="Times New Roman"/>
                <w:b/>
                <w:bCs/>
                <w:color w:val="000000"/>
                <w:lang w:val="it-IT" w:eastAsia="it-IT"/>
              </w:rPr>
            </w:pPr>
            <w:r w:rsidRPr="00104CB6">
              <w:rPr>
                <w:rFonts w:ascii="Times New Roman" w:eastAsia="Times New Roman" w:hAnsi="Times New Roman" w:cs="Times New Roman"/>
                <w:b/>
                <w:bCs/>
                <w:color w:val="000000"/>
                <w:lang w:val="it-IT" w:eastAsia="it-IT"/>
              </w:rPr>
              <w:t>2007</w:t>
            </w:r>
          </w:p>
        </w:tc>
        <w:tc>
          <w:tcPr>
            <w:tcW w:w="1420" w:type="dxa"/>
            <w:tcBorders>
              <w:top w:val="nil"/>
              <w:left w:val="nil"/>
              <w:bottom w:val="single" w:sz="4" w:space="0" w:color="auto"/>
              <w:right w:val="nil"/>
            </w:tcBorders>
            <w:shd w:val="clear" w:color="auto" w:fill="auto"/>
            <w:noWrap/>
            <w:vAlign w:val="bottom"/>
            <w:hideMark/>
          </w:tcPr>
          <w:p w14:paraId="4EBB1804" w14:textId="77777777" w:rsidR="00104CB6" w:rsidRPr="00104CB6" w:rsidRDefault="00104CB6" w:rsidP="00104CB6">
            <w:pPr>
              <w:spacing w:after="0" w:line="240" w:lineRule="auto"/>
              <w:jc w:val="right"/>
              <w:rPr>
                <w:rFonts w:ascii="Times New Roman" w:eastAsia="Times New Roman" w:hAnsi="Times New Roman" w:cs="Times New Roman"/>
                <w:b/>
                <w:bCs/>
                <w:color w:val="000000"/>
                <w:lang w:val="it-IT" w:eastAsia="it-IT"/>
              </w:rPr>
            </w:pPr>
            <w:r w:rsidRPr="00104CB6">
              <w:rPr>
                <w:rFonts w:ascii="Times New Roman" w:eastAsia="Times New Roman" w:hAnsi="Times New Roman" w:cs="Times New Roman"/>
                <w:b/>
                <w:bCs/>
                <w:color w:val="000000"/>
                <w:lang w:val="it-IT" w:eastAsia="it-IT"/>
              </w:rPr>
              <w:t>% 2007-1995</w:t>
            </w:r>
          </w:p>
        </w:tc>
      </w:tr>
      <w:tr w:rsidR="00104CB6" w:rsidRPr="00104CB6" w14:paraId="6DC0A086" w14:textId="77777777" w:rsidTr="00536379">
        <w:trPr>
          <w:trHeight w:val="300"/>
        </w:trPr>
        <w:tc>
          <w:tcPr>
            <w:tcW w:w="3568" w:type="dxa"/>
            <w:tcBorders>
              <w:top w:val="single" w:sz="4" w:space="0" w:color="auto"/>
              <w:left w:val="nil"/>
              <w:bottom w:val="nil"/>
              <w:right w:val="nil"/>
            </w:tcBorders>
            <w:shd w:val="clear" w:color="auto" w:fill="auto"/>
            <w:noWrap/>
            <w:vAlign w:val="bottom"/>
            <w:hideMark/>
          </w:tcPr>
          <w:p w14:paraId="4862A5A4" w14:textId="77777777" w:rsidR="00104CB6" w:rsidRPr="00104CB6" w:rsidRDefault="00DB569A" w:rsidP="00104CB6">
            <w:pPr>
              <w:spacing w:after="0" w:line="240" w:lineRule="auto"/>
              <w:rPr>
                <w:rFonts w:ascii="Times New Roman" w:eastAsia="Times New Roman" w:hAnsi="Times New Roman" w:cs="Times New Roman"/>
                <w:color w:val="000000"/>
                <w:lang w:val="it-IT" w:eastAsia="it-IT"/>
              </w:rPr>
            </w:pPr>
            <w:r>
              <w:rPr>
                <w:rFonts w:ascii="Times New Roman" w:eastAsia="Times New Roman" w:hAnsi="Times New Roman" w:cs="Times New Roman"/>
                <w:color w:val="000000"/>
                <w:lang w:val="it-IT" w:eastAsia="it-IT"/>
              </w:rPr>
              <w:t>European c</w:t>
            </w:r>
            <w:r w:rsidR="00104CB6" w:rsidRPr="00104CB6">
              <w:rPr>
                <w:rFonts w:ascii="Times New Roman" w:eastAsia="Times New Roman" w:hAnsi="Times New Roman" w:cs="Times New Roman"/>
                <w:color w:val="000000"/>
                <w:lang w:val="it-IT" w:eastAsia="it-IT"/>
              </w:rPr>
              <w:t>ountries</w:t>
            </w:r>
          </w:p>
        </w:tc>
        <w:tc>
          <w:tcPr>
            <w:tcW w:w="976" w:type="dxa"/>
            <w:tcBorders>
              <w:top w:val="single" w:sz="4" w:space="0" w:color="auto"/>
              <w:left w:val="nil"/>
              <w:bottom w:val="nil"/>
              <w:right w:val="nil"/>
            </w:tcBorders>
            <w:shd w:val="clear" w:color="auto" w:fill="auto"/>
            <w:noWrap/>
            <w:hideMark/>
          </w:tcPr>
          <w:p w14:paraId="0B7962EB" w14:textId="77777777" w:rsidR="00104CB6" w:rsidRPr="00104CB6" w:rsidRDefault="00104CB6" w:rsidP="00104CB6">
            <w:pPr>
              <w:spacing w:after="0" w:line="240" w:lineRule="auto"/>
              <w:jc w:val="right"/>
              <w:rPr>
                <w:rFonts w:ascii="Times New Roman" w:hAnsi="Times New Roman" w:cs="Times New Roman"/>
              </w:rPr>
            </w:pPr>
            <w:r w:rsidRPr="00104CB6">
              <w:rPr>
                <w:rFonts w:ascii="Times New Roman" w:hAnsi="Times New Roman" w:cs="Times New Roman"/>
              </w:rPr>
              <w:t>7,04</w:t>
            </w:r>
          </w:p>
        </w:tc>
        <w:tc>
          <w:tcPr>
            <w:tcW w:w="976" w:type="dxa"/>
            <w:tcBorders>
              <w:top w:val="single" w:sz="4" w:space="0" w:color="auto"/>
              <w:left w:val="nil"/>
              <w:bottom w:val="nil"/>
              <w:right w:val="nil"/>
            </w:tcBorders>
            <w:shd w:val="clear" w:color="auto" w:fill="auto"/>
            <w:noWrap/>
            <w:hideMark/>
          </w:tcPr>
          <w:p w14:paraId="4AD478C8" w14:textId="77777777" w:rsidR="00104CB6" w:rsidRPr="00104CB6" w:rsidRDefault="00104CB6" w:rsidP="00104CB6">
            <w:pPr>
              <w:spacing w:after="0" w:line="240" w:lineRule="auto"/>
              <w:jc w:val="right"/>
              <w:rPr>
                <w:rFonts w:ascii="Times New Roman" w:hAnsi="Times New Roman" w:cs="Times New Roman"/>
              </w:rPr>
            </w:pPr>
            <w:r w:rsidRPr="00104CB6">
              <w:rPr>
                <w:rFonts w:ascii="Times New Roman" w:hAnsi="Times New Roman" w:cs="Times New Roman"/>
              </w:rPr>
              <w:t>6,69</w:t>
            </w:r>
          </w:p>
        </w:tc>
        <w:tc>
          <w:tcPr>
            <w:tcW w:w="976" w:type="dxa"/>
            <w:tcBorders>
              <w:top w:val="single" w:sz="4" w:space="0" w:color="auto"/>
              <w:left w:val="nil"/>
              <w:bottom w:val="nil"/>
              <w:right w:val="nil"/>
            </w:tcBorders>
            <w:shd w:val="clear" w:color="auto" w:fill="auto"/>
            <w:noWrap/>
            <w:hideMark/>
          </w:tcPr>
          <w:p w14:paraId="542A7F53" w14:textId="77777777" w:rsidR="00104CB6" w:rsidRPr="00104CB6" w:rsidRDefault="00104CB6" w:rsidP="00104CB6">
            <w:pPr>
              <w:spacing w:after="0" w:line="240" w:lineRule="auto"/>
              <w:jc w:val="right"/>
              <w:rPr>
                <w:rFonts w:ascii="Times New Roman" w:hAnsi="Times New Roman" w:cs="Times New Roman"/>
              </w:rPr>
            </w:pPr>
            <w:r w:rsidRPr="00104CB6">
              <w:rPr>
                <w:rFonts w:ascii="Times New Roman" w:hAnsi="Times New Roman" w:cs="Times New Roman"/>
              </w:rPr>
              <w:t>6,53</w:t>
            </w:r>
          </w:p>
        </w:tc>
        <w:tc>
          <w:tcPr>
            <w:tcW w:w="976" w:type="dxa"/>
            <w:tcBorders>
              <w:top w:val="single" w:sz="4" w:space="0" w:color="auto"/>
              <w:left w:val="nil"/>
              <w:bottom w:val="nil"/>
              <w:right w:val="nil"/>
            </w:tcBorders>
            <w:shd w:val="clear" w:color="auto" w:fill="auto"/>
            <w:noWrap/>
            <w:hideMark/>
          </w:tcPr>
          <w:p w14:paraId="7D6377DA" w14:textId="77777777" w:rsidR="00104CB6" w:rsidRPr="00104CB6" w:rsidRDefault="00104CB6" w:rsidP="00104CB6">
            <w:pPr>
              <w:spacing w:after="0" w:line="240" w:lineRule="auto"/>
              <w:jc w:val="right"/>
              <w:rPr>
                <w:rFonts w:ascii="Times New Roman" w:hAnsi="Times New Roman" w:cs="Times New Roman"/>
              </w:rPr>
            </w:pPr>
            <w:r w:rsidRPr="00104CB6">
              <w:rPr>
                <w:rFonts w:ascii="Times New Roman" w:hAnsi="Times New Roman" w:cs="Times New Roman"/>
              </w:rPr>
              <w:t>5,88</w:t>
            </w:r>
          </w:p>
        </w:tc>
        <w:tc>
          <w:tcPr>
            <w:tcW w:w="1420" w:type="dxa"/>
            <w:tcBorders>
              <w:top w:val="single" w:sz="4" w:space="0" w:color="auto"/>
              <w:left w:val="nil"/>
              <w:bottom w:val="nil"/>
              <w:right w:val="nil"/>
            </w:tcBorders>
            <w:shd w:val="clear" w:color="auto" w:fill="auto"/>
            <w:noWrap/>
            <w:hideMark/>
          </w:tcPr>
          <w:p w14:paraId="6BF9EB31" w14:textId="77777777" w:rsidR="00104CB6" w:rsidRPr="00104CB6" w:rsidRDefault="00104CB6" w:rsidP="00104CB6">
            <w:pPr>
              <w:spacing w:after="0" w:line="240" w:lineRule="auto"/>
              <w:jc w:val="right"/>
              <w:rPr>
                <w:rFonts w:ascii="Times New Roman" w:hAnsi="Times New Roman" w:cs="Times New Roman"/>
              </w:rPr>
            </w:pPr>
            <w:r w:rsidRPr="00104CB6">
              <w:rPr>
                <w:rFonts w:ascii="Times New Roman" w:hAnsi="Times New Roman" w:cs="Times New Roman"/>
              </w:rPr>
              <w:t>-16,52</w:t>
            </w:r>
          </w:p>
        </w:tc>
      </w:tr>
      <w:tr w:rsidR="00104CB6" w:rsidRPr="00104CB6" w14:paraId="381B4782" w14:textId="77777777" w:rsidTr="00536379">
        <w:trPr>
          <w:trHeight w:val="300"/>
        </w:trPr>
        <w:tc>
          <w:tcPr>
            <w:tcW w:w="3568" w:type="dxa"/>
            <w:tcBorders>
              <w:top w:val="nil"/>
              <w:left w:val="nil"/>
              <w:bottom w:val="nil"/>
              <w:right w:val="nil"/>
            </w:tcBorders>
            <w:shd w:val="clear" w:color="auto" w:fill="auto"/>
            <w:noWrap/>
            <w:vAlign w:val="bottom"/>
            <w:hideMark/>
          </w:tcPr>
          <w:p w14:paraId="11DB19E9" w14:textId="77777777" w:rsidR="00104CB6" w:rsidRPr="00104CB6" w:rsidRDefault="00DB569A" w:rsidP="00104CB6">
            <w:pPr>
              <w:spacing w:after="0" w:line="240" w:lineRule="auto"/>
              <w:rPr>
                <w:rFonts w:ascii="Times New Roman" w:eastAsia="Times New Roman" w:hAnsi="Times New Roman" w:cs="Times New Roman"/>
                <w:color w:val="000000"/>
                <w:lang w:val="it-IT" w:eastAsia="it-IT"/>
              </w:rPr>
            </w:pPr>
            <w:r>
              <w:rPr>
                <w:rFonts w:ascii="Times New Roman" w:eastAsia="Times New Roman" w:hAnsi="Times New Roman" w:cs="Times New Roman"/>
                <w:color w:val="000000"/>
                <w:lang w:val="it-IT" w:eastAsia="it-IT"/>
              </w:rPr>
              <w:t>Eastern European c</w:t>
            </w:r>
            <w:r w:rsidR="00104CB6" w:rsidRPr="00104CB6">
              <w:rPr>
                <w:rFonts w:ascii="Times New Roman" w:eastAsia="Times New Roman" w:hAnsi="Times New Roman" w:cs="Times New Roman"/>
                <w:color w:val="000000"/>
                <w:lang w:val="it-IT" w:eastAsia="it-IT"/>
              </w:rPr>
              <w:t>ountries</w:t>
            </w:r>
          </w:p>
        </w:tc>
        <w:tc>
          <w:tcPr>
            <w:tcW w:w="976" w:type="dxa"/>
            <w:tcBorders>
              <w:top w:val="nil"/>
              <w:left w:val="nil"/>
              <w:bottom w:val="nil"/>
              <w:right w:val="nil"/>
            </w:tcBorders>
            <w:shd w:val="clear" w:color="auto" w:fill="auto"/>
            <w:noWrap/>
            <w:hideMark/>
          </w:tcPr>
          <w:p w14:paraId="1D7DC268" w14:textId="77777777" w:rsidR="00104CB6" w:rsidRPr="00104CB6" w:rsidRDefault="00104CB6" w:rsidP="00104CB6">
            <w:pPr>
              <w:spacing w:after="0" w:line="240" w:lineRule="auto"/>
              <w:jc w:val="right"/>
              <w:rPr>
                <w:rFonts w:ascii="Times New Roman" w:hAnsi="Times New Roman" w:cs="Times New Roman"/>
              </w:rPr>
            </w:pPr>
            <w:r w:rsidRPr="00104CB6">
              <w:rPr>
                <w:rFonts w:ascii="Times New Roman" w:hAnsi="Times New Roman" w:cs="Times New Roman"/>
              </w:rPr>
              <w:t>12,70</w:t>
            </w:r>
          </w:p>
        </w:tc>
        <w:tc>
          <w:tcPr>
            <w:tcW w:w="976" w:type="dxa"/>
            <w:tcBorders>
              <w:top w:val="nil"/>
              <w:left w:val="nil"/>
              <w:bottom w:val="nil"/>
              <w:right w:val="nil"/>
            </w:tcBorders>
            <w:shd w:val="clear" w:color="auto" w:fill="auto"/>
            <w:noWrap/>
            <w:hideMark/>
          </w:tcPr>
          <w:p w14:paraId="7C97E38C" w14:textId="77777777" w:rsidR="00104CB6" w:rsidRPr="00104CB6" w:rsidRDefault="00104CB6" w:rsidP="00104CB6">
            <w:pPr>
              <w:spacing w:after="0" w:line="240" w:lineRule="auto"/>
              <w:jc w:val="right"/>
              <w:rPr>
                <w:rFonts w:ascii="Times New Roman" w:hAnsi="Times New Roman" w:cs="Times New Roman"/>
              </w:rPr>
            </w:pPr>
            <w:r w:rsidRPr="00104CB6">
              <w:rPr>
                <w:rFonts w:ascii="Times New Roman" w:hAnsi="Times New Roman" w:cs="Times New Roman"/>
              </w:rPr>
              <w:t>10,45</w:t>
            </w:r>
          </w:p>
        </w:tc>
        <w:tc>
          <w:tcPr>
            <w:tcW w:w="976" w:type="dxa"/>
            <w:tcBorders>
              <w:top w:val="nil"/>
              <w:left w:val="nil"/>
              <w:bottom w:val="nil"/>
              <w:right w:val="nil"/>
            </w:tcBorders>
            <w:shd w:val="clear" w:color="auto" w:fill="auto"/>
            <w:noWrap/>
            <w:hideMark/>
          </w:tcPr>
          <w:p w14:paraId="6A0174E8" w14:textId="77777777" w:rsidR="00104CB6" w:rsidRPr="00104CB6" w:rsidRDefault="00104CB6" w:rsidP="00104CB6">
            <w:pPr>
              <w:spacing w:after="0" w:line="240" w:lineRule="auto"/>
              <w:jc w:val="right"/>
              <w:rPr>
                <w:rFonts w:ascii="Times New Roman" w:hAnsi="Times New Roman" w:cs="Times New Roman"/>
              </w:rPr>
            </w:pPr>
            <w:r w:rsidRPr="00104CB6">
              <w:rPr>
                <w:rFonts w:ascii="Times New Roman" w:hAnsi="Times New Roman" w:cs="Times New Roman"/>
              </w:rPr>
              <w:t>9,52</w:t>
            </w:r>
          </w:p>
        </w:tc>
        <w:tc>
          <w:tcPr>
            <w:tcW w:w="976" w:type="dxa"/>
            <w:tcBorders>
              <w:top w:val="nil"/>
              <w:left w:val="nil"/>
              <w:bottom w:val="nil"/>
              <w:right w:val="nil"/>
            </w:tcBorders>
            <w:shd w:val="clear" w:color="auto" w:fill="auto"/>
            <w:noWrap/>
            <w:hideMark/>
          </w:tcPr>
          <w:p w14:paraId="54EEDCA5" w14:textId="77777777" w:rsidR="00104CB6" w:rsidRPr="00104CB6" w:rsidRDefault="00104CB6" w:rsidP="00104CB6">
            <w:pPr>
              <w:spacing w:after="0" w:line="240" w:lineRule="auto"/>
              <w:jc w:val="right"/>
              <w:rPr>
                <w:rFonts w:ascii="Times New Roman" w:hAnsi="Times New Roman" w:cs="Times New Roman"/>
              </w:rPr>
            </w:pPr>
            <w:r w:rsidRPr="00104CB6">
              <w:rPr>
                <w:rFonts w:ascii="Times New Roman" w:hAnsi="Times New Roman" w:cs="Times New Roman"/>
              </w:rPr>
              <w:t>7,95</w:t>
            </w:r>
          </w:p>
        </w:tc>
        <w:tc>
          <w:tcPr>
            <w:tcW w:w="1420" w:type="dxa"/>
            <w:tcBorders>
              <w:top w:val="nil"/>
              <w:left w:val="nil"/>
              <w:bottom w:val="nil"/>
              <w:right w:val="nil"/>
            </w:tcBorders>
            <w:shd w:val="clear" w:color="auto" w:fill="auto"/>
            <w:noWrap/>
            <w:hideMark/>
          </w:tcPr>
          <w:p w14:paraId="6A938326" w14:textId="77777777" w:rsidR="00104CB6" w:rsidRPr="00104CB6" w:rsidRDefault="00104CB6" w:rsidP="00104CB6">
            <w:pPr>
              <w:spacing w:after="0" w:line="240" w:lineRule="auto"/>
              <w:jc w:val="right"/>
              <w:rPr>
                <w:rFonts w:ascii="Times New Roman" w:hAnsi="Times New Roman" w:cs="Times New Roman"/>
              </w:rPr>
            </w:pPr>
            <w:r w:rsidRPr="00104CB6">
              <w:rPr>
                <w:rFonts w:ascii="Times New Roman" w:hAnsi="Times New Roman" w:cs="Times New Roman"/>
              </w:rPr>
              <w:t>-37,34</w:t>
            </w:r>
          </w:p>
        </w:tc>
      </w:tr>
      <w:tr w:rsidR="00104CB6" w:rsidRPr="00104CB6" w14:paraId="557B461B" w14:textId="77777777" w:rsidTr="00536379">
        <w:trPr>
          <w:trHeight w:val="300"/>
        </w:trPr>
        <w:tc>
          <w:tcPr>
            <w:tcW w:w="3568" w:type="dxa"/>
            <w:tcBorders>
              <w:top w:val="nil"/>
              <w:left w:val="nil"/>
              <w:right w:val="nil"/>
            </w:tcBorders>
            <w:shd w:val="clear" w:color="auto" w:fill="auto"/>
            <w:noWrap/>
            <w:vAlign w:val="bottom"/>
            <w:hideMark/>
          </w:tcPr>
          <w:p w14:paraId="099325FD" w14:textId="77777777" w:rsidR="00104CB6" w:rsidRPr="00104CB6" w:rsidRDefault="00DB569A" w:rsidP="00104CB6">
            <w:pPr>
              <w:spacing w:after="0" w:line="240" w:lineRule="auto"/>
              <w:rPr>
                <w:rFonts w:ascii="Times New Roman" w:eastAsia="Times New Roman" w:hAnsi="Times New Roman" w:cs="Times New Roman"/>
                <w:color w:val="000000"/>
                <w:lang w:val="it-IT" w:eastAsia="it-IT"/>
              </w:rPr>
            </w:pPr>
            <w:r>
              <w:rPr>
                <w:rFonts w:ascii="Times New Roman" w:eastAsia="Times New Roman" w:hAnsi="Times New Roman" w:cs="Times New Roman"/>
                <w:color w:val="000000"/>
                <w:lang w:val="it-IT" w:eastAsia="it-IT"/>
              </w:rPr>
              <w:t>Developed non-European c</w:t>
            </w:r>
            <w:r w:rsidR="00104CB6" w:rsidRPr="00104CB6">
              <w:rPr>
                <w:rFonts w:ascii="Times New Roman" w:eastAsia="Times New Roman" w:hAnsi="Times New Roman" w:cs="Times New Roman"/>
                <w:color w:val="000000"/>
                <w:lang w:val="it-IT" w:eastAsia="it-IT"/>
              </w:rPr>
              <w:t>ountries</w:t>
            </w:r>
          </w:p>
        </w:tc>
        <w:tc>
          <w:tcPr>
            <w:tcW w:w="976" w:type="dxa"/>
            <w:tcBorders>
              <w:top w:val="nil"/>
              <w:left w:val="nil"/>
              <w:right w:val="nil"/>
            </w:tcBorders>
            <w:shd w:val="clear" w:color="auto" w:fill="auto"/>
            <w:noWrap/>
            <w:hideMark/>
          </w:tcPr>
          <w:p w14:paraId="6D2513A1" w14:textId="77777777" w:rsidR="00104CB6" w:rsidRPr="00104CB6" w:rsidRDefault="00104CB6" w:rsidP="00104CB6">
            <w:pPr>
              <w:spacing w:after="0" w:line="240" w:lineRule="auto"/>
              <w:jc w:val="right"/>
              <w:rPr>
                <w:rFonts w:ascii="Times New Roman" w:hAnsi="Times New Roman" w:cs="Times New Roman"/>
              </w:rPr>
            </w:pPr>
            <w:r w:rsidRPr="00104CB6">
              <w:rPr>
                <w:rFonts w:ascii="Times New Roman" w:hAnsi="Times New Roman" w:cs="Times New Roman"/>
              </w:rPr>
              <w:t>10,90</w:t>
            </w:r>
          </w:p>
        </w:tc>
        <w:tc>
          <w:tcPr>
            <w:tcW w:w="976" w:type="dxa"/>
            <w:tcBorders>
              <w:top w:val="nil"/>
              <w:left w:val="nil"/>
              <w:right w:val="nil"/>
            </w:tcBorders>
            <w:shd w:val="clear" w:color="auto" w:fill="auto"/>
            <w:noWrap/>
            <w:hideMark/>
          </w:tcPr>
          <w:p w14:paraId="426EF496" w14:textId="77777777" w:rsidR="00104CB6" w:rsidRPr="00104CB6" w:rsidRDefault="00104CB6" w:rsidP="00104CB6">
            <w:pPr>
              <w:spacing w:after="0" w:line="240" w:lineRule="auto"/>
              <w:jc w:val="right"/>
              <w:rPr>
                <w:rFonts w:ascii="Times New Roman" w:hAnsi="Times New Roman" w:cs="Times New Roman"/>
              </w:rPr>
            </w:pPr>
            <w:r w:rsidRPr="00104CB6">
              <w:rPr>
                <w:rFonts w:ascii="Times New Roman" w:hAnsi="Times New Roman" w:cs="Times New Roman"/>
              </w:rPr>
              <w:t>10,03</w:t>
            </w:r>
          </w:p>
        </w:tc>
        <w:tc>
          <w:tcPr>
            <w:tcW w:w="976" w:type="dxa"/>
            <w:tcBorders>
              <w:top w:val="nil"/>
              <w:left w:val="nil"/>
              <w:right w:val="nil"/>
            </w:tcBorders>
            <w:shd w:val="clear" w:color="auto" w:fill="auto"/>
            <w:noWrap/>
            <w:hideMark/>
          </w:tcPr>
          <w:p w14:paraId="35A9E3F4" w14:textId="77777777" w:rsidR="00104CB6" w:rsidRPr="00104CB6" w:rsidRDefault="00104CB6" w:rsidP="00104CB6">
            <w:pPr>
              <w:spacing w:after="0" w:line="240" w:lineRule="auto"/>
              <w:jc w:val="right"/>
              <w:rPr>
                <w:rFonts w:ascii="Times New Roman" w:hAnsi="Times New Roman" w:cs="Times New Roman"/>
              </w:rPr>
            </w:pPr>
            <w:r w:rsidRPr="00104CB6">
              <w:rPr>
                <w:rFonts w:ascii="Times New Roman" w:hAnsi="Times New Roman" w:cs="Times New Roman"/>
              </w:rPr>
              <w:t>9,33</w:t>
            </w:r>
          </w:p>
        </w:tc>
        <w:tc>
          <w:tcPr>
            <w:tcW w:w="976" w:type="dxa"/>
            <w:tcBorders>
              <w:top w:val="nil"/>
              <w:left w:val="nil"/>
              <w:right w:val="nil"/>
            </w:tcBorders>
            <w:shd w:val="clear" w:color="auto" w:fill="auto"/>
            <w:noWrap/>
            <w:hideMark/>
          </w:tcPr>
          <w:p w14:paraId="519AC9BA" w14:textId="77777777" w:rsidR="00104CB6" w:rsidRPr="00104CB6" w:rsidRDefault="00104CB6" w:rsidP="00104CB6">
            <w:pPr>
              <w:spacing w:after="0" w:line="240" w:lineRule="auto"/>
              <w:jc w:val="right"/>
              <w:rPr>
                <w:rFonts w:ascii="Times New Roman" w:hAnsi="Times New Roman" w:cs="Times New Roman"/>
              </w:rPr>
            </w:pPr>
            <w:r w:rsidRPr="00104CB6">
              <w:rPr>
                <w:rFonts w:ascii="Times New Roman" w:hAnsi="Times New Roman" w:cs="Times New Roman"/>
              </w:rPr>
              <w:t>8,60</w:t>
            </w:r>
          </w:p>
        </w:tc>
        <w:tc>
          <w:tcPr>
            <w:tcW w:w="1420" w:type="dxa"/>
            <w:tcBorders>
              <w:top w:val="nil"/>
              <w:left w:val="nil"/>
              <w:right w:val="nil"/>
            </w:tcBorders>
            <w:shd w:val="clear" w:color="auto" w:fill="auto"/>
            <w:noWrap/>
            <w:hideMark/>
          </w:tcPr>
          <w:p w14:paraId="3A39C65A" w14:textId="77777777" w:rsidR="00104CB6" w:rsidRPr="00104CB6" w:rsidRDefault="00104CB6" w:rsidP="00104CB6">
            <w:pPr>
              <w:spacing w:after="0" w:line="240" w:lineRule="auto"/>
              <w:jc w:val="right"/>
              <w:rPr>
                <w:rFonts w:ascii="Times New Roman" w:hAnsi="Times New Roman" w:cs="Times New Roman"/>
              </w:rPr>
            </w:pPr>
            <w:r w:rsidRPr="00104CB6">
              <w:rPr>
                <w:rFonts w:ascii="Times New Roman" w:hAnsi="Times New Roman" w:cs="Times New Roman"/>
              </w:rPr>
              <w:t>-21,06</w:t>
            </w:r>
          </w:p>
        </w:tc>
      </w:tr>
      <w:tr w:rsidR="00104CB6" w:rsidRPr="00104CB6" w14:paraId="2ECAC58D" w14:textId="77777777" w:rsidTr="00536379">
        <w:trPr>
          <w:trHeight w:val="300"/>
        </w:trPr>
        <w:tc>
          <w:tcPr>
            <w:tcW w:w="3568" w:type="dxa"/>
            <w:tcBorders>
              <w:top w:val="nil"/>
              <w:left w:val="nil"/>
              <w:bottom w:val="single" w:sz="4" w:space="0" w:color="auto"/>
              <w:right w:val="nil"/>
            </w:tcBorders>
            <w:shd w:val="clear" w:color="auto" w:fill="auto"/>
            <w:noWrap/>
            <w:vAlign w:val="bottom"/>
            <w:hideMark/>
          </w:tcPr>
          <w:p w14:paraId="753D6AB9" w14:textId="77777777" w:rsidR="00104CB6" w:rsidRPr="00104CB6" w:rsidRDefault="00104CB6" w:rsidP="00104CB6">
            <w:pPr>
              <w:spacing w:after="0" w:line="240" w:lineRule="auto"/>
              <w:rPr>
                <w:rFonts w:ascii="Times New Roman" w:eastAsia="Times New Roman" w:hAnsi="Times New Roman" w:cs="Times New Roman"/>
                <w:color w:val="000000"/>
                <w:lang w:val="it-IT" w:eastAsia="it-IT"/>
              </w:rPr>
            </w:pPr>
            <w:r w:rsidRPr="00104CB6">
              <w:rPr>
                <w:rFonts w:ascii="Times New Roman" w:eastAsia="Times New Roman" w:hAnsi="Times New Roman" w:cs="Times New Roman"/>
                <w:color w:val="000000"/>
                <w:lang w:val="it-IT" w:eastAsia="it-IT"/>
              </w:rPr>
              <w:t>Developing countries</w:t>
            </w:r>
          </w:p>
        </w:tc>
        <w:tc>
          <w:tcPr>
            <w:tcW w:w="976" w:type="dxa"/>
            <w:tcBorders>
              <w:top w:val="nil"/>
              <w:left w:val="nil"/>
              <w:bottom w:val="single" w:sz="4" w:space="0" w:color="auto"/>
              <w:right w:val="nil"/>
            </w:tcBorders>
            <w:shd w:val="clear" w:color="auto" w:fill="auto"/>
            <w:noWrap/>
            <w:hideMark/>
          </w:tcPr>
          <w:p w14:paraId="50343125" w14:textId="77777777" w:rsidR="00104CB6" w:rsidRPr="00104CB6" w:rsidRDefault="00104CB6" w:rsidP="00104CB6">
            <w:pPr>
              <w:spacing w:after="0" w:line="240" w:lineRule="auto"/>
              <w:jc w:val="right"/>
              <w:rPr>
                <w:rFonts w:ascii="Times New Roman" w:hAnsi="Times New Roman" w:cs="Times New Roman"/>
              </w:rPr>
            </w:pPr>
            <w:r w:rsidRPr="00104CB6">
              <w:rPr>
                <w:rFonts w:ascii="Times New Roman" w:hAnsi="Times New Roman" w:cs="Times New Roman"/>
              </w:rPr>
              <w:t>11,59</w:t>
            </w:r>
          </w:p>
        </w:tc>
        <w:tc>
          <w:tcPr>
            <w:tcW w:w="976" w:type="dxa"/>
            <w:tcBorders>
              <w:top w:val="nil"/>
              <w:left w:val="nil"/>
              <w:bottom w:val="single" w:sz="4" w:space="0" w:color="auto"/>
              <w:right w:val="nil"/>
            </w:tcBorders>
            <w:shd w:val="clear" w:color="auto" w:fill="auto"/>
            <w:noWrap/>
            <w:hideMark/>
          </w:tcPr>
          <w:p w14:paraId="7D4E2EAE" w14:textId="77777777" w:rsidR="00104CB6" w:rsidRPr="00104CB6" w:rsidRDefault="00104CB6" w:rsidP="00104CB6">
            <w:pPr>
              <w:spacing w:after="0" w:line="240" w:lineRule="auto"/>
              <w:jc w:val="right"/>
              <w:rPr>
                <w:rFonts w:ascii="Times New Roman" w:hAnsi="Times New Roman" w:cs="Times New Roman"/>
              </w:rPr>
            </w:pPr>
            <w:r w:rsidRPr="00104CB6">
              <w:rPr>
                <w:rFonts w:ascii="Times New Roman" w:hAnsi="Times New Roman" w:cs="Times New Roman"/>
              </w:rPr>
              <w:t>9,90</w:t>
            </w:r>
          </w:p>
        </w:tc>
        <w:tc>
          <w:tcPr>
            <w:tcW w:w="976" w:type="dxa"/>
            <w:tcBorders>
              <w:top w:val="nil"/>
              <w:left w:val="nil"/>
              <w:bottom w:val="single" w:sz="4" w:space="0" w:color="auto"/>
              <w:right w:val="nil"/>
            </w:tcBorders>
            <w:shd w:val="clear" w:color="auto" w:fill="auto"/>
            <w:noWrap/>
            <w:hideMark/>
          </w:tcPr>
          <w:p w14:paraId="3B61CC09" w14:textId="77777777" w:rsidR="00104CB6" w:rsidRPr="00104CB6" w:rsidRDefault="00104CB6" w:rsidP="00104CB6">
            <w:pPr>
              <w:spacing w:after="0" w:line="240" w:lineRule="auto"/>
              <w:jc w:val="right"/>
              <w:rPr>
                <w:rFonts w:ascii="Times New Roman" w:hAnsi="Times New Roman" w:cs="Times New Roman"/>
              </w:rPr>
            </w:pPr>
            <w:r w:rsidRPr="00104CB6">
              <w:rPr>
                <w:rFonts w:ascii="Times New Roman" w:hAnsi="Times New Roman" w:cs="Times New Roman"/>
              </w:rPr>
              <w:t>9,36</w:t>
            </w:r>
          </w:p>
        </w:tc>
        <w:tc>
          <w:tcPr>
            <w:tcW w:w="976" w:type="dxa"/>
            <w:tcBorders>
              <w:top w:val="nil"/>
              <w:left w:val="nil"/>
              <w:bottom w:val="single" w:sz="4" w:space="0" w:color="auto"/>
              <w:right w:val="nil"/>
            </w:tcBorders>
            <w:shd w:val="clear" w:color="auto" w:fill="auto"/>
            <w:noWrap/>
            <w:hideMark/>
          </w:tcPr>
          <w:p w14:paraId="31DD54CE" w14:textId="77777777" w:rsidR="00104CB6" w:rsidRPr="00104CB6" w:rsidRDefault="00104CB6" w:rsidP="00104CB6">
            <w:pPr>
              <w:spacing w:after="0" w:line="240" w:lineRule="auto"/>
              <w:jc w:val="right"/>
              <w:rPr>
                <w:rFonts w:ascii="Times New Roman" w:hAnsi="Times New Roman" w:cs="Times New Roman"/>
              </w:rPr>
            </w:pPr>
            <w:r w:rsidRPr="00104CB6">
              <w:rPr>
                <w:rFonts w:ascii="Times New Roman" w:hAnsi="Times New Roman" w:cs="Times New Roman"/>
              </w:rPr>
              <w:t>9,02</w:t>
            </w:r>
          </w:p>
        </w:tc>
        <w:tc>
          <w:tcPr>
            <w:tcW w:w="1420" w:type="dxa"/>
            <w:tcBorders>
              <w:top w:val="nil"/>
              <w:left w:val="nil"/>
              <w:bottom w:val="single" w:sz="4" w:space="0" w:color="auto"/>
              <w:right w:val="nil"/>
            </w:tcBorders>
            <w:shd w:val="clear" w:color="auto" w:fill="auto"/>
            <w:noWrap/>
            <w:hideMark/>
          </w:tcPr>
          <w:p w14:paraId="130B2D05" w14:textId="77777777" w:rsidR="00104CB6" w:rsidRPr="00104CB6" w:rsidRDefault="00104CB6" w:rsidP="00104CB6">
            <w:pPr>
              <w:spacing w:after="0" w:line="240" w:lineRule="auto"/>
              <w:jc w:val="right"/>
              <w:rPr>
                <w:rFonts w:ascii="Times New Roman" w:hAnsi="Times New Roman" w:cs="Times New Roman"/>
              </w:rPr>
            </w:pPr>
            <w:r w:rsidRPr="00104CB6">
              <w:rPr>
                <w:rFonts w:ascii="Times New Roman" w:hAnsi="Times New Roman" w:cs="Times New Roman"/>
              </w:rPr>
              <w:t>-22,18</w:t>
            </w:r>
          </w:p>
        </w:tc>
      </w:tr>
    </w:tbl>
    <w:p w14:paraId="3409768F" w14:textId="77777777" w:rsidR="00D04448" w:rsidRPr="00D04448" w:rsidRDefault="00D04448" w:rsidP="00D04448">
      <w:pPr>
        <w:spacing w:line="360" w:lineRule="auto"/>
        <w:jc w:val="both"/>
        <w:rPr>
          <w:rFonts w:ascii="Times New Roman" w:hAnsi="Times New Roman" w:cs="Times New Roman"/>
          <w:sz w:val="20"/>
          <w:szCs w:val="20"/>
        </w:rPr>
      </w:pPr>
      <w:r w:rsidRPr="00D04448">
        <w:rPr>
          <w:rFonts w:ascii="Times New Roman" w:hAnsi="Times New Roman" w:cs="Times New Roman"/>
          <w:sz w:val="20"/>
          <w:szCs w:val="20"/>
        </w:rPr>
        <w:t xml:space="preserve">Source: </w:t>
      </w:r>
      <w:r w:rsidR="00A5002C">
        <w:rPr>
          <w:rFonts w:ascii="Times New Roman" w:hAnsi="Times New Roman" w:cs="Times New Roman"/>
          <w:sz w:val="20"/>
          <w:szCs w:val="20"/>
        </w:rPr>
        <w:t>[9, 21]</w:t>
      </w:r>
    </w:p>
    <w:p w14:paraId="6A161899" w14:textId="77777777" w:rsidR="00192F25" w:rsidRDefault="00DB569A" w:rsidP="00803AB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the following section the data reported above are disaggregated and analysed for the 31 </w:t>
      </w:r>
      <w:r w:rsidR="0018551C">
        <w:rPr>
          <w:rFonts w:ascii="Times New Roman" w:hAnsi="Times New Roman" w:cs="Times New Roman"/>
          <w:sz w:val="24"/>
          <w:szCs w:val="24"/>
        </w:rPr>
        <w:t xml:space="preserve">world </w:t>
      </w:r>
      <w:r>
        <w:rPr>
          <w:rFonts w:ascii="Times New Roman" w:hAnsi="Times New Roman" w:cs="Times New Roman"/>
          <w:sz w:val="24"/>
          <w:szCs w:val="24"/>
        </w:rPr>
        <w:t>countries considered in the paper.</w:t>
      </w:r>
    </w:p>
    <w:p w14:paraId="6CBA9ED0" w14:textId="77777777" w:rsidR="009653E2" w:rsidRPr="00803ABC" w:rsidRDefault="009653E2" w:rsidP="00803ABC">
      <w:pPr>
        <w:spacing w:line="360" w:lineRule="auto"/>
        <w:jc w:val="both"/>
        <w:rPr>
          <w:rFonts w:ascii="Times New Roman" w:hAnsi="Times New Roman" w:cs="Times New Roman"/>
          <w:sz w:val="24"/>
          <w:szCs w:val="24"/>
        </w:rPr>
      </w:pPr>
    </w:p>
    <w:p w14:paraId="4E6B8DB8" w14:textId="77777777" w:rsidR="00043858" w:rsidRPr="00D04448" w:rsidRDefault="00043858" w:rsidP="00D04448">
      <w:pPr>
        <w:pStyle w:val="Paragrafoelenco"/>
        <w:numPr>
          <w:ilvl w:val="1"/>
          <w:numId w:val="19"/>
        </w:numPr>
        <w:spacing w:line="360" w:lineRule="auto"/>
        <w:jc w:val="both"/>
        <w:rPr>
          <w:rFonts w:ascii="Times New Roman" w:hAnsi="Times New Roman" w:cs="Times New Roman"/>
          <w:i/>
          <w:sz w:val="24"/>
          <w:szCs w:val="24"/>
        </w:rPr>
      </w:pPr>
      <w:r w:rsidRPr="00D04448">
        <w:rPr>
          <w:rFonts w:ascii="Times New Roman" w:hAnsi="Times New Roman" w:cs="Times New Roman"/>
          <w:i/>
          <w:sz w:val="24"/>
          <w:szCs w:val="24"/>
        </w:rPr>
        <w:t xml:space="preserve">GDP </w:t>
      </w:r>
      <w:r w:rsidR="00D0275D" w:rsidRPr="00D04448">
        <w:rPr>
          <w:rFonts w:ascii="Times New Roman" w:hAnsi="Times New Roman" w:cs="Times New Roman"/>
          <w:i/>
          <w:sz w:val="24"/>
          <w:szCs w:val="24"/>
        </w:rPr>
        <w:t>and CO</w:t>
      </w:r>
      <w:r w:rsidR="00D0275D" w:rsidRPr="00D04448">
        <w:rPr>
          <w:rFonts w:ascii="Times New Roman" w:hAnsi="Times New Roman" w:cs="Times New Roman"/>
          <w:i/>
          <w:sz w:val="24"/>
          <w:szCs w:val="24"/>
          <w:vertAlign w:val="subscript"/>
        </w:rPr>
        <w:t>2</w:t>
      </w:r>
      <w:r w:rsidR="00D0275D" w:rsidRPr="00D04448">
        <w:rPr>
          <w:rFonts w:ascii="Times New Roman" w:hAnsi="Times New Roman" w:cs="Times New Roman"/>
          <w:i/>
          <w:sz w:val="24"/>
          <w:szCs w:val="24"/>
        </w:rPr>
        <w:t xml:space="preserve"> </w:t>
      </w:r>
      <w:r w:rsidRPr="00D04448">
        <w:rPr>
          <w:rFonts w:ascii="Times New Roman" w:hAnsi="Times New Roman" w:cs="Times New Roman"/>
          <w:i/>
          <w:sz w:val="24"/>
          <w:szCs w:val="24"/>
        </w:rPr>
        <w:t>variations:</w:t>
      </w:r>
    </w:p>
    <w:p w14:paraId="0F28A4F0" w14:textId="294ADE3B" w:rsidR="00104CE1" w:rsidRDefault="00043858" w:rsidP="00104CE1">
      <w:pPr>
        <w:spacing w:after="0" w:line="360" w:lineRule="auto"/>
        <w:jc w:val="both"/>
        <w:rPr>
          <w:rFonts w:ascii="Times New Roman" w:hAnsi="Times New Roman" w:cs="Times New Roman"/>
          <w:sz w:val="24"/>
          <w:szCs w:val="24"/>
        </w:rPr>
      </w:pPr>
      <w:r w:rsidRPr="00803ABC">
        <w:rPr>
          <w:rFonts w:ascii="Times New Roman" w:hAnsi="Times New Roman" w:cs="Times New Roman"/>
          <w:sz w:val="24"/>
          <w:szCs w:val="24"/>
        </w:rPr>
        <w:t>Acc</w:t>
      </w:r>
      <w:r w:rsidR="00B369D4">
        <w:rPr>
          <w:rFonts w:ascii="Times New Roman" w:hAnsi="Times New Roman" w:cs="Times New Roman"/>
          <w:sz w:val="24"/>
          <w:szCs w:val="24"/>
        </w:rPr>
        <w:t>ording to data reported in Figure</w:t>
      </w:r>
      <w:r w:rsidR="005B153B">
        <w:rPr>
          <w:rFonts w:ascii="Times New Roman" w:hAnsi="Times New Roman" w:cs="Times New Roman"/>
          <w:sz w:val="24"/>
          <w:szCs w:val="24"/>
        </w:rPr>
        <w:t>s</w:t>
      </w:r>
      <w:r w:rsidR="00CE59C4">
        <w:rPr>
          <w:rFonts w:ascii="Times New Roman" w:hAnsi="Times New Roman" w:cs="Times New Roman"/>
          <w:sz w:val="24"/>
          <w:szCs w:val="24"/>
        </w:rPr>
        <w:t xml:space="preserve"> 4</w:t>
      </w:r>
      <w:r w:rsidR="000127B2">
        <w:rPr>
          <w:rFonts w:ascii="Times New Roman" w:hAnsi="Times New Roman" w:cs="Times New Roman"/>
          <w:sz w:val="24"/>
          <w:szCs w:val="24"/>
        </w:rPr>
        <w:t>a and b</w:t>
      </w:r>
      <w:r w:rsidR="00D0275D" w:rsidRPr="00803ABC">
        <w:rPr>
          <w:rFonts w:ascii="Times New Roman" w:hAnsi="Times New Roman" w:cs="Times New Roman"/>
          <w:sz w:val="24"/>
          <w:szCs w:val="24"/>
        </w:rPr>
        <w:t>,</w:t>
      </w:r>
      <w:r w:rsidRPr="00803ABC">
        <w:rPr>
          <w:rFonts w:ascii="Times New Roman" w:hAnsi="Times New Roman" w:cs="Times New Roman"/>
          <w:sz w:val="24"/>
          <w:szCs w:val="24"/>
        </w:rPr>
        <w:t xml:space="preserve"> all the countries considered in this paper performed a GDP increase between 1995 and 2007</w:t>
      </w:r>
      <w:r w:rsidR="005B153B">
        <w:rPr>
          <w:rStyle w:val="Rimandonotaapidipagina"/>
          <w:rFonts w:ascii="Times New Roman" w:hAnsi="Times New Roman" w:cs="Times New Roman"/>
          <w:sz w:val="24"/>
          <w:szCs w:val="24"/>
        </w:rPr>
        <w:footnoteReference w:id="2"/>
      </w:r>
      <w:r w:rsidRPr="00803ABC">
        <w:rPr>
          <w:rFonts w:ascii="Times New Roman" w:hAnsi="Times New Roman" w:cs="Times New Roman"/>
          <w:sz w:val="24"/>
          <w:szCs w:val="24"/>
        </w:rPr>
        <w:t>.</w:t>
      </w:r>
      <w:r w:rsidR="00D0275D" w:rsidRPr="00803ABC">
        <w:rPr>
          <w:rFonts w:ascii="Times New Roman" w:hAnsi="Times New Roman" w:cs="Times New Roman"/>
          <w:sz w:val="24"/>
          <w:szCs w:val="24"/>
        </w:rPr>
        <w:t xml:space="preserve"> </w:t>
      </w:r>
      <w:r w:rsidR="00035E87">
        <w:rPr>
          <w:rFonts w:ascii="Times New Roman" w:hAnsi="Times New Roman" w:cs="Times New Roman"/>
          <w:sz w:val="24"/>
          <w:szCs w:val="24"/>
        </w:rPr>
        <w:t xml:space="preserve">During the period considered, </w:t>
      </w:r>
      <w:r w:rsidR="006307FF">
        <w:rPr>
          <w:rFonts w:ascii="Times New Roman" w:hAnsi="Times New Roman" w:cs="Times New Roman"/>
          <w:sz w:val="24"/>
          <w:szCs w:val="24"/>
        </w:rPr>
        <w:t xml:space="preserve">China had the largest </w:t>
      </w:r>
      <w:r w:rsidR="00035E87">
        <w:rPr>
          <w:rFonts w:ascii="Times New Roman" w:hAnsi="Times New Roman" w:cs="Times New Roman"/>
          <w:sz w:val="24"/>
          <w:szCs w:val="24"/>
        </w:rPr>
        <w:t xml:space="preserve">percentage variations (+200.9%), followed by </w:t>
      </w:r>
      <w:r w:rsidR="00D0275D" w:rsidRPr="00803ABC">
        <w:rPr>
          <w:rFonts w:ascii="Times New Roman" w:hAnsi="Times New Roman" w:cs="Times New Roman"/>
          <w:sz w:val="24"/>
          <w:szCs w:val="24"/>
        </w:rPr>
        <w:t xml:space="preserve">Estonia </w:t>
      </w:r>
      <w:r w:rsidR="00035E87">
        <w:rPr>
          <w:rFonts w:ascii="Times New Roman" w:hAnsi="Times New Roman" w:cs="Times New Roman"/>
          <w:sz w:val="24"/>
          <w:szCs w:val="24"/>
        </w:rPr>
        <w:t>(+131.2%)</w:t>
      </w:r>
      <w:r w:rsidR="00AF6F65">
        <w:rPr>
          <w:rFonts w:ascii="Times New Roman" w:hAnsi="Times New Roman" w:cs="Times New Roman"/>
          <w:sz w:val="24"/>
          <w:szCs w:val="24"/>
        </w:rPr>
        <w:t>,</w:t>
      </w:r>
      <w:r w:rsidR="000127B2">
        <w:rPr>
          <w:rFonts w:ascii="Times New Roman" w:hAnsi="Times New Roman" w:cs="Times New Roman"/>
          <w:sz w:val="24"/>
          <w:szCs w:val="24"/>
        </w:rPr>
        <w:t xml:space="preserve"> </w:t>
      </w:r>
      <w:r w:rsidR="00035E87">
        <w:rPr>
          <w:rFonts w:ascii="Times New Roman" w:hAnsi="Times New Roman" w:cs="Times New Roman"/>
          <w:sz w:val="24"/>
          <w:szCs w:val="24"/>
        </w:rPr>
        <w:t xml:space="preserve">Ireland that before the financial crash of 2008 had a GDP </w:t>
      </w:r>
      <w:r w:rsidR="00D95BBB">
        <w:rPr>
          <w:rFonts w:ascii="Times New Roman" w:hAnsi="Times New Roman" w:cs="Times New Roman"/>
          <w:sz w:val="24"/>
          <w:szCs w:val="24"/>
        </w:rPr>
        <w:t>increase</w:t>
      </w:r>
      <w:r w:rsidR="00035E87">
        <w:rPr>
          <w:rFonts w:ascii="Times New Roman" w:hAnsi="Times New Roman" w:cs="Times New Roman"/>
          <w:sz w:val="24"/>
          <w:szCs w:val="24"/>
        </w:rPr>
        <w:t xml:space="preserve"> of around +129.5%</w:t>
      </w:r>
      <w:r w:rsidR="00AF6F65">
        <w:rPr>
          <w:rFonts w:ascii="Times New Roman" w:hAnsi="Times New Roman" w:cs="Times New Roman"/>
          <w:sz w:val="24"/>
          <w:szCs w:val="24"/>
        </w:rPr>
        <w:t xml:space="preserve"> and India (37.6% in just </w:t>
      </w:r>
      <w:r w:rsidR="003E3CB5">
        <w:rPr>
          <w:rFonts w:ascii="Times New Roman" w:hAnsi="Times New Roman" w:cs="Times New Roman"/>
          <w:sz w:val="24"/>
          <w:szCs w:val="24"/>
        </w:rPr>
        <w:t xml:space="preserve">the </w:t>
      </w:r>
      <w:r w:rsidR="00AF6F65">
        <w:rPr>
          <w:rFonts w:ascii="Times New Roman" w:hAnsi="Times New Roman" w:cs="Times New Roman"/>
          <w:sz w:val="24"/>
          <w:szCs w:val="24"/>
        </w:rPr>
        <w:t>4 years</w:t>
      </w:r>
      <w:r w:rsidR="003E3CB5">
        <w:rPr>
          <w:rFonts w:ascii="Times New Roman" w:hAnsi="Times New Roman" w:cs="Times New Roman"/>
          <w:sz w:val="24"/>
          <w:szCs w:val="24"/>
        </w:rPr>
        <w:t xml:space="preserve"> available for this study</w:t>
      </w:r>
      <w:r w:rsidR="00AF6F65">
        <w:rPr>
          <w:rFonts w:ascii="Times New Roman" w:hAnsi="Times New Roman" w:cs="Times New Roman"/>
          <w:sz w:val="24"/>
          <w:szCs w:val="24"/>
        </w:rPr>
        <w:t>)</w:t>
      </w:r>
      <w:r w:rsidR="00035E87">
        <w:rPr>
          <w:rFonts w:ascii="Times New Roman" w:hAnsi="Times New Roman" w:cs="Times New Roman"/>
          <w:sz w:val="24"/>
          <w:szCs w:val="24"/>
        </w:rPr>
        <w:t>. Poland</w:t>
      </w:r>
      <w:r w:rsidR="00AF6F65">
        <w:rPr>
          <w:rFonts w:ascii="Times New Roman" w:hAnsi="Times New Roman" w:cs="Times New Roman"/>
          <w:sz w:val="24"/>
          <w:szCs w:val="24"/>
        </w:rPr>
        <w:t xml:space="preserve"> and</w:t>
      </w:r>
      <w:r w:rsidR="00035E87">
        <w:rPr>
          <w:rFonts w:ascii="Times New Roman" w:hAnsi="Times New Roman" w:cs="Times New Roman"/>
          <w:sz w:val="24"/>
          <w:szCs w:val="24"/>
        </w:rPr>
        <w:t xml:space="preserve"> Slovak Republic largely benefited from joining the EU with an income </w:t>
      </w:r>
      <w:r w:rsidR="00D95BBB">
        <w:rPr>
          <w:rFonts w:ascii="Times New Roman" w:hAnsi="Times New Roman" w:cs="Times New Roman"/>
          <w:sz w:val="24"/>
          <w:szCs w:val="24"/>
        </w:rPr>
        <w:t>variation</w:t>
      </w:r>
      <w:r w:rsidR="00035E87">
        <w:rPr>
          <w:rFonts w:ascii="Times New Roman" w:hAnsi="Times New Roman" w:cs="Times New Roman"/>
          <w:sz w:val="24"/>
          <w:szCs w:val="24"/>
        </w:rPr>
        <w:t xml:space="preserve"> of more than </w:t>
      </w:r>
      <w:r w:rsidR="00AF6F65">
        <w:rPr>
          <w:rFonts w:ascii="Times New Roman" w:hAnsi="Times New Roman" w:cs="Times New Roman"/>
          <w:sz w:val="24"/>
          <w:szCs w:val="24"/>
        </w:rPr>
        <w:t>71.9% and 79.8% respectively</w:t>
      </w:r>
      <w:r w:rsidR="00CE59C4">
        <w:rPr>
          <w:rFonts w:ascii="Times New Roman" w:hAnsi="Times New Roman" w:cs="Times New Roman"/>
          <w:sz w:val="24"/>
          <w:szCs w:val="24"/>
        </w:rPr>
        <w:t xml:space="preserve"> </w:t>
      </w:r>
      <w:r w:rsidR="00203D23">
        <w:rPr>
          <w:rFonts w:ascii="Times New Roman" w:hAnsi="Times New Roman" w:cs="Times New Roman"/>
          <w:sz w:val="24"/>
          <w:szCs w:val="24"/>
        </w:rPr>
        <w:t>[22]</w:t>
      </w:r>
      <w:r w:rsidR="00CE59C4">
        <w:rPr>
          <w:rFonts w:ascii="Times New Roman" w:hAnsi="Times New Roman" w:cs="Times New Roman"/>
          <w:sz w:val="24"/>
          <w:szCs w:val="24"/>
        </w:rPr>
        <w:t>.</w:t>
      </w:r>
      <w:r w:rsidR="00D95BBB">
        <w:rPr>
          <w:rFonts w:ascii="Times New Roman" w:hAnsi="Times New Roman" w:cs="Times New Roman"/>
          <w:sz w:val="24"/>
          <w:szCs w:val="24"/>
        </w:rPr>
        <w:t xml:space="preserve"> Luxembourg, </w:t>
      </w:r>
      <w:r w:rsidR="00AD61A4">
        <w:rPr>
          <w:rFonts w:ascii="Times New Roman" w:hAnsi="Times New Roman" w:cs="Times New Roman"/>
          <w:sz w:val="24"/>
          <w:szCs w:val="24"/>
        </w:rPr>
        <w:t xml:space="preserve">South </w:t>
      </w:r>
      <w:r w:rsidR="00D95BBB">
        <w:rPr>
          <w:rFonts w:ascii="Times New Roman" w:hAnsi="Times New Roman" w:cs="Times New Roman"/>
          <w:sz w:val="24"/>
          <w:szCs w:val="24"/>
        </w:rPr>
        <w:t>Korea, Russia</w:t>
      </w:r>
      <w:r w:rsidR="00A81A28">
        <w:rPr>
          <w:rFonts w:ascii="Times New Roman" w:hAnsi="Times New Roman" w:cs="Times New Roman"/>
          <w:sz w:val="24"/>
          <w:szCs w:val="24"/>
        </w:rPr>
        <w:t xml:space="preserve"> and </w:t>
      </w:r>
      <w:r w:rsidR="00D95BBB">
        <w:rPr>
          <w:rFonts w:ascii="Times New Roman" w:hAnsi="Times New Roman" w:cs="Times New Roman"/>
          <w:sz w:val="24"/>
          <w:szCs w:val="24"/>
        </w:rPr>
        <w:t xml:space="preserve">Turkey </w:t>
      </w:r>
      <w:r w:rsidR="0059455C">
        <w:rPr>
          <w:rFonts w:ascii="Times New Roman" w:hAnsi="Times New Roman" w:cs="Times New Roman"/>
          <w:sz w:val="24"/>
          <w:szCs w:val="24"/>
        </w:rPr>
        <w:t>also</w:t>
      </w:r>
      <w:r w:rsidR="00D95BBB">
        <w:rPr>
          <w:rFonts w:ascii="Times New Roman" w:hAnsi="Times New Roman" w:cs="Times New Roman"/>
          <w:sz w:val="24"/>
          <w:szCs w:val="24"/>
        </w:rPr>
        <w:t xml:space="preserve"> performed a GDP increase </w:t>
      </w:r>
      <w:r w:rsidR="00A81A28">
        <w:rPr>
          <w:rFonts w:ascii="Times New Roman" w:hAnsi="Times New Roman" w:cs="Times New Roman"/>
          <w:sz w:val="24"/>
          <w:szCs w:val="24"/>
        </w:rPr>
        <w:t>higher than 70%</w:t>
      </w:r>
      <w:r w:rsidR="006307FF">
        <w:rPr>
          <w:rFonts w:ascii="Times New Roman" w:hAnsi="Times New Roman" w:cs="Times New Roman"/>
          <w:sz w:val="24"/>
          <w:szCs w:val="24"/>
        </w:rPr>
        <w:t>.</w:t>
      </w:r>
      <w:r w:rsidR="0059455C">
        <w:rPr>
          <w:rFonts w:ascii="Times New Roman" w:hAnsi="Times New Roman" w:cs="Times New Roman"/>
          <w:sz w:val="24"/>
          <w:szCs w:val="24"/>
        </w:rPr>
        <w:t xml:space="preserve"> All the others economies, </w:t>
      </w:r>
      <w:r w:rsidR="00D95BBB">
        <w:rPr>
          <w:rFonts w:ascii="Times New Roman" w:hAnsi="Times New Roman" w:cs="Times New Roman"/>
          <w:sz w:val="24"/>
          <w:szCs w:val="24"/>
        </w:rPr>
        <w:t xml:space="preserve">and in particular the most developed </w:t>
      </w:r>
      <w:r w:rsidR="0059455C">
        <w:rPr>
          <w:rFonts w:ascii="Times New Roman" w:hAnsi="Times New Roman" w:cs="Times New Roman"/>
          <w:sz w:val="24"/>
          <w:szCs w:val="24"/>
        </w:rPr>
        <w:t xml:space="preserve">ones </w:t>
      </w:r>
      <w:r w:rsidR="00737E76">
        <w:rPr>
          <w:rFonts w:ascii="Times New Roman" w:hAnsi="Times New Roman" w:cs="Times New Roman"/>
          <w:sz w:val="24"/>
          <w:szCs w:val="24"/>
        </w:rPr>
        <w:t xml:space="preserve">like </w:t>
      </w:r>
      <w:r w:rsidR="0059455C">
        <w:rPr>
          <w:rFonts w:ascii="Times New Roman" w:hAnsi="Times New Roman" w:cs="Times New Roman"/>
          <w:sz w:val="24"/>
          <w:szCs w:val="24"/>
        </w:rPr>
        <w:t xml:space="preserve">United States, Canada, Belgium and </w:t>
      </w:r>
      <w:r w:rsidR="00D95BBB">
        <w:rPr>
          <w:rFonts w:ascii="Times New Roman" w:hAnsi="Times New Roman" w:cs="Times New Roman"/>
          <w:sz w:val="24"/>
          <w:szCs w:val="24"/>
        </w:rPr>
        <w:t xml:space="preserve">France, </w:t>
      </w:r>
      <w:r w:rsidR="0059455C">
        <w:rPr>
          <w:rFonts w:ascii="Times New Roman" w:hAnsi="Times New Roman" w:cs="Times New Roman"/>
          <w:sz w:val="24"/>
          <w:szCs w:val="24"/>
        </w:rPr>
        <w:t>had an income variation lower than 50%.</w:t>
      </w:r>
      <w:r w:rsidR="006307FF">
        <w:rPr>
          <w:rFonts w:ascii="Times New Roman" w:hAnsi="Times New Roman" w:cs="Times New Roman"/>
          <w:sz w:val="24"/>
          <w:szCs w:val="24"/>
        </w:rPr>
        <w:t xml:space="preserve"> </w:t>
      </w:r>
      <w:r w:rsidR="0059455C">
        <w:rPr>
          <w:rFonts w:ascii="Times New Roman" w:hAnsi="Times New Roman" w:cs="Times New Roman"/>
          <w:sz w:val="24"/>
          <w:szCs w:val="24"/>
        </w:rPr>
        <w:t xml:space="preserve">The bottom figures are related to </w:t>
      </w:r>
      <w:r w:rsidR="00B369D4">
        <w:rPr>
          <w:rFonts w:ascii="Times New Roman" w:hAnsi="Times New Roman" w:cs="Times New Roman"/>
          <w:sz w:val="24"/>
          <w:szCs w:val="24"/>
        </w:rPr>
        <w:t>Germany, Denmark, Italy and Japan (+20.9%, +28.7%, + 19.9%, +14.9%, respectively).</w:t>
      </w:r>
      <w:r w:rsidR="00CE59C4">
        <w:rPr>
          <w:rFonts w:ascii="Times New Roman" w:hAnsi="Times New Roman" w:cs="Times New Roman"/>
          <w:sz w:val="24"/>
          <w:szCs w:val="24"/>
        </w:rPr>
        <w:t xml:space="preserve"> According to data reported b</w:t>
      </w:r>
      <w:r w:rsidR="00957EA7">
        <w:rPr>
          <w:rFonts w:ascii="Times New Roman" w:hAnsi="Times New Roman" w:cs="Times New Roman"/>
          <w:sz w:val="24"/>
          <w:szCs w:val="24"/>
        </w:rPr>
        <w:t xml:space="preserve">y </w:t>
      </w:r>
      <w:r w:rsidR="00203D23">
        <w:rPr>
          <w:rFonts w:ascii="Times New Roman" w:hAnsi="Times New Roman" w:cs="Times New Roman"/>
          <w:sz w:val="24"/>
          <w:szCs w:val="24"/>
        </w:rPr>
        <w:t xml:space="preserve">[27] </w:t>
      </w:r>
      <w:r w:rsidR="00CC2D61">
        <w:rPr>
          <w:rFonts w:ascii="Times New Roman" w:hAnsi="Times New Roman" w:cs="Times New Roman"/>
          <w:sz w:val="24"/>
          <w:szCs w:val="24"/>
        </w:rPr>
        <w:t xml:space="preserve">the </w:t>
      </w:r>
      <w:r w:rsidR="00CE59C4">
        <w:rPr>
          <w:rFonts w:ascii="Times New Roman" w:hAnsi="Times New Roman" w:cs="Times New Roman"/>
          <w:sz w:val="24"/>
          <w:szCs w:val="24"/>
        </w:rPr>
        <w:t>Italia</w:t>
      </w:r>
      <w:r w:rsidR="00104CE1">
        <w:rPr>
          <w:rFonts w:ascii="Times New Roman" w:hAnsi="Times New Roman" w:cs="Times New Roman"/>
          <w:sz w:val="24"/>
          <w:szCs w:val="24"/>
        </w:rPr>
        <w:t xml:space="preserve">n, </w:t>
      </w:r>
      <w:r w:rsidR="007C44F8">
        <w:rPr>
          <w:rFonts w:ascii="Times New Roman" w:hAnsi="Times New Roman" w:cs="Times New Roman"/>
          <w:sz w:val="24"/>
          <w:szCs w:val="24"/>
        </w:rPr>
        <w:t>German</w:t>
      </w:r>
      <w:r w:rsidR="00104CE1">
        <w:rPr>
          <w:rFonts w:ascii="Times New Roman" w:hAnsi="Times New Roman" w:cs="Times New Roman"/>
          <w:sz w:val="24"/>
          <w:szCs w:val="24"/>
        </w:rPr>
        <w:t xml:space="preserve"> and </w:t>
      </w:r>
      <w:r w:rsidR="00CC2D61">
        <w:rPr>
          <w:rFonts w:ascii="Times New Roman" w:hAnsi="Times New Roman" w:cs="Times New Roman"/>
          <w:sz w:val="24"/>
          <w:szCs w:val="24"/>
        </w:rPr>
        <w:t>Denmark</w:t>
      </w:r>
      <w:r w:rsidR="007C44F8">
        <w:rPr>
          <w:rFonts w:ascii="Times New Roman" w:hAnsi="Times New Roman" w:cs="Times New Roman"/>
          <w:sz w:val="24"/>
          <w:szCs w:val="24"/>
        </w:rPr>
        <w:t xml:space="preserve"> GDP have</w:t>
      </w:r>
      <w:r w:rsidR="00737E76">
        <w:rPr>
          <w:rFonts w:ascii="Times New Roman" w:hAnsi="Times New Roman" w:cs="Times New Roman"/>
          <w:sz w:val="24"/>
          <w:szCs w:val="24"/>
        </w:rPr>
        <w:t xml:space="preserve"> been</w:t>
      </w:r>
      <w:r w:rsidR="00CE59C4">
        <w:rPr>
          <w:rFonts w:ascii="Times New Roman" w:hAnsi="Times New Roman" w:cs="Times New Roman"/>
          <w:sz w:val="24"/>
          <w:szCs w:val="24"/>
        </w:rPr>
        <w:t xml:space="preserve"> fall</w:t>
      </w:r>
      <w:r w:rsidR="00737E76">
        <w:rPr>
          <w:rFonts w:ascii="Times New Roman" w:hAnsi="Times New Roman" w:cs="Times New Roman"/>
          <w:sz w:val="24"/>
          <w:szCs w:val="24"/>
        </w:rPr>
        <w:t xml:space="preserve">ing </w:t>
      </w:r>
      <w:r w:rsidR="00CE59C4">
        <w:rPr>
          <w:rFonts w:ascii="Times New Roman" w:hAnsi="Times New Roman" w:cs="Times New Roman"/>
          <w:sz w:val="24"/>
          <w:szCs w:val="24"/>
        </w:rPr>
        <w:t>since the 1990</w:t>
      </w:r>
      <w:r w:rsidR="007C44F8">
        <w:rPr>
          <w:rFonts w:ascii="Times New Roman" w:hAnsi="Times New Roman" w:cs="Times New Roman"/>
          <w:sz w:val="24"/>
          <w:szCs w:val="24"/>
        </w:rPr>
        <w:t>s</w:t>
      </w:r>
      <w:r w:rsidR="00F629FA">
        <w:rPr>
          <w:rFonts w:ascii="Times New Roman" w:hAnsi="Times New Roman" w:cs="Times New Roman"/>
          <w:sz w:val="24"/>
          <w:szCs w:val="24"/>
        </w:rPr>
        <w:t xml:space="preserve">. Between </w:t>
      </w:r>
      <w:r w:rsidR="00CE59C4">
        <w:rPr>
          <w:rFonts w:ascii="Times New Roman" w:hAnsi="Times New Roman" w:cs="Times New Roman"/>
          <w:sz w:val="24"/>
          <w:szCs w:val="24"/>
        </w:rPr>
        <w:t xml:space="preserve">2000 and 2012 </w:t>
      </w:r>
      <w:r w:rsidR="00F629FA">
        <w:rPr>
          <w:rFonts w:ascii="Times New Roman" w:hAnsi="Times New Roman" w:cs="Times New Roman"/>
          <w:sz w:val="24"/>
          <w:szCs w:val="24"/>
        </w:rPr>
        <w:t xml:space="preserve">Italy </w:t>
      </w:r>
      <w:r w:rsidR="00CE59C4">
        <w:rPr>
          <w:rFonts w:ascii="Times New Roman" w:hAnsi="Times New Roman" w:cs="Times New Roman"/>
          <w:sz w:val="24"/>
          <w:szCs w:val="24"/>
        </w:rPr>
        <w:t>has been among the 10 world countries performing worst in terms GDP generation</w:t>
      </w:r>
      <w:r w:rsidR="00F629FA">
        <w:rPr>
          <w:rFonts w:ascii="Times New Roman" w:hAnsi="Times New Roman" w:cs="Times New Roman"/>
          <w:sz w:val="24"/>
          <w:szCs w:val="24"/>
        </w:rPr>
        <w:t xml:space="preserve"> and Germany largely suffered for the costs of unification </w:t>
      </w:r>
      <w:r w:rsidR="00203D23">
        <w:rPr>
          <w:rFonts w:ascii="Times New Roman" w:hAnsi="Times New Roman" w:cs="Times New Roman"/>
          <w:sz w:val="24"/>
          <w:szCs w:val="24"/>
        </w:rPr>
        <w:t>[28]</w:t>
      </w:r>
      <w:r w:rsidR="00F629FA">
        <w:rPr>
          <w:rFonts w:ascii="Times New Roman" w:hAnsi="Times New Roman" w:cs="Times New Roman"/>
          <w:sz w:val="24"/>
          <w:szCs w:val="24"/>
        </w:rPr>
        <w:t>.</w:t>
      </w:r>
      <w:r w:rsidR="00CE59C4">
        <w:rPr>
          <w:rFonts w:ascii="Times New Roman" w:hAnsi="Times New Roman" w:cs="Times New Roman"/>
          <w:sz w:val="24"/>
          <w:szCs w:val="24"/>
        </w:rPr>
        <w:t xml:space="preserve"> </w:t>
      </w:r>
      <w:r w:rsidR="009653E2">
        <w:rPr>
          <w:rFonts w:ascii="Times New Roman" w:hAnsi="Times New Roman" w:cs="Times New Roman"/>
          <w:sz w:val="24"/>
          <w:szCs w:val="24"/>
        </w:rPr>
        <w:t xml:space="preserve">A vast </w:t>
      </w:r>
      <w:r w:rsidR="00CE59C4">
        <w:rPr>
          <w:rFonts w:ascii="Times New Roman" w:hAnsi="Times New Roman" w:cs="Times New Roman"/>
          <w:sz w:val="24"/>
          <w:szCs w:val="24"/>
        </w:rPr>
        <w:t xml:space="preserve">shadow economy, limited competition and high marginal taxation rate are considered as the main </w:t>
      </w:r>
      <w:r w:rsidR="00CC2D61">
        <w:rPr>
          <w:rFonts w:ascii="Times New Roman" w:hAnsi="Times New Roman" w:cs="Times New Roman"/>
          <w:sz w:val="24"/>
          <w:szCs w:val="24"/>
        </w:rPr>
        <w:t xml:space="preserve">factors </w:t>
      </w:r>
      <w:r w:rsidR="00F629FA">
        <w:rPr>
          <w:rFonts w:ascii="Times New Roman" w:hAnsi="Times New Roman" w:cs="Times New Roman"/>
          <w:sz w:val="24"/>
          <w:szCs w:val="24"/>
        </w:rPr>
        <w:t xml:space="preserve">responsible </w:t>
      </w:r>
      <w:r w:rsidR="00CE59C4">
        <w:rPr>
          <w:rFonts w:ascii="Times New Roman" w:hAnsi="Times New Roman" w:cs="Times New Roman"/>
          <w:sz w:val="24"/>
          <w:szCs w:val="24"/>
        </w:rPr>
        <w:t>f</w:t>
      </w:r>
      <w:r w:rsidR="00F629FA">
        <w:rPr>
          <w:rFonts w:ascii="Times New Roman" w:hAnsi="Times New Roman" w:cs="Times New Roman"/>
          <w:sz w:val="24"/>
          <w:szCs w:val="24"/>
        </w:rPr>
        <w:t>or the poor</w:t>
      </w:r>
      <w:r w:rsidR="00CE59C4">
        <w:rPr>
          <w:rFonts w:ascii="Times New Roman" w:hAnsi="Times New Roman" w:cs="Times New Roman"/>
          <w:sz w:val="24"/>
          <w:szCs w:val="24"/>
        </w:rPr>
        <w:t xml:space="preserve"> Italian performance</w:t>
      </w:r>
      <w:r w:rsidR="00791C0A">
        <w:rPr>
          <w:rFonts w:ascii="Times New Roman" w:hAnsi="Times New Roman" w:cs="Times New Roman"/>
          <w:sz w:val="24"/>
          <w:szCs w:val="24"/>
        </w:rPr>
        <w:t xml:space="preserve"> [29, 30]</w:t>
      </w:r>
      <w:r w:rsidR="00F629FA">
        <w:rPr>
          <w:rFonts w:ascii="Times New Roman" w:hAnsi="Times New Roman" w:cs="Times New Roman"/>
          <w:sz w:val="24"/>
          <w:szCs w:val="24"/>
        </w:rPr>
        <w:t>. Expensive social security system and increasing level of public debt have been some of the main elements redu</w:t>
      </w:r>
      <w:r w:rsidR="00D04448">
        <w:rPr>
          <w:rFonts w:ascii="Times New Roman" w:hAnsi="Times New Roman" w:cs="Times New Roman"/>
          <w:sz w:val="24"/>
          <w:szCs w:val="24"/>
        </w:rPr>
        <w:t xml:space="preserve">cing </w:t>
      </w:r>
      <w:r w:rsidR="00F629FA">
        <w:rPr>
          <w:rFonts w:ascii="Times New Roman" w:hAnsi="Times New Roman" w:cs="Times New Roman"/>
          <w:sz w:val="24"/>
          <w:szCs w:val="24"/>
        </w:rPr>
        <w:t>GPD growth rate in</w:t>
      </w:r>
      <w:r w:rsidR="00D04448">
        <w:rPr>
          <w:rFonts w:ascii="Times New Roman" w:hAnsi="Times New Roman" w:cs="Times New Roman"/>
          <w:sz w:val="24"/>
          <w:szCs w:val="24"/>
        </w:rPr>
        <w:t xml:space="preserve"> the</w:t>
      </w:r>
      <w:r w:rsidR="00791C0A">
        <w:rPr>
          <w:rFonts w:ascii="Times New Roman" w:hAnsi="Times New Roman" w:cs="Times New Roman"/>
          <w:sz w:val="24"/>
          <w:szCs w:val="24"/>
        </w:rPr>
        <w:t xml:space="preserve"> German case [31]</w:t>
      </w:r>
      <w:r w:rsidR="009928DA">
        <w:rPr>
          <w:rFonts w:ascii="Times New Roman" w:hAnsi="Times New Roman" w:cs="Times New Roman"/>
          <w:sz w:val="24"/>
          <w:szCs w:val="24"/>
        </w:rPr>
        <w:t>.</w:t>
      </w:r>
      <w:r w:rsidR="00791C0A">
        <w:rPr>
          <w:rFonts w:ascii="Times New Roman" w:hAnsi="Times New Roman" w:cs="Times New Roman"/>
          <w:sz w:val="24"/>
          <w:szCs w:val="24"/>
        </w:rPr>
        <w:t xml:space="preserve"> </w:t>
      </w:r>
      <w:r w:rsidR="00104CE1">
        <w:rPr>
          <w:rFonts w:ascii="Times New Roman" w:hAnsi="Times New Roman" w:cs="Times New Roman"/>
          <w:sz w:val="24"/>
          <w:szCs w:val="24"/>
        </w:rPr>
        <w:t xml:space="preserve">Deflation, reduction in capital accumulation and low level of total factor productivity growth seems to be the main elements of Japan’s stagnation </w:t>
      </w:r>
      <w:r w:rsidR="00000FAB">
        <w:rPr>
          <w:rFonts w:ascii="Times New Roman" w:hAnsi="Times New Roman" w:cs="Times New Roman"/>
          <w:sz w:val="24"/>
          <w:szCs w:val="24"/>
        </w:rPr>
        <w:t>[32-</w:t>
      </w:r>
      <w:r w:rsidR="00791C0A">
        <w:rPr>
          <w:rFonts w:ascii="Times New Roman" w:hAnsi="Times New Roman" w:cs="Times New Roman"/>
          <w:sz w:val="24"/>
          <w:szCs w:val="24"/>
        </w:rPr>
        <w:t>34]</w:t>
      </w:r>
      <w:r w:rsidR="00104CE1">
        <w:t>.</w:t>
      </w:r>
    </w:p>
    <w:p w14:paraId="254C3D8B" w14:textId="748A7F56" w:rsidR="00B369D4" w:rsidRDefault="0059455C" w:rsidP="00BA06F3">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In terms o</w:t>
      </w:r>
      <w:r w:rsidR="000D525F">
        <w:rPr>
          <w:rFonts w:ascii="Times New Roman" w:hAnsi="Times New Roman" w:cs="Times New Roman"/>
          <w:sz w:val="24"/>
          <w:szCs w:val="24"/>
        </w:rPr>
        <w:t xml:space="preserve">f carbon dioxide almost all the countries considered in this paper increased the emissions between 1995 and 2007. China had the largest variation (+93.9%), even if the percentage increase has been lower than half of the percentage </w:t>
      </w:r>
      <w:r w:rsidR="00437EB0">
        <w:rPr>
          <w:rFonts w:ascii="Times New Roman" w:hAnsi="Times New Roman" w:cs="Times New Roman"/>
          <w:sz w:val="24"/>
          <w:szCs w:val="24"/>
        </w:rPr>
        <w:t>increase in</w:t>
      </w:r>
      <w:r w:rsidR="00791C0A">
        <w:rPr>
          <w:rFonts w:ascii="Times New Roman" w:hAnsi="Times New Roman" w:cs="Times New Roman"/>
          <w:sz w:val="24"/>
          <w:szCs w:val="24"/>
        </w:rPr>
        <w:t xml:space="preserve"> </w:t>
      </w:r>
      <w:r w:rsidR="000D525F">
        <w:rPr>
          <w:rFonts w:ascii="Times New Roman" w:hAnsi="Times New Roman" w:cs="Times New Roman"/>
          <w:sz w:val="24"/>
          <w:szCs w:val="24"/>
        </w:rPr>
        <w:t xml:space="preserve">GDP. </w:t>
      </w:r>
      <w:r w:rsidR="00F7603E">
        <w:rPr>
          <w:rFonts w:ascii="Times New Roman" w:hAnsi="Times New Roman" w:cs="Times New Roman"/>
          <w:sz w:val="24"/>
          <w:szCs w:val="24"/>
        </w:rPr>
        <w:t xml:space="preserve">According to data reported by </w:t>
      </w:r>
      <w:r w:rsidR="00791C0A">
        <w:rPr>
          <w:rFonts w:ascii="Times New Roman" w:hAnsi="Times New Roman" w:cs="Times New Roman"/>
          <w:sz w:val="24"/>
          <w:szCs w:val="24"/>
        </w:rPr>
        <w:t xml:space="preserve">[35] </w:t>
      </w:r>
      <w:r w:rsidR="00F7603E">
        <w:rPr>
          <w:rFonts w:ascii="Times New Roman" w:hAnsi="Times New Roman" w:cs="Times New Roman"/>
          <w:sz w:val="24"/>
          <w:szCs w:val="24"/>
        </w:rPr>
        <w:t>improvements in technologies, reduction in coal consumption and increased energy efficiency both in the industrial and in the household sectors have been the most important factors in reducing the quantity of emissions generated per unit of GDP</w:t>
      </w:r>
      <w:r w:rsidR="00737E76">
        <w:rPr>
          <w:rFonts w:ascii="Times New Roman" w:hAnsi="Times New Roman" w:cs="Times New Roman"/>
          <w:sz w:val="24"/>
          <w:szCs w:val="24"/>
        </w:rPr>
        <w:t xml:space="preserve"> in China</w:t>
      </w:r>
      <w:r w:rsidR="00F7603E">
        <w:rPr>
          <w:rFonts w:ascii="Times New Roman" w:hAnsi="Times New Roman" w:cs="Times New Roman"/>
          <w:sz w:val="24"/>
          <w:szCs w:val="24"/>
        </w:rPr>
        <w:t xml:space="preserve">. </w:t>
      </w:r>
      <w:r w:rsidR="00D04448">
        <w:rPr>
          <w:rFonts w:ascii="Times New Roman" w:hAnsi="Times New Roman" w:cs="Times New Roman"/>
          <w:sz w:val="24"/>
          <w:szCs w:val="24"/>
        </w:rPr>
        <w:t>Denmark</w:t>
      </w:r>
      <w:r w:rsidR="00E36C9F">
        <w:rPr>
          <w:rFonts w:ascii="Times New Roman" w:hAnsi="Times New Roman" w:cs="Times New Roman"/>
          <w:sz w:val="24"/>
          <w:szCs w:val="24"/>
        </w:rPr>
        <w:t xml:space="preserve"> </w:t>
      </w:r>
      <w:r w:rsidR="000D525F">
        <w:rPr>
          <w:rFonts w:ascii="Times New Roman" w:hAnsi="Times New Roman" w:cs="Times New Roman"/>
          <w:sz w:val="24"/>
          <w:szCs w:val="24"/>
        </w:rPr>
        <w:t>(</w:t>
      </w:r>
      <w:r w:rsidR="00E36C9F">
        <w:rPr>
          <w:rFonts w:ascii="Times New Roman" w:hAnsi="Times New Roman" w:cs="Times New Roman"/>
          <w:sz w:val="24"/>
          <w:szCs w:val="24"/>
        </w:rPr>
        <w:t>28.7% GDP and 43.4% CO</w:t>
      </w:r>
      <w:r w:rsidR="00E36C9F" w:rsidRPr="00E36C9F">
        <w:rPr>
          <w:rFonts w:ascii="Times New Roman" w:hAnsi="Times New Roman" w:cs="Times New Roman"/>
          <w:sz w:val="24"/>
          <w:szCs w:val="24"/>
          <w:vertAlign w:val="subscript"/>
        </w:rPr>
        <w:t>2</w:t>
      </w:r>
      <w:r w:rsidR="00E36C9F">
        <w:rPr>
          <w:rFonts w:ascii="Times New Roman" w:hAnsi="Times New Roman" w:cs="Times New Roman"/>
          <w:sz w:val="24"/>
          <w:szCs w:val="24"/>
        </w:rPr>
        <w:t xml:space="preserve"> emissions</w:t>
      </w:r>
      <w:r w:rsidR="000D525F">
        <w:rPr>
          <w:rFonts w:ascii="Times New Roman" w:hAnsi="Times New Roman" w:cs="Times New Roman"/>
          <w:sz w:val="24"/>
          <w:szCs w:val="24"/>
        </w:rPr>
        <w:t>) and Indonesia (</w:t>
      </w:r>
      <w:r w:rsidR="00E36C9F">
        <w:rPr>
          <w:rFonts w:ascii="Times New Roman" w:hAnsi="Times New Roman" w:cs="Times New Roman"/>
          <w:sz w:val="24"/>
          <w:szCs w:val="24"/>
        </w:rPr>
        <w:t xml:space="preserve">46.6% GDP and </w:t>
      </w:r>
      <w:r w:rsidR="000D525F">
        <w:rPr>
          <w:rFonts w:ascii="Times New Roman" w:hAnsi="Times New Roman" w:cs="Times New Roman"/>
          <w:sz w:val="24"/>
          <w:szCs w:val="24"/>
        </w:rPr>
        <w:t>80.3%</w:t>
      </w:r>
      <w:r w:rsidR="00E36C9F">
        <w:rPr>
          <w:rFonts w:ascii="Times New Roman" w:hAnsi="Times New Roman" w:cs="Times New Roman"/>
          <w:sz w:val="24"/>
          <w:szCs w:val="24"/>
        </w:rPr>
        <w:t xml:space="preserve"> CO</w:t>
      </w:r>
      <w:r w:rsidR="00E36C9F" w:rsidRPr="00E36C9F">
        <w:rPr>
          <w:rFonts w:ascii="Times New Roman" w:hAnsi="Times New Roman" w:cs="Times New Roman"/>
          <w:sz w:val="24"/>
          <w:szCs w:val="24"/>
          <w:vertAlign w:val="subscript"/>
        </w:rPr>
        <w:t>2</w:t>
      </w:r>
      <w:r w:rsidR="00E36C9F">
        <w:rPr>
          <w:rFonts w:ascii="Times New Roman" w:hAnsi="Times New Roman" w:cs="Times New Roman"/>
          <w:sz w:val="24"/>
          <w:szCs w:val="24"/>
        </w:rPr>
        <w:t xml:space="preserve"> emissions</w:t>
      </w:r>
      <w:r w:rsidR="000D525F">
        <w:rPr>
          <w:rFonts w:ascii="Times New Roman" w:hAnsi="Times New Roman" w:cs="Times New Roman"/>
          <w:sz w:val="24"/>
          <w:szCs w:val="24"/>
        </w:rPr>
        <w:t xml:space="preserve">) </w:t>
      </w:r>
      <w:r w:rsidR="00437EB0">
        <w:rPr>
          <w:rFonts w:ascii="Times New Roman" w:hAnsi="Times New Roman" w:cs="Times New Roman"/>
          <w:sz w:val="24"/>
          <w:szCs w:val="24"/>
        </w:rPr>
        <w:t>are</w:t>
      </w:r>
      <w:r w:rsidR="000D525F">
        <w:rPr>
          <w:rFonts w:ascii="Times New Roman" w:hAnsi="Times New Roman" w:cs="Times New Roman"/>
          <w:sz w:val="24"/>
          <w:szCs w:val="24"/>
        </w:rPr>
        <w:t xml:space="preserve"> the only countries to </w:t>
      </w:r>
      <w:r w:rsidR="00437EB0">
        <w:rPr>
          <w:rFonts w:ascii="Times New Roman" w:hAnsi="Times New Roman" w:cs="Times New Roman"/>
          <w:sz w:val="24"/>
          <w:szCs w:val="24"/>
        </w:rPr>
        <w:t xml:space="preserve">show </w:t>
      </w:r>
      <w:r w:rsidR="000D525F">
        <w:rPr>
          <w:rFonts w:ascii="Times New Roman" w:hAnsi="Times New Roman" w:cs="Times New Roman"/>
          <w:sz w:val="24"/>
          <w:szCs w:val="24"/>
        </w:rPr>
        <w:t xml:space="preserve">an </w:t>
      </w:r>
      <w:r w:rsidR="00437EB0">
        <w:rPr>
          <w:rFonts w:ascii="Times New Roman" w:hAnsi="Times New Roman" w:cs="Times New Roman"/>
          <w:sz w:val="24"/>
          <w:szCs w:val="24"/>
        </w:rPr>
        <w:t>increase in</w:t>
      </w:r>
      <w:r w:rsidR="0028723B">
        <w:rPr>
          <w:rFonts w:ascii="Times New Roman" w:hAnsi="Times New Roman" w:cs="Times New Roman"/>
          <w:sz w:val="24"/>
          <w:szCs w:val="24"/>
        </w:rPr>
        <w:t xml:space="preserve"> </w:t>
      </w:r>
      <w:r w:rsidR="000D525F">
        <w:rPr>
          <w:rFonts w:ascii="Times New Roman" w:hAnsi="Times New Roman" w:cs="Times New Roman"/>
          <w:sz w:val="24"/>
          <w:szCs w:val="24"/>
        </w:rPr>
        <w:t xml:space="preserve">energy related carbon dioxide emission higher than GDP. In the case of Indonesia </w:t>
      </w:r>
      <w:r w:rsidR="0030053B">
        <w:rPr>
          <w:rFonts w:ascii="Times New Roman" w:hAnsi="Times New Roman" w:cs="Times New Roman"/>
          <w:sz w:val="24"/>
          <w:szCs w:val="24"/>
        </w:rPr>
        <w:t>a possible explanation can be related to the rapid developm</w:t>
      </w:r>
      <w:r w:rsidR="00CC2D61">
        <w:rPr>
          <w:rFonts w:ascii="Times New Roman" w:hAnsi="Times New Roman" w:cs="Times New Roman"/>
          <w:sz w:val="24"/>
          <w:szCs w:val="24"/>
        </w:rPr>
        <w:t>ent of manufacturing activities</w:t>
      </w:r>
      <w:r w:rsidR="00324EE7">
        <w:rPr>
          <w:rFonts w:ascii="Times New Roman" w:hAnsi="Times New Roman" w:cs="Times New Roman"/>
          <w:sz w:val="24"/>
          <w:szCs w:val="24"/>
        </w:rPr>
        <w:t xml:space="preserve"> </w:t>
      </w:r>
      <w:r w:rsidR="00791C0A">
        <w:rPr>
          <w:rFonts w:ascii="Times New Roman" w:hAnsi="Times New Roman" w:cs="Times New Roman"/>
          <w:sz w:val="24"/>
          <w:szCs w:val="24"/>
        </w:rPr>
        <w:t xml:space="preserve">[36]. </w:t>
      </w:r>
      <w:r w:rsidR="0030053B">
        <w:rPr>
          <w:rFonts w:ascii="Times New Roman" w:hAnsi="Times New Roman" w:cs="Times New Roman"/>
          <w:sz w:val="24"/>
          <w:szCs w:val="24"/>
        </w:rPr>
        <w:t xml:space="preserve">According to data provided by </w:t>
      </w:r>
      <w:r w:rsidR="00791C0A">
        <w:rPr>
          <w:rFonts w:ascii="Times New Roman" w:hAnsi="Times New Roman" w:cs="Times New Roman"/>
          <w:sz w:val="24"/>
          <w:szCs w:val="24"/>
        </w:rPr>
        <w:t>[37]</w:t>
      </w:r>
      <w:r w:rsidR="0030053B">
        <w:rPr>
          <w:rFonts w:ascii="Times New Roman" w:hAnsi="Times New Roman" w:cs="Times New Roman"/>
          <w:sz w:val="24"/>
          <w:szCs w:val="24"/>
        </w:rPr>
        <w:t xml:space="preserve"> the contribution of </w:t>
      </w:r>
      <w:r w:rsidR="00737E76">
        <w:rPr>
          <w:rFonts w:ascii="Times New Roman" w:hAnsi="Times New Roman" w:cs="Times New Roman"/>
          <w:sz w:val="24"/>
          <w:szCs w:val="24"/>
        </w:rPr>
        <w:t xml:space="preserve">the </w:t>
      </w:r>
      <w:r w:rsidR="0030053B">
        <w:rPr>
          <w:rFonts w:ascii="Times New Roman" w:hAnsi="Times New Roman" w:cs="Times New Roman"/>
          <w:sz w:val="24"/>
          <w:szCs w:val="24"/>
        </w:rPr>
        <w:t xml:space="preserve">industrial sector to the overall GDP production increased by around 5% and the consumption of coal nearly tripled during the last decade. </w:t>
      </w:r>
      <w:r w:rsidR="008F7320">
        <w:rPr>
          <w:rFonts w:ascii="Times New Roman" w:hAnsi="Times New Roman" w:cs="Times New Roman"/>
          <w:sz w:val="24"/>
          <w:szCs w:val="24"/>
        </w:rPr>
        <w:t xml:space="preserve">For Denmark the main reason can be linked to the fact that the sectors that expanded the most are “water transports” and “coke, refined petroleum and nuclear fuel” characterized by a high carbon intensity rate </w:t>
      </w:r>
      <w:r w:rsidR="00791C0A">
        <w:rPr>
          <w:rFonts w:ascii="Times New Roman" w:hAnsi="Times New Roman" w:cs="Times New Roman"/>
          <w:sz w:val="24"/>
          <w:szCs w:val="24"/>
        </w:rPr>
        <w:t>[38]</w:t>
      </w:r>
      <w:r w:rsidR="005D756D">
        <w:rPr>
          <w:rFonts w:ascii="Times New Roman" w:hAnsi="Times New Roman" w:cs="Times New Roman"/>
          <w:sz w:val="24"/>
          <w:szCs w:val="24"/>
        </w:rPr>
        <w:t xml:space="preserve">. </w:t>
      </w:r>
      <w:r w:rsidR="0028723B">
        <w:rPr>
          <w:rFonts w:ascii="Times New Roman" w:hAnsi="Times New Roman" w:cs="Times New Roman"/>
          <w:sz w:val="24"/>
          <w:szCs w:val="24"/>
        </w:rPr>
        <w:t xml:space="preserve">Belgium (-5.8%), </w:t>
      </w:r>
      <w:r w:rsidR="00B369D4">
        <w:rPr>
          <w:rFonts w:ascii="Times New Roman" w:hAnsi="Times New Roman" w:cs="Times New Roman"/>
          <w:sz w:val="24"/>
          <w:szCs w:val="24"/>
        </w:rPr>
        <w:t>France (-1.2%), Germany (-7.1%)</w:t>
      </w:r>
      <w:r w:rsidR="009928DA">
        <w:rPr>
          <w:rFonts w:ascii="Times New Roman" w:hAnsi="Times New Roman" w:cs="Times New Roman"/>
          <w:sz w:val="24"/>
          <w:szCs w:val="24"/>
        </w:rPr>
        <w:t>, Hungary (-2.7%), Luxembourg (-</w:t>
      </w:r>
      <w:r w:rsidR="00B369D4">
        <w:rPr>
          <w:rFonts w:ascii="Times New Roman" w:hAnsi="Times New Roman" w:cs="Times New Roman"/>
          <w:sz w:val="24"/>
          <w:szCs w:val="24"/>
        </w:rPr>
        <w:t xml:space="preserve">36.4%), Poland (-9.1%), Slovak Republic (-13.1%) and Sweden (-2%) are the only countries that reduced the </w:t>
      </w:r>
      <w:r w:rsidR="008C7A30">
        <w:rPr>
          <w:rFonts w:ascii="Times New Roman" w:hAnsi="Times New Roman" w:cs="Times New Roman"/>
          <w:sz w:val="24"/>
          <w:szCs w:val="24"/>
        </w:rPr>
        <w:t xml:space="preserve">quantity of </w:t>
      </w:r>
      <w:r w:rsidR="00F245A0">
        <w:rPr>
          <w:rFonts w:ascii="Times New Roman" w:hAnsi="Times New Roman" w:cs="Times New Roman"/>
          <w:sz w:val="24"/>
          <w:szCs w:val="24"/>
        </w:rPr>
        <w:t>CO</w:t>
      </w:r>
      <w:r w:rsidR="00F245A0" w:rsidRPr="00F245A0">
        <w:rPr>
          <w:rFonts w:ascii="Times New Roman" w:hAnsi="Times New Roman" w:cs="Times New Roman"/>
          <w:sz w:val="24"/>
          <w:szCs w:val="24"/>
          <w:vertAlign w:val="subscript"/>
        </w:rPr>
        <w:t>2</w:t>
      </w:r>
      <w:r w:rsidR="005D756D">
        <w:rPr>
          <w:rFonts w:ascii="Times New Roman" w:hAnsi="Times New Roman" w:cs="Times New Roman"/>
          <w:sz w:val="24"/>
          <w:szCs w:val="24"/>
        </w:rPr>
        <w:t xml:space="preserve"> between </w:t>
      </w:r>
      <w:r w:rsidR="008E550C">
        <w:rPr>
          <w:rFonts w:ascii="Times New Roman" w:hAnsi="Times New Roman" w:cs="Times New Roman"/>
          <w:sz w:val="24"/>
          <w:szCs w:val="24"/>
        </w:rPr>
        <w:t xml:space="preserve">1995 and 2007. Changes in fuels, </w:t>
      </w:r>
      <w:r w:rsidR="005D756D">
        <w:rPr>
          <w:rFonts w:ascii="Times New Roman" w:hAnsi="Times New Roman" w:cs="Times New Roman"/>
          <w:sz w:val="24"/>
          <w:szCs w:val="24"/>
        </w:rPr>
        <w:t>efficiency improvements</w:t>
      </w:r>
      <w:r w:rsidR="008E550C">
        <w:rPr>
          <w:rFonts w:ascii="Times New Roman" w:hAnsi="Times New Roman" w:cs="Times New Roman"/>
          <w:sz w:val="24"/>
          <w:szCs w:val="24"/>
        </w:rPr>
        <w:t xml:space="preserve"> and changes in economic activities can be the main factors responsible for this trend </w:t>
      </w:r>
      <w:r w:rsidR="00510517">
        <w:rPr>
          <w:rFonts w:ascii="Times New Roman" w:hAnsi="Times New Roman" w:cs="Times New Roman"/>
          <w:sz w:val="24"/>
          <w:szCs w:val="24"/>
        </w:rPr>
        <w:t>[39, 24, 25, 40]</w:t>
      </w:r>
      <w:r w:rsidR="00DB32F3">
        <w:rPr>
          <w:rFonts w:ascii="Times New Roman" w:hAnsi="Times New Roman" w:cs="Times New Roman"/>
          <w:sz w:val="24"/>
          <w:szCs w:val="24"/>
        </w:rPr>
        <w:t>.</w:t>
      </w:r>
      <w:r w:rsidR="005D756D">
        <w:rPr>
          <w:rFonts w:ascii="Times New Roman" w:hAnsi="Times New Roman" w:cs="Times New Roman"/>
          <w:sz w:val="24"/>
          <w:szCs w:val="24"/>
        </w:rPr>
        <w:t xml:space="preserve"> </w:t>
      </w:r>
    </w:p>
    <w:p w14:paraId="78E1B35E" w14:textId="77777777" w:rsidR="00CE1271" w:rsidRDefault="00CE1271" w:rsidP="00BA06F3">
      <w:pPr>
        <w:spacing w:after="0" w:line="360" w:lineRule="auto"/>
        <w:jc w:val="both"/>
        <w:rPr>
          <w:rFonts w:ascii="Times New Roman" w:hAnsi="Times New Roman" w:cs="Times New Roman"/>
          <w:sz w:val="24"/>
          <w:szCs w:val="24"/>
        </w:rPr>
      </w:pPr>
    </w:p>
    <w:p w14:paraId="05AB0DFF" w14:textId="77777777" w:rsidR="00BA06F3" w:rsidRDefault="00974671" w:rsidP="00B369D4">
      <w:pPr>
        <w:spacing w:after="0" w:line="240" w:lineRule="auto"/>
        <w:jc w:val="both"/>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Figure</w:t>
      </w:r>
      <w:r w:rsidR="00D04448">
        <w:rPr>
          <w:rFonts w:ascii="Times New Roman" w:eastAsia="Times New Roman" w:hAnsi="Times New Roman" w:cs="Times New Roman"/>
          <w:b/>
          <w:bCs/>
          <w:color w:val="000000"/>
          <w:sz w:val="24"/>
          <w:szCs w:val="24"/>
          <w:lang w:eastAsia="en-GB"/>
        </w:rPr>
        <w:t xml:space="preserve"> 4</w:t>
      </w:r>
      <w:r w:rsidR="005B153B">
        <w:rPr>
          <w:rFonts w:ascii="Times New Roman" w:eastAsia="Times New Roman" w:hAnsi="Times New Roman" w:cs="Times New Roman"/>
          <w:b/>
          <w:bCs/>
          <w:color w:val="000000"/>
          <w:sz w:val="24"/>
          <w:szCs w:val="24"/>
          <w:lang w:eastAsia="en-GB"/>
        </w:rPr>
        <w:t>a</w:t>
      </w:r>
      <w:r w:rsidR="00B369D4">
        <w:rPr>
          <w:rFonts w:ascii="Times New Roman" w:eastAsia="Times New Roman" w:hAnsi="Times New Roman" w:cs="Times New Roman"/>
          <w:b/>
          <w:bCs/>
          <w:color w:val="000000"/>
          <w:sz w:val="24"/>
          <w:szCs w:val="24"/>
          <w:lang w:eastAsia="en-GB"/>
        </w:rPr>
        <w:t xml:space="preserve">. </w:t>
      </w:r>
      <w:r w:rsidR="00B369D4" w:rsidRPr="00CA282A">
        <w:rPr>
          <w:rFonts w:ascii="Times New Roman" w:eastAsia="Times New Roman" w:hAnsi="Times New Roman" w:cs="Times New Roman"/>
          <w:b/>
          <w:bCs/>
          <w:color w:val="000000"/>
          <w:sz w:val="24"/>
          <w:szCs w:val="24"/>
          <w:lang w:eastAsia="en-GB"/>
        </w:rPr>
        <w:t>GDP</w:t>
      </w:r>
      <w:r w:rsidR="00B369D4">
        <w:rPr>
          <w:rFonts w:ascii="Times New Roman" w:eastAsia="Times New Roman" w:hAnsi="Times New Roman" w:cs="Times New Roman"/>
          <w:b/>
          <w:bCs/>
          <w:color w:val="000000"/>
          <w:sz w:val="24"/>
          <w:szCs w:val="24"/>
          <w:lang w:eastAsia="en-GB"/>
        </w:rPr>
        <w:t xml:space="preserve"> and CO</w:t>
      </w:r>
      <w:r w:rsidR="00B369D4" w:rsidRPr="00803ABC">
        <w:rPr>
          <w:rFonts w:ascii="Times New Roman" w:eastAsia="Times New Roman" w:hAnsi="Times New Roman" w:cs="Times New Roman"/>
          <w:b/>
          <w:bCs/>
          <w:color w:val="000000"/>
          <w:sz w:val="24"/>
          <w:szCs w:val="24"/>
          <w:vertAlign w:val="subscript"/>
          <w:lang w:eastAsia="en-GB"/>
        </w:rPr>
        <w:t>2</w:t>
      </w:r>
      <w:r w:rsidR="00B369D4" w:rsidRPr="00CA282A">
        <w:rPr>
          <w:rFonts w:ascii="Times New Roman" w:eastAsia="Times New Roman" w:hAnsi="Times New Roman" w:cs="Times New Roman"/>
          <w:b/>
          <w:bCs/>
          <w:color w:val="000000"/>
          <w:sz w:val="24"/>
          <w:szCs w:val="24"/>
          <w:lang w:eastAsia="en-GB"/>
        </w:rPr>
        <w:t xml:space="preserve"> </w:t>
      </w:r>
      <w:r w:rsidR="00B369D4">
        <w:rPr>
          <w:rFonts w:ascii="Times New Roman" w:eastAsia="Times New Roman" w:hAnsi="Times New Roman" w:cs="Times New Roman"/>
          <w:b/>
          <w:bCs/>
          <w:color w:val="000000"/>
          <w:sz w:val="24"/>
          <w:szCs w:val="24"/>
          <w:lang w:eastAsia="en-GB"/>
        </w:rPr>
        <w:t xml:space="preserve">emissions </w:t>
      </w:r>
      <w:r w:rsidR="00D04448">
        <w:rPr>
          <w:rFonts w:ascii="Times New Roman" w:eastAsia="Times New Roman" w:hAnsi="Times New Roman" w:cs="Times New Roman"/>
          <w:b/>
          <w:bCs/>
          <w:color w:val="000000"/>
          <w:sz w:val="24"/>
          <w:szCs w:val="24"/>
          <w:lang w:eastAsia="en-GB"/>
        </w:rPr>
        <w:t>–</w:t>
      </w:r>
      <w:r w:rsidR="00B369D4">
        <w:rPr>
          <w:rFonts w:ascii="Times New Roman" w:eastAsia="Times New Roman" w:hAnsi="Times New Roman" w:cs="Times New Roman"/>
          <w:b/>
          <w:bCs/>
          <w:color w:val="000000"/>
          <w:sz w:val="24"/>
          <w:szCs w:val="24"/>
          <w:lang w:eastAsia="en-GB"/>
        </w:rPr>
        <w:t xml:space="preserve"> Percentage variation (1995-2007)</w:t>
      </w:r>
    </w:p>
    <w:p w14:paraId="0E449208" w14:textId="77777777" w:rsidR="00DE0304" w:rsidRDefault="007251B5" w:rsidP="00B369D4">
      <w:pPr>
        <w:spacing w:after="0" w:line="240" w:lineRule="auto"/>
        <w:jc w:val="both"/>
        <w:rPr>
          <w:rFonts w:ascii="Times New Roman" w:hAnsi="Times New Roman" w:cs="Times New Roman"/>
          <w:sz w:val="24"/>
          <w:szCs w:val="24"/>
        </w:rPr>
      </w:pPr>
      <w:r>
        <w:rPr>
          <w:noProof/>
          <w:lang w:val="it-IT" w:eastAsia="it-IT"/>
        </w:rPr>
        <w:drawing>
          <wp:inline distT="0" distB="0" distL="0" distR="0" wp14:anchorId="6F440DEE" wp14:editId="20D74DC9">
            <wp:extent cx="5731510" cy="2516273"/>
            <wp:effectExtent l="0" t="0" r="2540" b="0"/>
            <wp:docPr id="11" name="Gra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7A2FEB1" w14:textId="77777777" w:rsidR="00D04448" w:rsidRDefault="00D04448" w:rsidP="00D04448">
      <w:pPr>
        <w:spacing w:line="360" w:lineRule="auto"/>
        <w:jc w:val="both"/>
        <w:rPr>
          <w:rFonts w:ascii="Times New Roman" w:hAnsi="Times New Roman" w:cs="Times New Roman"/>
          <w:sz w:val="20"/>
          <w:szCs w:val="20"/>
        </w:rPr>
      </w:pPr>
      <w:r w:rsidRPr="00D04448">
        <w:rPr>
          <w:rFonts w:ascii="Times New Roman" w:hAnsi="Times New Roman" w:cs="Times New Roman"/>
          <w:sz w:val="20"/>
          <w:szCs w:val="20"/>
        </w:rPr>
        <w:t xml:space="preserve">Source: </w:t>
      </w:r>
      <w:r w:rsidR="00A5002C">
        <w:rPr>
          <w:rFonts w:ascii="Times New Roman" w:hAnsi="Times New Roman" w:cs="Times New Roman"/>
          <w:sz w:val="20"/>
          <w:szCs w:val="20"/>
        </w:rPr>
        <w:t>[9, 21]</w:t>
      </w:r>
    </w:p>
    <w:p w14:paraId="204572ED" w14:textId="77777777" w:rsidR="008B681D" w:rsidRDefault="008B681D" w:rsidP="00CE16A7">
      <w:pPr>
        <w:spacing w:after="0" w:line="240" w:lineRule="auto"/>
        <w:jc w:val="both"/>
        <w:rPr>
          <w:rFonts w:ascii="Times New Roman" w:eastAsia="Times New Roman" w:hAnsi="Times New Roman" w:cs="Times New Roman"/>
          <w:b/>
          <w:bCs/>
          <w:color w:val="000000"/>
          <w:sz w:val="24"/>
          <w:szCs w:val="24"/>
          <w:lang w:eastAsia="en-GB"/>
        </w:rPr>
      </w:pPr>
    </w:p>
    <w:p w14:paraId="2356B535" w14:textId="77777777" w:rsidR="008B681D" w:rsidRDefault="008B681D" w:rsidP="00CE16A7">
      <w:pPr>
        <w:spacing w:after="0" w:line="240" w:lineRule="auto"/>
        <w:jc w:val="both"/>
        <w:rPr>
          <w:rFonts w:ascii="Times New Roman" w:eastAsia="Times New Roman" w:hAnsi="Times New Roman" w:cs="Times New Roman"/>
          <w:b/>
          <w:bCs/>
          <w:color w:val="000000"/>
          <w:sz w:val="24"/>
          <w:szCs w:val="24"/>
          <w:lang w:eastAsia="en-GB"/>
        </w:rPr>
      </w:pPr>
    </w:p>
    <w:p w14:paraId="4311B893" w14:textId="77777777" w:rsidR="00CE16A7" w:rsidRDefault="00CE16A7" w:rsidP="00CE16A7">
      <w:pPr>
        <w:spacing w:after="0" w:line="240" w:lineRule="auto"/>
        <w:jc w:val="both"/>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lastRenderedPageBreak/>
        <w:t xml:space="preserve">Figure 4b. </w:t>
      </w:r>
      <w:r w:rsidRPr="00CA282A">
        <w:rPr>
          <w:rFonts w:ascii="Times New Roman" w:eastAsia="Times New Roman" w:hAnsi="Times New Roman" w:cs="Times New Roman"/>
          <w:b/>
          <w:bCs/>
          <w:color w:val="000000"/>
          <w:sz w:val="24"/>
          <w:szCs w:val="24"/>
          <w:lang w:eastAsia="en-GB"/>
        </w:rPr>
        <w:t>GDP</w:t>
      </w:r>
      <w:r>
        <w:rPr>
          <w:rFonts w:ascii="Times New Roman" w:eastAsia="Times New Roman" w:hAnsi="Times New Roman" w:cs="Times New Roman"/>
          <w:b/>
          <w:bCs/>
          <w:color w:val="000000"/>
          <w:sz w:val="24"/>
          <w:szCs w:val="24"/>
          <w:lang w:eastAsia="en-GB"/>
        </w:rPr>
        <w:t xml:space="preserve"> and CO</w:t>
      </w:r>
      <w:r w:rsidRPr="00803ABC">
        <w:rPr>
          <w:rFonts w:ascii="Times New Roman" w:eastAsia="Times New Roman" w:hAnsi="Times New Roman" w:cs="Times New Roman"/>
          <w:b/>
          <w:bCs/>
          <w:color w:val="000000"/>
          <w:sz w:val="24"/>
          <w:szCs w:val="24"/>
          <w:vertAlign w:val="subscript"/>
          <w:lang w:eastAsia="en-GB"/>
        </w:rPr>
        <w:t>2</w:t>
      </w:r>
      <w:r w:rsidRPr="00CA282A">
        <w:rPr>
          <w:rFonts w:ascii="Times New Roman" w:eastAsia="Times New Roman" w:hAnsi="Times New Roman" w:cs="Times New Roman"/>
          <w:b/>
          <w:bCs/>
          <w:color w:val="000000"/>
          <w:sz w:val="24"/>
          <w:szCs w:val="24"/>
          <w:lang w:eastAsia="en-GB"/>
        </w:rPr>
        <w:t xml:space="preserve"> </w:t>
      </w:r>
      <w:r>
        <w:rPr>
          <w:rFonts w:ascii="Times New Roman" w:eastAsia="Times New Roman" w:hAnsi="Times New Roman" w:cs="Times New Roman"/>
          <w:b/>
          <w:bCs/>
          <w:color w:val="000000"/>
          <w:sz w:val="24"/>
          <w:szCs w:val="24"/>
          <w:lang w:eastAsia="en-GB"/>
        </w:rPr>
        <w:t>emissions – Percentage variation (Brazil 2000-2008 and India 2004-2008)</w:t>
      </w:r>
    </w:p>
    <w:p w14:paraId="19E2A503" w14:textId="77777777" w:rsidR="00CE16A7" w:rsidRPr="00D04448" w:rsidRDefault="00CE16A7" w:rsidP="00D04448">
      <w:pPr>
        <w:spacing w:line="360" w:lineRule="auto"/>
        <w:jc w:val="both"/>
        <w:rPr>
          <w:rFonts w:ascii="Times New Roman" w:hAnsi="Times New Roman" w:cs="Times New Roman"/>
          <w:sz w:val="20"/>
          <w:szCs w:val="20"/>
        </w:rPr>
      </w:pPr>
    </w:p>
    <w:p w14:paraId="28991614" w14:textId="0043FCA2" w:rsidR="000127B2" w:rsidRDefault="00CE16A7" w:rsidP="000127B2">
      <w:pPr>
        <w:spacing w:line="360" w:lineRule="auto"/>
        <w:jc w:val="both"/>
        <w:rPr>
          <w:rFonts w:ascii="Times New Roman" w:hAnsi="Times New Roman" w:cs="Times New Roman"/>
          <w:sz w:val="20"/>
          <w:szCs w:val="20"/>
        </w:rPr>
      </w:pPr>
      <w:r>
        <w:rPr>
          <w:noProof/>
          <w:lang w:val="it-IT" w:eastAsia="it-IT"/>
        </w:rPr>
        <w:drawing>
          <wp:inline distT="0" distB="0" distL="0" distR="0" wp14:anchorId="7ECFE844" wp14:editId="090E6727">
            <wp:extent cx="2600325" cy="2895600"/>
            <wp:effectExtent l="0" t="0" r="0" b="0"/>
            <wp:docPr id="3" name="Gra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0127B2" w:rsidRPr="00D04448">
        <w:rPr>
          <w:rFonts w:ascii="Times New Roman" w:hAnsi="Times New Roman" w:cs="Times New Roman"/>
          <w:sz w:val="20"/>
          <w:szCs w:val="20"/>
        </w:rPr>
        <w:t xml:space="preserve">Source: </w:t>
      </w:r>
      <w:r w:rsidR="000127B2">
        <w:rPr>
          <w:rFonts w:ascii="Times New Roman" w:hAnsi="Times New Roman" w:cs="Times New Roman"/>
          <w:sz w:val="20"/>
          <w:szCs w:val="20"/>
        </w:rPr>
        <w:t>[9, 21]</w:t>
      </w:r>
    </w:p>
    <w:p w14:paraId="13F0B311" w14:textId="77777777" w:rsidR="005B153B" w:rsidRDefault="005B153B" w:rsidP="00B369D4">
      <w:pPr>
        <w:spacing w:after="0" w:line="240" w:lineRule="auto"/>
        <w:jc w:val="both"/>
        <w:rPr>
          <w:rFonts w:ascii="Times New Roman" w:eastAsia="Times New Roman" w:hAnsi="Times New Roman" w:cs="Times New Roman"/>
          <w:b/>
          <w:bCs/>
          <w:color w:val="000000"/>
          <w:sz w:val="24"/>
          <w:szCs w:val="24"/>
          <w:lang w:eastAsia="en-GB"/>
        </w:rPr>
      </w:pPr>
    </w:p>
    <w:p w14:paraId="141256B0" w14:textId="77777777" w:rsidR="00C77EF8" w:rsidRPr="00D04448" w:rsidRDefault="00D04448" w:rsidP="00D04448">
      <w:pPr>
        <w:spacing w:line="360" w:lineRule="auto"/>
        <w:ind w:left="720"/>
        <w:jc w:val="both"/>
        <w:rPr>
          <w:rFonts w:ascii="Times New Roman" w:hAnsi="Times New Roman" w:cs="Times New Roman"/>
          <w:i/>
          <w:sz w:val="24"/>
          <w:szCs w:val="24"/>
        </w:rPr>
      </w:pPr>
      <w:r>
        <w:rPr>
          <w:rFonts w:ascii="Times New Roman" w:hAnsi="Times New Roman" w:cs="Times New Roman"/>
          <w:i/>
          <w:sz w:val="24"/>
          <w:szCs w:val="24"/>
        </w:rPr>
        <w:t xml:space="preserve">2.3 </w:t>
      </w:r>
      <w:r w:rsidR="00C77EF8" w:rsidRPr="00D04448">
        <w:rPr>
          <w:rFonts w:ascii="Times New Roman" w:hAnsi="Times New Roman" w:cs="Times New Roman"/>
          <w:i/>
          <w:sz w:val="24"/>
          <w:szCs w:val="24"/>
        </w:rPr>
        <w:t>Energy and CO</w:t>
      </w:r>
      <w:r w:rsidR="00C77EF8" w:rsidRPr="00D04448">
        <w:rPr>
          <w:rFonts w:ascii="Times New Roman" w:hAnsi="Times New Roman" w:cs="Times New Roman"/>
          <w:i/>
          <w:sz w:val="24"/>
          <w:szCs w:val="24"/>
          <w:vertAlign w:val="subscript"/>
        </w:rPr>
        <w:t>2</w:t>
      </w:r>
      <w:r w:rsidR="00C77EF8" w:rsidRPr="00D04448">
        <w:rPr>
          <w:rFonts w:ascii="Times New Roman" w:hAnsi="Times New Roman" w:cs="Times New Roman"/>
          <w:i/>
          <w:sz w:val="24"/>
          <w:szCs w:val="24"/>
        </w:rPr>
        <w:t xml:space="preserve"> emission intensities:</w:t>
      </w:r>
    </w:p>
    <w:p w14:paraId="1E946AAB" w14:textId="4B3F8607" w:rsidR="004C3DE9" w:rsidRDefault="00463FBA" w:rsidP="00974671">
      <w:pPr>
        <w:spacing w:after="0" w:line="360" w:lineRule="auto"/>
        <w:jc w:val="both"/>
        <w:rPr>
          <w:rFonts w:ascii="Times New Roman" w:eastAsia="Times New Roman" w:hAnsi="Times New Roman" w:cs="Times New Roman"/>
          <w:bCs/>
          <w:color w:val="000000"/>
          <w:sz w:val="24"/>
          <w:szCs w:val="24"/>
          <w:lang w:eastAsia="en-GB"/>
        </w:rPr>
      </w:pPr>
      <w:r>
        <w:rPr>
          <w:rFonts w:ascii="Times New Roman" w:eastAsia="Times New Roman" w:hAnsi="Times New Roman" w:cs="Times New Roman"/>
          <w:bCs/>
          <w:color w:val="000000"/>
          <w:sz w:val="24"/>
          <w:szCs w:val="24"/>
          <w:lang w:eastAsia="en-GB"/>
        </w:rPr>
        <w:t xml:space="preserve">A positive aspect that contrasts </w:t>
      </w:r>
      <w:r w:rsidR="00737E76">
        <w:rPr>
          <w:rFonts w:ascii="Times New Roman" w:eastAsia="Times New Roman" w:hAnsi="Times New Roman" w:cs="Times New Roman"/>
          <w:bCs/>
          <w:color w:val="000000"/>
          <w:sz w:val="24"/>
          <w:szCs w:val="24"/>
          <w:lang w:eastAsia="en-GB"/>
        </w:rPr>
        <w:t xml:space="preserve">with the </w:t>
      </w:r>
      <w:r w:rsidR="00CC60ED">
        <w:rPr>
          <w:rFonts w:ascii="Times New Roman" w:eastAsia="Times New Roman" w:hAnsi="Times New Roman" w:cs="Times New Roman"/>
          <w:bCs/>
          <w:color w:val="000000"/>
          <w:sz w:val="24"/>
          <w:szCs w:val="24"/>
          <w:lang w:eastAsia="en-GB"/>
        </w:rPr>
        <w:t>figures of CO</w:t>
      </w:r>
      <w:r w:rsidR="00CC60ED" w:rsidRPr="00CC60ED">
        <w:rPr>
          <w:rFonts w:ascii="Times New Roman" w:eastAsia="Times New Roman" w:hAnsi="Times New Roman" w:cs="Times New Roman"/>
          <w:bCs/>
          <w:color w:val="000000"/>
          <w:sz w:val="24"/>
          <w:szCs w:val="24"/>
          <w:vertAlign w:val="subscript"/>
          <w:lang w:eastAsia="en-GB"/>
        </w:rPr>
        <w:t>2</w:t>
      </w:r>
      <w:r w:rsidR="00CC60ED">
        <w:rPr>
          <w:rFonts w:ascii="Times New Roman" w:eastAsia="Times New Roman" w:hAnsi="Times New Roman" w:cs="Times New Roman"/>
          <w:bCs/>
          <w:color w:val="000000"/>
          <w:sz w:val="24"/>
          <w:szCs w:val="24"/>
          <w:lang w:eastAsia="en-GB"/>
        </w:rPr>
        <w:t xml:space="preserve"> emissions increase reported by the </w:t>
      </w:r>
      <w:r>
        <w:rPr>
          <w:rFonts w:ascii="Times New Roman" w:eastAsia="Times New Roman" w:hAnsi="Times New Roman" w:cs="Times New Roman"/>
          <w:bCs/>
          <w:color w:val="000000"/>
          <w:sz w:val="24"/>
          <w:szCs w:val="24"/>
          <w:lang w:eastAsia="en-GB"/>
        </w:rPr>
        <w:t>majority of the countries presented in Figure 1 is that in terms of energy and CO</w:t>
      </w:r>
      <w:r w:rsidRPr="00CC60ED">
        <w:rPr>
          <w:rFonts w:ascii="Times New Roman" w:eastAsia="Times New Roman" w:hAnsi="Times New Roman" w:cs="Times New Roman"/>
          <w:bCs/>
          <w:color w:val="000000"/>
          <w:sz w:val="24"/>
          <w:szCs w:val="24"/>
          <w:vertAlign w:val="subscript"/>
          <w:lang w:eastAsia="en-GB"/>
        </w:rPr>
        <w:t>2</w:t>
      </w:r>
      <w:r>
        <w:rPr>
          <w:rFonts w:ascii="Times New Roman" w:eastAsia="Times New Roman" w:hAnsi="Times New Roman" w:cs="Times New Roman"/>
          <w:bCs/>
          <w:color w:val="000000"/>
          <w:sz w:val="24"/>
          <w:szCs w:val="24"/>
          <w:lang w:eastAsia="en-GB"/>
        </w:rPr>
        <w:t xml:space="preserve"> emission intensities, almost all the countries considered in this paper reduced both the quantity of energy used per unit of GDP and the quantity of emissions generated per unit of energy used. According </w:t>
      </w:r>
      <w:r w:rsidR="00D04448">
        <w:rPr>
          <w:rFonts w:ascii="Times New Roman" w:eastAsia="Times New Roman" w:hAnsi="Times New Roman" w:cs="Times New Roman"/>
          <w:bCs/>
          <w:color w:val="000000"/>
          <w:sz w:val="24"/>
          <w:szCs w:val="24"/>
          <w:lang w:eastAsia="en-GB"/>
        </w:rPr>
        <w:t>to the data reported in Figure</w:t>
      </w:r>
      <w:r w:rsidR="00A81A28">
        <w:rPr>
          <w:rFonts w:ascii="Times New Roman" w:eastAsia="Times New Roman" w:hAnsi="Times New Roman" w:cs="Times New Roman"/>
          <w:bCs/>
          <w:color w:val="000000"/>
          <w:sz w:val="24"/>
          <w:szCs w:val="24"/>
          <w:lang w:eastAsia="en-GB"/>
        </w:rPr>
        <w:t>s</w:t>
      </w:r>
      <w:r w:rsidR="00D04448">
        <w:rPr>
          <w:rFonts w:ascii="Times New Roman" w:eastAsia="Times New Roman" w:hAnsi="Times New Roman" w:cs="Times New Roman"/>
          <w:bCs/>
          <w:color w:val="000000"/>
          <w:sz w:val="24"/>
          <w:szCs w:val="24"/>
          <w:lang w:eastAsia="en-GB"/>
        </w:rPr>
        <w:t xml:space="preserve"> 5</w:t>
      </w:r>
      <w:r w:rsidR="00A81A28">
        <w:rPr>
          <w:rFonts w:ascii="Times New Roman" w:eastAsia="Times New Roman" w:hAnsi="Times New Roman" w:cs="Times New Roman"/>
          <w:bCs/>
          <w:color w:val="000000"/>
          <w:sz w:val="24"/>
          <w:szCs w:val="24"/>
          <w:lang w:eastAsia="en-GB"/>
        </w:rPr>
        <w:t>a and 5b</w:t>
      </w:r>
      <w:r>
        <w:rPr>
          <w:rFonts w:ascii="Times New Roman" w:eastAsia="Times New Roman" w:hAnsi="Times New Roman" w:cs="Times New Roman"/>
          <w:bCs/>
          <w:color w:val="000000"/>
          <w:sz w:val="24"/>
          <w:szCs w:val="24"/>
          <w:lang w:eastAsia="en-GB"/>
        </w:rPr>
        <w:t>,</w:t>
      </w:r>
      <w:r w:rsidR="00974671">
        <w:rPr>
          <w:rFonts w:ascii="Times New Roman" w:eastAsia="Times New Roman" w:hAnsi="Times New Roman" w:cs="Times New Roman"/>
          <w:bCs/>
          <w:color w:val="000000"/>
          <w:sz w:val="24"/>
          <w:szCs w:val="24"/>
          <w:lang w:eastAsia="en-GB"/>
        </w:rPr>
        <w:t xml:space="preserve"> Denmark</w:t>
      </w:r>
      <w:r w:rsidR="00A81A28">
        <w:rPr>
          <w:rFonts w:ascii="Times New Roman" w:eastAsia="Times New Roman" w:hAnsi="Times New Roman" w:cs="Times New Roman"/>
          <w:bCs/>
          <w:color w:val="000000"/>
          <w:sz w:val="24"/>
          <w:szCs w:val="24"/>
          <w:lang w:eastAsia="en-GB"/>
        </w:rPr>
        <w:t xml:space="preserve"> (+10.3%)</w:t>
      </w:r>
      <w:r w:rsidR="00974671">
        <w:rPr>
          <w:rFonts w:ascii="Times New Roman" w:eastAsia="Times New Roman" w:hAnsi="Times New Roman" w:cs="Times New Roman"/>
          <w:bCs/>
          <w:color w:val="000000"/>
          <w:sz w:val="24"/>
          <w:szCs w:val="24"/>
          <w:lang w:eastAsia="en-GB"/>
        </w:rPr>
        <w:t>, Greece</w:t>
      </w:r>
      <w:r w:rsidR="00A81A28">
        <w:rPr>
          <w:rFonts w:ascii="Times New Roman" w:eastAsia="Times New Roman" w:hAnsi="Times New Roman" w:cs="Times New Roman"/>
          <w:bCs/>
          <w:color w:val="000000"/>
          <w:sz w:val="24"/>
          <w:szCs w:val="24"/>
          <w:lang w:eastAsia="en-GB"/>
        </w:rPr>
        <w:t xml:space="preserve"> (+3.9%)</w:t>
      </w:r>
      <w:r w:rsidR="00974671">
        <w:rPr>
          <w:rFonts w:ascii="Times New Roman" w:eastAsia="Times New Roman" w:hAnsi="Times New Roman" w:cs="Times New Roman"/>
          <w:bCs/>
          <w:color w:val="000000"/>
          <w:sz w:val="24"/>
          <w:szCs w:val="24"/>
          <w:lang w:eastAsia="en-GB"/>
        </w:rPr>
        <w:t>, Indonesia</w:t>
      </w:r>
      <w:r w:rsidR="00A81A28">
        <w:rPr>
          <w:rFonts w:ascii="Times New Roman" w:eastAsia="Times New Roman" w:hAnsi="Times New Roman" w:cs="Times New Roman"/>
          <w:bCs/>
          <w:color w:val="000000"/>
          <w:sz w:val="24"/>
          <w:szCs w:val="24"/>
          <w:lang w:eastAsia="en-GB"/>
        </w:rPr>
        <w:t xml:space="preserve"> (+5.9%),</w:t>
      </w:r>
      <w:r w:rsidR="00974671">
        <w:rPr>
          <w:rFonts w:ascii="Times New Roman" w:eastAsia="Times New Roman" w:hAnsi="Times New Roman" w:cs="Times New Roman"/>
          <w:bCs/>
          <w:color w:val="000000"/>
          <w:sz w:val="24"/>
          <w:szCs w:val="24"/>
          <w:lang w:eastAsia="en-GB"/>
        </w:rPr>
        <w:t xml:space="preserve"> Turkey </w:t>
      </w:r>
      <w:r w:rsidR="00A81A28">
        <w:rPr>
          <w:rFonts w:ascii="Times New Roman" w:eastAsia="Times New Roman" w:hAnsi="Times New Roman" w:cs="Times New Roman"/>
          <w:bCs/>
          <w:color w:val="000000"/>
          <w:sz w:val="24"/>
          <w:szCs w:val="24"/>
          <w:lang w:eastAsia="en-GB"/>
        </w:rPr>
        <w:t xml:space="preserve">(+0.3%) and Brazil (+1.2% between 2000 and 2008) </w:t>
      </w:r>
      <w:r w:rsidR="00974671">
        <w:rPr>
          <w:rFonts w:ascii="Times New Roman" w:eastAsia="Times New Roman" w:hAnsi="Times New Roman" w:cs="Times New Roman"/>
          <w:bCs/>
          <w:color w:val="000000"/>
          <w:sz w:val="24"/>
          <w:szCs w:val="24"/>
          <w:lang w:eastAsia="en-GB"/>
        </w:rPr>
        <w:t xml:space="preserve">are the only countries that increase the energy </w:t>
      </w:r>
      <w:r>
        <w:rPr>
          <w:rFonts w:ascii="Times New Roman" w:eastAsia="Times New Roman" w:hAnsi="Times New Roman" w:cs="Times New Roman"/>
          <w:bCs/>
          <w:color w:val="000000"/>
          <w:sz w:val="24"/>
          <w:szCs w:val="24"/>
          <w:lang w:eastAsia="en-GB"/>
        </w:rPr>
        <w:t>used per unit of GDP</w:t>
      </w:r>
      <w:r w:rsidR="00974671">
        <w:rPr>
          <w:rFonts w:ascii="Times New Roman" w:eastAsia="Times New Roman" w:hAnsi="Times New Roman" w:cs="Times New Roman"/>
          <w:bCs/>
          <w:color w:val="000000"/>
          <w:sz w:val="24"/>
          <w:szCs w:val="24"/>
          <w:lang w:eastAsia="en-GB"/>
        </w:rPr>
        <w:t xml:space="preserve">. </w:t>
      </w:r>
      <w:r w:rsidR="0096615A">
        <w:rPr>
          <w:rFonts w:ascii="Times New Roman" w:eastAsia="Times New Roman" w:hAnsi="Times New Roman" w:cs="Times New Roman"/>
          <w:bCs/>
          <w:color w:val="000000"/>
          <w:sz w:val="24"/>
          <w:szCs w:val="24"/>
          <w:lang w:eastAsia="en-GB"/>
        </w:rPr>
        <w:t xml:space="preserve">Denmark (+1%) and Indonesia (+16.2%), together with </w:t>
      </w:r>
      <w:r w:rsidR="00974671">
        <w:rPr>
          <w:rFonts w:ascii="Times New Roman" w:eastAsia="Times New Roman" w:hAnsi="Times New Roman" w:cs="Times New Roman"/>
          <w:bCs/>
          <w:color w:val="000000"/>
          <w:sz w:val="24"/>
          <w:szCs w:val="24"/>
          <w:lang w:eastAsia="en-GB"/>
        </w:rPr>
        <w:t>Canada (+4</w:t>
      </w:r>
      <w:r w:rsidR="0096615A">
        <w:rPr>
          <w:rFonts w:ascii="Times New Roman" w:eastAsia="Times New Roman" w:hAnsi="Times New Roman" w:cs="Times New Roman"/>
          <w:bCs/>
          <w:color w:val="000000"/>
          <w:sz w:val="24"/>
          <w:szCs w:val="24"/>
          <w:lang w:eastAsia="en-GB"/>
        </w:rPr>
        <w:t xml:space="preserve">.4%), China (+0.8%), </w:t>
      </w:r>
      <w:r w:rsidR="00974671">
        <w:rPr>
          <w:rFonts w:ascii="Times New Roman" w:eastAsia="Times New Roman" w:hAnsi="Times New Roman" w:cs="Times New Roman"/>
          <w:bCs/>
          <w:color w:val="000000"/>
          <w:sz w:val="24"/>
          <w:szCs w:val="24"/>
          <w:lang w:eastAsia="en-GB"/>
        </w:rPr>
        <w:t xml:space="preserve">Japan (+1.6%), Netherland (+15.7%), Russia (+5.9%) and Slovenia (+1.6%) </w:t>
      </w:r>
      <w:r w:rsidR="0096615A">
        <w:rPr>
          <w:rFonts w:ascii="Times New Roman" w:eastAsia="Times New Roman" w:hAnsi="Times New Roman" w:cs="Times New Roman"/>
          <w:bCs/>
          <w:color w:val="000000"/>
          <w:sz w:val="24"/>
          <w:szCs w:val="24"/>
          <w:lang w:eastAsia="en-GB"/>
        </w:rPr>
        <w:t xml:space="preserve">also </w:t>
      </w:r>
      <w:r w:rsidR="00F245A0">
        <w:rPr>
          <w:rFonts w:ascii="Times New Roman" w:eastAsia="Times New Roman" w:hAnsi="Times New Roman" w:cs="Times New Roman"/>
          <w:bCs/>
          <w:color w:val="000000"/>
          <w:sz w:val="24"/>
          <w:szCs w:val="24"/>
          <w:lang w:eastAsia="en-GB"/>
        </w:rPr>
        <w:t xml:space="preserve">had an increasing trend in the quantity of emission per unit of energy use. </w:t>
      </w:r>
      <w:r>
        <w:rPr>
          <w:rFonts w:ascii="Times New Roman" w:eastAsia="Times New Roman" w:hAnsi="Times New Roman" w:cs="Times New Roman"/>
          <w:bCs/>
          <w:color w:val="000000"/>
          <w:sz w:val="24"/>
          <w:szCs w:val="24"/>
          <w:lang w:eastAsia="en-GB"/>
        </w:rPr>
        <w:t>According to these data,</w:t>
      </w:r>
      <w:r w:rsidR="0096615A">
        <w:rPr>
          <w:rFonts w:ascii="Times New Roman" w:eastAsia="Times New Roman" w:hAnsi="Times New Roman" w:cs="Times New Roman"/>
          <w:bCs/>
          <w:color w:val="000000"/>
          <w:sz w:val="24"/>
          <w:szCs w:val="24"/>
          <w:lang w:eastAsia="en-GB"/>
        </w:rPr>
        <w:t xml:space="preserve"> for every unit of energy used </w:t>
      </w:r>
      <w:r>
        <w:rPr>
          <w:rFonts w:ascii="Times New Roman" w:eastAsia="Times New Roman" w:hAnsi="Times New Roman" w:cs="Times New Roman"/>
          <w:bCs/>
          <w:color w:val="000000"/>
          <w:sz w:val="24"/>
          <w:szCs w:val="24"/>
          <w:lang w:eastAsia="en-GB"/>
        </w:rPr>
        <w:t xml:space="preserve">in 2007 </w:t>
      </w:r>
      <w:r w:rsidR="0096615A">
        <w:rPr>
          <w:rFonts w:ascii="Times New Roman" w:eastAsia="Times New Roman" w:hAnsi="Times New Roman" w:cs="Times New Roman"/>
          <w:bCs/>
          <w:color w:val="000000"/>
          <w:sz w:val="24"/>
          <w:szCs w:val="24"/>
          <w:lang w:eastAsia="en-GB"/>
        </w:rPr>
        <w:t xml:space="preserve">a larger quantity of carbon dioxide </w:t>
      </w:r>
      <w:r w:rsidR="00D04448">
        <w:rPr>
          <w:rFonts w:ascii="Times New Roman" w:eastAsia="Times New Roman" w:hAnsi="Times New Roman" w:cs="Times New Roman"/>
          <w:bCs/>
          <w:color w:val="000000"/>
          <w:sz w:val="24"/>
          <w:szCs w:val="24"/>
          <w:lang w:eastAsia="en-GB"/>
        </w:rPr>
        <w:t>emissions are</w:t>
      </w:r>
      <w:r w:rsidR="0096615A">
        <w:rPr>
          <w:rFonts w:ascii="Times New Roman" w:eastAsia="Times New Roman" w:hAnsi="Times New Roman" w:cs="Times New Roman"/>
          <w:bCs/>
          <w:color w:val="000000"/>
          <w:sz w:val="24"/>
          <w:szCs w:val="24"/>
          <w:lang w:eastAsia="en-GB"/>
        </w:rPr>
        <w:t xml:space="preserve"> generated </w:t>
      </w:r>
      <w:r>
        <w:rPr>
          <w:rFonts w:ascii="Times New Roman" w:eastAsia="Times New Roman" w:hAnsi="Times New Roman" w:cs="Times New Roman"/>
          <w:bCs/>
          <w:color w:val="000000"/>
          <w:sz w:val="24"/>
          <w:szCs w:val="24"/>
          <w:lang w:eastAsia="en-GB"/>
        </w:rPr>
        <w:t>compared</w:t>
      </w:r>
      <w:r w:rsidR="0096615A">
        <w:rPr>
          <w:rFonts w:ascii="Times New Roman" w:eastAsia="Times New Roman" w:hAnsi="Times New Roman" w:cs="Times New Roman"/>
          <w:bCs/>
          <w:color w:val="000000"/>
          <w:sz w:val="24"/>
          <w:szCs w:val="24"/>
          <w:lang w:eastAsia="en-GB"/>
        </w:rPr>
        <w:t xml:space="preserve"> to the quantity of 1995. </w:t>
      </w:r>
      <w:r w:rsidR="00CD6898">
        <w:rPr>
          <w:rFonts w:ascii="Times New Roman" w:eastAsia="Times New Roman" w:hAnsi="Times New Roman" w:cs="Times New Roman"/>
          <w:bCs/>
          <w:color w:val="000000"/>
          <w:sz w:val="24"/>
          <w:szCs w:val="24"/>
          <w:lang w:eastAsia="en-GB"/>
        </w:rPr>
        <w:t>As reported in the previous section, p</w:t>
      </w:r>
      <w:r w:rsidR="00D04448">
        <w:rPr>
          <w:rFonts w:ascii="Times New Roman" w:eastAsia="Times New Roman" w:hAnsi="Times New Roman" w:cs="Times New Roman"/>
          <w:bCs/>
          <w:color w:val="000000"/>
          <w:sz w:val="24"/>
          <w:szCs w:val="24"/>
          <w:lang w:eastAsia="en-GB"/>
        </w:rPr>
        <w:t>ossible explanations can</w:t>
      </w:r>
      <w:r w:rsidR="00F245A0">
        <w:rPr>
          <w:rFonts w:ascii="Times New Roman" w:eastAsia="Times New Roman" w:hAnsi="Times New Roman" w:cs="Times New Roman"/>
          <w:bCs/>
          <w:color w:val="000000"/>
          <w:sz w:val="24"/>
          <w:szCs w:val="24"/>
          <w:lang w:eastAsia="en-GB"/>
        </w:rPr>
        <w:t xml:space="preserve"> be related to changes in technologie</w:t>
      </w:r>
      <w:r w:rsidR="00CD6898">
        <w:rPr>
          <w:rFonts w:ascii="Times New Roman" w:eastAsia="Times New Roman" w:hAnsi="Times New Roman" w:cs="Times New Roman"/>
          <w:bCs/>
          <w:color w:val="000000"/>
          <w:sz w:val="24"/>
          <w:szCs w:val="24"/>
          <w:lang w:eastAsia="en-GB"/>
        </w:rPr>
        <w:t>s,</w:t>
      </w:r>
      <w:r w:rsidR="00F245A0">
        <w:rPr>
          <w:rFonts w:ascii="Times New Roman" w:eastAsia="Times New Roman" w:hAnsi="Times New Roman" w:cs="Times New Roman"/>
          <w:bCs/>
          <w:color w:val="000000"/>
          <w:sz w:val="24"/>
          <w:szCs w:val="24"/>
          <w:lang w:eastAsia="en-GB"/>
        </w:rPr>
        <w:t xml:space="preserve"> to </w:t>
      </w:r>
      <w:r>
        <w:rPr>
          <w:rFonts w:ascii="Times New Roman" w:eastAsia="Times New Roman" w:hAnsi="Times New Roman" w:cs="Times New Roman"/>
          <w:bCs/>
          <w:color w:val="000000"/>
          <w:sz w:val="24"/>
          <w:szCs w:val="24"/>
          <w:lang w:eastAsia="en-GB"/>
        </w:rPr>
        <w:t>variations in the energy mix</w:t>
      </w:r>
      <w:r w:rsidR="00CD6898">
        <w:rPr>
          <w:rFonts w:ascii="Times New Roman" w:eastAsia="Times New Roman" w:hAnsi="Times New Roman" w:cs="Times New Roman"/>
          <w:bCs/>
          <w:color w:val="000000"/>
          <w:sz w:val="24"/>
          <w:szCs w:val="24"/>
          <w:lang w:eastAsia="en-GB"/>
        </w:rPr>
        <w:t xml:space="preserve"> or to variations in the contribution provided by the different economic sectors to the GDP generation</w:t>
      </w:r>
      <w:r w:rsidR="009928DA">
        <w:rPr>
          <w:rFonts w:ascii="Times New Roman" w:eastAsia="Times New Roman" w:hAnsi="Times New Roman" w:cs="Times New Roman"/>
          <w:bCs/>
          <w:color w:val="000000"/>
          <w:sz w:val="24"/>
          <w:szCs w:val="24"/>
          <w:lang w:eastAsia="en-GB"/>
        </w:rPr>
        <w:t xml:space="preserve"> [24, 25, 35-40]</w:t>
      </w:r>
      <w:r w:rsidR="00CD6898">
        <w:rPr>
          <w:rFonts w:ascii="Times New Roman" w:eastAsia="Times New Roman" w:hAnsi="Times New Roman" w:cs="Times New Roman"/>
          <w:bCs/>
          <w:color w:val="000000"/>
          <w:sz w:val="24"/>
          <w:szCs w:val="24"/>
          <w:lang w:eastAsia="en-GB"/>
        </w:rPr>
        <w:t>.</w:t>
      </w:r>
    </w:p>
    <w:p w14:paraId="3ECCD599" w14:textId="480766C8" w:rsidR="006371EC" w:rsidRPr="00A5002C" w:rsidRDefault="004C3DE9" w:rsidP="00A5002C">
      <w:pPr>
        <w:spacing w:after="0" w:line="360" w:lineRule="auto"/>
        <w:jc w:val="both"/>
        <w:rPr>
          <w:rFonts w:ascii="Times New Roman" w:eastAsia="Times New Roman" w:hAnsi="Times New Roman" w:cs="Times New Roman"/>
          <w:bCs/>
          <w:color w:val="000000"/>
          <w:sz w:val="24"/>
          <w:szCs w:val="24"/>
          <w:lang w:eastAsia="en-GB"/>
        </w:rPr>
      </w:pPr>
      <w:r>
        <w:rPr>
          <w:rFonts w:ascii="Times New Roman" w:eastAsia="Times New Roman" w:hAnsi="Times New Roman" w:cs="Times New Roman"/>
          <w:bCs/>
          <w:color w:val="000000"/>
          <w:sz w:val="24"/>
          <w:szCs w:val="24"/>
          <w:lang w:eastAsia="en-GB"/>
        </w:rPr>
        <w:t xml:space="preserve">Some European countries, </w:t>
      </w:r>
      <w:r w:rsidR="00B526E7">
        <w:rPr>
          <w:rFonts w:ascii="Times New Roman" w:eastAsia="Times New Roman" w:hAnsi="Times New Roman" w:cs="Times New Roman"/>
          <w:bCs/>
          <w:color w:val="000000"/>
          <w:sz w:val="24"/>
          <w:szCs w:val="24"/>
          <w:lang w:eastAsia="en-GB"/>
        </w:rPr>
        <w:t xml:space="preserve">like </w:t>
      </w:r>
      <w:r>
        <w:rPr>
          <w:rFonts w:ascii="Times New Roman" w:eastAsia="Times New Roman" w:hAnsi="Times New Roman" w:cs="Times New Roman"/>
          <w:bCs/>
          <w:color w:val="000000"/>
          <w:sz w:val="24"/>
          <w:szCs w:val="24"/>
          <w:lang w:eastAsia="en-GB"/>
        </w:rPr>
        <w:t>Italy, Portugal and Spain had very low variations in th</w:t>
      </w:r>
      <w:r w:rsidR="00930044">
        <w:rPr>
          <w:rFonts w:ascii="Times New Roman" w:eastAsia="Times New Roman" w:hAnsi="Times New Roman" w:cs="Times New Roman"/>
          <w:bCs/>
          <w:color w:val="000000"/>
          <w:sz w:val="24"/>
          <w:szCs w:val="24"/>
          <w:lang w:eastAsia="en-GB"/>
        </w:rPr>
        <w:t>e energy intensity performance.</w:t>
      </w:r>
      <w:r>
        <w:rPr>
          <w:rFonts w:ascii="Times New Roman" w:eastAsia="Times New Roman" w:hAnsi="Times New Roman" w:cs="Times New Roman"/>
          <w:bCs/>
          <w:color w:val="000000"/>
          <w:sz w:val="24"/>
          <w:szCs w:val="24"/>
          <w:lang w:eastAsia="en-GB"/>
        </w:rPr>
        <w:t xml:space="preserve"> This </w:t>
      </w:r>
      <w:r w:rsidR="006371EC">
        <w:rPr>
          <w:rFonts w:ascii="Times New Roman" w:eastAsia="Times New Roman" w:hAnsi="Times New Roman" w:cs="Times New Roman"/>
          <w:bCs/>
          <w:color w:val="000000"/>
          <w:sz w:val="24"/>
          <w:szCs w:val="24"/>
          <w:lang w:eastAsia="en-GB"/>
        </w:rPr>
        <w:t xml:space="preserve">result </w:t>
      </w:r>
      <w:r>
        <w:rPr>
          <w:rFonts w:ascii="Times New Roman" w:eastAsia="Times New Roman" w:hAnsi="Times New Roman" w:cs="Times New Roman"/>
          <w:bCs/>
          <w:color w:val="000000"/>
          <w:sz w:val="24"/>
          <w:szCs w:val="24"/>
          <w:lang w:eastAsia="en-GB"/>
        </w:rPr>
        <w:t xml:space="preserve">is mainly liked to the fact that the quantity of per capita energy used started to </w:t>
      </w:r>
      <w:r w:rsidR="004A776E">
        <w:rPr>
          <w:rFonts w:ascii="Times New Roman" w:eastAsia="Times New Roman" w:hAnsi="Times New Roman" w:cs="Times New Roman"/>
          <w:bCs/>
          <w:color w:val="000000"/>
          <w:sz w:val="24"/>
          <w:szCs w:val="24"/>
          <w:lang w:eastAsia="en-GB"/>
        </w:rPr>
        <w:t>stabilize</w:t>
      </w:r>
      <w:r>
        <w:rPr>
          <w:rFonts w:ascii="Times New Roman" w:eastAsia="Times New Roman" w:hAnsi="Times New Roman" w:cs="Times New Roman"/>
          <w:bCs/>
          <w:color w:val="000000"/>
          <w:sz w:val="24"/>
          <w:szCs w:val="24"/>
          <w:lang w:eastAsia="en-GB"/>
        </w:rPr>
        <w:t xml:space="preserve"> in the late 2000s and not just after the 1973 oil crisis as in the </w:t>
      </w:r>
      <w:r>
        <w:rPr>
          <w:rFonts w:ascii="Times New Roman" w:eastAsia="Times New Roman" w:hAnsi="Times New Roman" w:cs="Times New Roman"/>
          <w:bCs/>
          <w:color w:val="000000"/>
          <w:sz w:val="24"/>
          <w:szCs w:val="24"/>
          <w:lang w:eastAsia="en-GB"/>
        </w:rPr>
        <w:lastRenderedPageBreak/>
        <w:t xml:space="preserve">majority of the other European Countries </w:t>
      </w:r>
      <w:r w:rsidR="00930044">
        <w:rPr>
          <w:rFonts w:ascii="Times New Roman" w:eastAsia="Times New Roman" w:hAnsi="Times New Roman" w:cs="Times New Roman"/>
          <w:bCs/>
          <w:color w:val="000000"/>
          <w:sz w:val="24"/>
          <w:szCs w:val="24"/>
          <w:lang w:eastAsia="en-GB"/>
        </w:rPr>
        <w:t>[26]</w:t>
      </w:r>
      <w:r>
        <w:rPr>
          <w:rFonts w:ascii="Times New Roman" w:hAnsi="Times New Roman" w:cs="Times New Roman"/>
          <w:sz w:val="24"/>
          <w:szCs w:val="24"/>
        </w:rPr>
        <w:t>.</w:t>
      </w:r>
      <w:r>
        <w:rPr>
          <w:rFonts w:ascii="Times New Roman" w:eastAsia="Times New Roman" w:hAnsi="Times New Roman" w:cs="Times New Roman"/>
          <w:bCs/>
          <w:color w:val="000000"/>
          <w:sz w:val="24"/>
          <w:szCs w:val="24"/>
          <w:lang w:eastAsia="en-GB"/>
        </w:rPr>
        <w:t xml:space="preserve"> </w:t>
      </w:r>
      <w:r w:rsidR="000B5C7C">
        <w:rPr>
          <w:rFonts w:ascii="Times New Roman" w:eastAsia="Times New Roman" w:hAnsi="Times New Roman" w:cs="Times New Roman"/>
          <w:bCs/>
          <w:color w:val="000000"/>
          <w:sz w:val="24"/>
          <w:szCs w:val="24"/>
          <w:lang w:eastAsia="en-GB"/>
        </w:rPr>
        <w:t>China (-37.9%)</w:t>
      </w:r>
      <w:r w:rsidR="0096615A">
        <w:rPr>
          <w:rFonts w:ascii="Times New Roman" w:eastAsia="Times New Roman" w:hAnsi="Times New Roman" w:cs="Times New Roman"/>
          <w:bCs/>
          <w:color w:val="000000"/>
          <w:sz w:val="24"/>
          <w:szCs w:val="24"/>
          <w:lang w:eastAsia="en-GB"/>
        </w:rPr>
        <w:t xml:space="preserve"> and Easter European count</w:t>
      </w:r>
      <w:r w:rsidR="000B5C7C">
        <w:rPr>
          <w:rFonts w:ascii="Times New Roman" w:eastAsia="Times New Roman" w:hAnsi="Times New Roman" w:cs="Times New Roman"/>
          <w:bCs/>
          <w:color w:val="000000"/>
          <w:sz w:val="24"/>
          <w:szCs w:val="24"/>
          <w:lang w:eastAsia="en-GB"/>
        </w:rPr>
        <w:t xml:space="preserve">ries as </w:t>
      </w:r>
      <w:r w:rsidR="0096615A">
        <w:rPr>
          <w:rFonts w:ascii="Times New Roman" w:eastAsia="Times New Roman" w:hAnsi="Times New Roman" w:cs="Times New Roman"/>
          <w:bCs/>
          <w:color w:val="000000"/>
          <w:sz w:val="24"/>
          <w:szCs w:val="24"/>
          <w:lang w:eastAsia="en-GB"/>
        </w:rPr>
        <w:t>Estoni</w:t>
      </w:r>
      <w:r w:rsidR="000B5C7C">
        <w:rPr>
          <w:rFonts w:ascii="Times New Roman" w:eastAsia="Times New Roman" w:hAnsi="Times New Roman" w:cs="Times New Roman"/>
          <w:bCs/>
          <w:color w:val="000000"/>
          <w:sz w:val="24"/>
          <w:szCs w:val="24"/>
          <w:lang w:eastAsia="en-GB"/>
        </w:rPr>
        <w:t xml:space="preserve">a (-48.7%), Poland (-42.9%), </w:t>
      </w:r>
      <w:r w:rsidR="0096615A">
        <w:rPr>
          <w:rFonts w:ascii="Times New Roman" w:eastAsia="Times New Roman" w:hAnsi="Times New Roman" w:cs="Times New Roman"/>
          <w:bCs/>
          <w:color w:val="000000"/>
          <w:sz w:val="24"/>
          <w:szCs w:val="24"/>
          <w:lang w:eastAsia="en-GB"/>
        </w:rPr>
        <w:t>Slovak Republic (-42.6%)</w:t>
      </w:r>
      <w:r w:rsidR="000B5C7C">
        <w:rPr>
          <w:rFonts w:ascii="Times New Roman" w:eastAsia="Times New Roman" w:hAnsi="Times New Roman" w:cs="Times New Roman"/>
          <w:bCs/>
          <w:color w:val="000000"/>
          <w:sz w:val="24"/>
          <w:szCs w:val="24"/>
          <w:lang w:eastAsia="en-GB"/>
        </w:rPr>
        <w:t xml:space="preserve"> </w:t>
      </w:r>
      <w:r w:rsidR="0096615A">
        <w:rPr>
          <w:rFonts w:ascii="Times New Roman" w:eastAsia="Times New Roman" w:hAnsi="Times New Roman" w:cs="Times New Roman"/>
          <w:bCs/>
          <w:color w:val="000000"/>
          <w:sz w:val="24"/>
          <w:szCs w:val="24"/>
          <w:lang w:eastAsia="en-GB"/>
        </w:rPr>
        <w:t xml:space="preserve">had the largest </w:t>
      </w:r>
      <w:r w:rsidR="0095287D">
        <w:rPr>
          <w:rFonts w:ascii="Times New Roman" w:eastAsia="Times New Roman" w:hAnsi="Times New Roman" w:cs="Times New Roman"/>
          <w:bCs/>
          <w:color w:val="000000"/>
          <w:sz w:val="24"/>
          <w:szCs w:val="24"/>
          <w:lang w:eastAsia="en-GB"/>
        </w:rPr>
        <w:t xml:space="preserve">reduction of </w:t>
      </w:r>
      <w:r w:rsidR="0096615A">
        <w:rPr>
          <w:rFonts w:ascii="Times New Roman" w:eastAsia="Times New Roman" w:hAnsi="Times New Roman" w:cs="Times New Roman"/>
          <w:bCs/>
          <w:color w:val="000000"/>
          <w:sz w:val="24"/>
          <w:szCs w:val="24"/>
          <w:lang w:eastAsia="en-GB"/>
        </w:rPr>
        <w:t>energy intensity.</w:t>
      </w:r>
      <w:r w:rsidR="00947065">
        <w:rPr>
          <w:rFonts w:ascii="Times New Roman" w:eastAsia="Times New Roman" w:hAnsi="Times New Roman" w:cs="Times New Roman"/>
          <w:bCs/>
          <w:color w:val="000000"/>
          <w:sz w:val="24"/>
          <w:szCs w:val="24"/>
          <w:lang w:eastAsia="en-GB"/>
        </w:rPr>
        <w:t xml:space="preserve"> </w:t>
      </w:r>
      <w:r w:rsidR="000B5C7C">
        <w:rPr>
          <w:rFonts w:ascii="Times New Roman" w:eastAsia="Times New Roman" w:hAnsi="Times New Roman" w:cs="Times New Roman"/>
          <w:bCs/>
          <w:color w:val="000000"/>
          <w:sz w:val="24"/>
          <w:szCs w:val="24"/>
          <w:lang w:eastAsia="en-GB"/>
        </w:rPr>
        <w:t xml:space="preserve">This means that the quantity of energy used to generate GDP decreased during the considered period of time. Technological improvements, together with </w:t>
      </w:r>
      <w:r w:rsidR="00947065">
        <w:rPr>
          <w:rFonts w:ascii="Times New Roman" w:eastAsia="Times New Roman" w:hAnsi="Times New Roman" w:cs="Times New Roman"/>
          <w:bCs/>
          <w:color w:val="000000"/>
          <w:sz w:val="24"/>
          <w:szCs w:val="24"/>
          <w:lang w:eastAsia="en-GB"/>
        </w:rPr>
        <w:t xml:space="preserve">implementation of more efficient energy strategies </w:t>
      </w:r>
      <w:r w:rsidR="000B5C7C">
        <w:rPr>
          <w:rFonts w:ascii="Times New Roman" w:eastAsia="Times New Roman" w:hAnsi="Times New Roman" w:cs="Times New Roman"/>
          <w:bCs/>
          <w:color w:val="000000"/>
          <w:sz w:val="24"/>
          <w:szCs w:val="24"/>
          <w:lang w:eastAsia="en-GB"/>
        </w:rPr>
        <w:t>and adoption of EU legislations have probably been the main factors contributing to the energy improvements in the Easter European countries</w:t>
      </w:r>
      <w:r w:rsidR="0095287D">
        <w:rPr>
          <w:rFonts w:ascii="Times New Roman" w:eastAsia="Times New Roman" w:hAnsi="Times New Roman" w:cs="Times New Roman"/>
          <w:bCs/>
          <w:color w:val="000000"/>
          <w:sz w:val="24"/>
          <w:szCs w:val="24"/>
          <w:lang w:eastAsia="en-GB"/>
        </w:rPr>
        <w:t xml:space="preserve"> </w:t>
      </w:r>
      <w:r w:rsidR="00930044">
        <w:rPr>
          <w:rFonts w:ascii="Times New Roman" w:eastAsia="Times New Roman" w:hAnsi="Times New Roman" w:cs="Times New Roman"/>
          <w:bCs/>
          <w:color w:val="000000"/>
          <w:sz w:val="24"/>
          <w:szCs w:val="24"/>
          <w:lang w:eastAsia="en-GB"/>
        </w:rPr>
        <w:t>[24]</w:t>
      </w:r>
      <w:r w:rsidR="000B5C7C">
        <w:rPr>
          <w:rFonts w:ascii="Times New Roman" w:eastAsia="Times New Roman" w:hAnsi="Times New Roman" w:cs="Times New Roman"/>
          <w:bCs/>
          <w:color w:val="000000"/>
          <w:sz w:val="24"/>
          <w:szCs w:val="24"/>
          <w:lang w:eastAsia="en-GB"/>
        </w:rPr>
        <w:t>. A</w:t>
      </w:r>
      <w:r w:rsidR="009928DA">
        <w:rPr>
          <w:rFonts w:ascii="Times New Roman" w:eastAsia="Times New Roman" w:hAnsi="Times New Roman" w:cs="Times New Roman"/>
          <w:bCs/>
          <w:color w:val="000000"/>
          <w:sz w:val="24"/>
          <w:szCs w:val="24"/>
          <w:lang w:eastAsia="en-GB"/>
        </w:rPr>
        <w:t>ccording to data reported by</w:t>
      </w:r>
      <w:r w:rsidR="000B5C7C">
        <w:rPr>
          <w:rFonts w:ascii="Times New Roman" w:eastAsia="Times New Roman" w:hAnsi="Times New Roman" w:cs="Times New Roman"/>
          <w:bCs/>
          <w:color w:val="000000"/>
          <w:sz w:val="24"/>
          <w:szCs w:val="24"/>
          <w:lang w:eastAsia="en-GB"/>
        </w:rPr>
        <w:t xml:space="preserve"> </w:t>
      </w:r>
      <w:r w:rsidR="00930044">
        <w:rPr>
          <w:rFonts w:ascii="Times New Roman" w:eastAsia="Times New Roman" w:hAnsi="Times New Roman" w:cs="Times New Roman"/>
          <w:bCs/>
          <w:color w:val="000000"/>
          <w:sz w:val="24"/>
          <w:szCs w:val="24"/>
          <w:lang w:eastAsia="en-GB"/>
        </w:rPr>
        <w:t>[41]</w:t>
      </w:r>
      <w:r w:rsidR="000B5C7C">
        <w:rPr>
          <w:rFonts w:ascii="Times New Roman" w:eastAsia="Times New Roman" w:hAnsi="Times New Roman" w:cs="Times New Roman"/>
          <w:bCs/>
          <w:color w:val="000000"/>
          <w:sz w:val="24"/>
          <w:szCs w:val="24"/>
          <w:lang w:eastAsia="en-GB"/>
        </w:rPr>
        <w:t xml:space="preserve"> the technological changes and</w:t>
      </w:r>
      <w:r w:rsidR="001C36BC">
        <w:rPr>
          <w:rFonts w:ascii="Times New Roman" w:eastAsia="Times New Roman" w:hAnsi="Times New Roman" w:cs="Times New Roman"/>
          <w:bCs/>
          <w:color w:val="000000"/>
          <w:sz w:val="24"/>
          <w:szCs w:val="24"/>
          <w:lang w:eastAsia="en-GB"/>
        </w:rPr>
        <w:t xml:space="preserve"> the</w:t>
      </w:r>
      <w:r w:rsidR="000B5C7C">
        <w:rPr>
          <w:rFonts w:ascii="Times New Roman" w:eastAsia="Times New Roman" w:hAnsi="Times New Roman" w:cs="Times New Roman"/>
          <w:bCs/>
          <w:color w:val="000000"/>
          <w:sz w:val="24"/>
          <w:szCs w:val="24"/>
          <w:lang w:eastAsia="en-GB"/>
        </w:rPr>
        <w:t xml:space="preserve"> market based instruments promoted by the Chinese government have been key factors in reducing the energy intensity of Chinese economy. </w:t>
      </w:r>
      <w:r w:rsidR="0096615A">
        <w:rPr>
          <w:rFonts w:ascii="Times New Roman" w:eastAsia="Times New Roman" w:hAnsi="Times New Roman" w:cs="Times New Roman"/>
          <w:bCs/>
          <w:color w:val="000000"/>
          <w:sz w:val="24"/>
          <w:szCs w:val="24"/>
          <w:lang w:eastAsia="en-GB"/>
        </w:rPr>
        <w:t>In terms of carbon dioxide, Luxembourg is the only country that improved the emission intensity by more than 50% (-62.4%)</w:t>
      </w:r>
      <w:r w:rsidR="0095287D">
        <w:rPr>
          <w:rFonts w:ascii="Times New Roman" w:eastAsia="Times New Roman" w:hAnsi="Times New Roman" w:cs="Times New Roman"/>
          <w:bCs/>
          <w:color w:val="000000"/>
          <w:sz w:val="24"/>
          <w:szCs w:val="24"/>
          <w:lang w:eastAsia="en-GB"/>
        </w:rPr>
        <w:t xml:space="preserve">. </w:t>
      </w:r>
      <w:r w:rsidR="00363286">
        <w:rPr>
          <w:rFonts w:ascii="Times New Roman" w:eastAsia="Times New Roman" w:hAnsi="Times New Roman" w:cs="Times New Roman"/>
          <w:bCs/>
          <w:color w:val="000000"/>
          <w:sz w:val="24"/>
          <w:szCs w:val="24"/>
          <w:lang w:eastAsia="en-GB"/>
        </w:rPr>
        <w:t>T</w:t>
      </w:r>
      <w:r w:rsidR="0095287D">
        <w:rPr>
          <w:rFonts w:ascii="Times New Roman" w:eastAsia="Times New Roman" w:hAnsi="Times New Roman" w:cs="Times New Roman"/>
          <w:bCs/>
          <w:color w:val="000000"/>
          <w:sz w:val="24"/>
          <w:szCs w:val="24"/>
          <w:lang w:eastAsia="en-GB"/>
        </w:rPr>
        <w:t xml:space="preserve">he increasing importance of low carbon intensity activities as the service and the financial sectors </w:t>
      </w:r>
      <w:r w:rsidR="00363286">
        <w:rPr>
          <w:rFonts w:ascii="Times New Roman" w:eastAsia="Times New Roman" w:hAnsi="Times New Roman" w:cs="Times New Roman"/>
          <w:bCs/>
          <w:color w:val="000000"/>
          <w:sz w:val="24"/>
          <w:szCs w:val="24"/>
          <w:lang w:eastAsia="en-GB"/>
        </w:rPr>
        <w:t>together with improvements on carbon efficiency and substitution between coal and natural gas</w:t>
      </w:r>
      <w:r w:rsidR="00B526E7">
        <w:rPr>
          <w:rFonts w:ascii="Times New Roman" w:eastAsia="Times New Roman" w:hAnsi="Times New Roman" w:cs="Times New Roman"/>
          <w:bCs/>
          <w:color w:val="000000"/>
          <w:sz w:val="24"/>
          <w:szCs w:val="24"/>
          <w:lang w:eastAsia="en-GB"/>
        </w:rPr>
        <w:t>,</w:t>
      </w:r>
      <w:r w:rsidR="00363286">
        <w:rPr>
          <w:rFonts w:ascii="Times New Roman" w:eastAsia="Times New Roman" w:hAnsi="Times New Roman" w:cs="Times New Roman"/>
          <w:bCs/>
          <w:color w:val="000000"/>
          <w:sz w:val="24"/>
          <w:szCs w:val="24"/>
          <w:lang w:eastAsia="en-GB"/>
        </w:rPr>
        <w:t xml:space="preserve"> have been </w:t>
      </w:r>
      <w:r w:rsidR="001C36BC">
        <w:rPr>
          <w:rFonts w:ascii="Times New Roman" w:eastAsia="Times New Roman" w:hAnsi="Times New Roman" w:cs="Times New Roman"/>
          <w:bCs/>
          <w:color w:val="000000"/>
          <w:sz w:val="24"/>
          <w:szCs w:val="24"/>
          <w:lang w:eastAsia="en-GB"/>
        </w:rPr>
        <w:t>the main factors contributing to</w:t>
      </w:r>
      <w:r w:rsidR="00363286">
        <w:rPr>
          <w:rFonts w:ascii="Times New Roman" w:eastAsia="Times New Roman" w:hAnsi="Times New Roman" w:cs="Times New Roman"/>
          <w:bCs/>
          <w:color w:val="000000"/>
          <w:sz w:val="24"/>
          <w:szCs w:val="24"/>
          <w:lang w:eastAsia="en-GB"/>
        </w:rPr>
        <w:t xml:space="preserve"> the emission</w:t>
      </w:r>
      <w:r w:rsidR="00930044">
        <w:rPr>
          <w:rFonts w:ascii="Times New Roman" w:eastAsia="Times New Roman" w:hAnsi="Times New Roman" w:cs="Times New Roman"/>
          <w:bCs/>
          <w:color w:val="000000"/>
          <w:sz w:val="24"/>
          <w:szCs w:val="24"/>
          <w:lang w:eastAsia="en-GB"/>
        </w:rPr>
        <w:t xml:space="preserve"> intensity drop [42].</w:t>
      </w:r>
    </w:p>
    <w:p w14:paraId="532B2041" w14:textId="77777777" w:rsidR="006371EC" w:rsidRDefault="006371EC" w:rsidP="00B369D4">
      <w:pPr>
        <w:spacing w:after="0" w:line="240" w:lineRule="auto"/>
        <w:jc w:val="both"/>
        <w:rPr>
          <w:rFonts w:ascii="Times New Roman" w:eastAsia="Times New Roman" w:hAnsi="Times New Roman" w:cs="Times New Roman"/>
          <w:b/>
          <w:bCs/>
          <w:color w:val="000000"/>
          <w:sz w:val="24"/>
          <w:szCs w:val="24"/>
          <w:lang w:eastAsia="en-GB"/>
        </w:rPr>
      </w:pPr>
    </w:p>
    <w:p w14:paraId="38813701" w14:textId="77777777" w:rsidR="006371EC" w:rsidRDefault="006371EC" w:rsidP="00B369D4">
      <w:pPr>
        <w:spacing w:after="0" w:line="240" w:lineRule="auto"/>
        <w:jc w:val="both"/>
        <w:rPr>
          <w:rFonts w:ascii="Times New Roman" w:eastAsia="Times New Roman" w:hAnsi="Times New Roman" w:cs="Times New Roman"/>
          <w:b/>
          <w:bCs/>
          <w:color w:val="000000"/>
          <w:sz w:val="24"/>
          <w:szCs w:val="24"/>
          <w:lang w:eastAsia="en-GB"/>
        </w:rPr>
      </w:pPr>
    </w:p>
    <w:p w14:paraId="5027EF96" w14:textId="77777777" w:rsidR="007251B5" w:rsidRPr="007251B5" w:rsidRDefault="001C36BC" w:rsidP="00B369D4">
      <w:pPr>
        <w:spacing w:after="0" w:line="240" w:lineRule="auto"/>
        <w:jc w:val="both"/>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Figure 5</w:t>
      </w:r>
      <w:r w:rsidR="005B153B">
        <w:rPr>
          <w:rFonts w:ascii="Times New Roman" w:eastAsia="Times New Roman" w:hAnsi="Times New Roman" w:cs="Times New Roman"/>
          <w:b/>
          <w:bCs/>
          <w:color w:val="000000"/>
          <w:sz w:val="24"/>
          <w:szCs w:val="24"/>
          <w:lang w:eastAsia="en-GB"/>
        </w:rPr>
        <w:t>a</w:t>
      </w:r>
      <w:r w:rsidR="00974671">
        <w:rPr>
          <w:rFonts w:ascii="Times New Roman" w:eastAsia="Times New Roman" w:hAnsi="Times New Roman" w:cs="Times New Roman"/>
          <w:b/>
          <w:bCs/>
          <w:color w:val="000000"/>
          <w:sz w:val="24"/>
          <w:szCs w:val="24"/>
          <w:lang w:eastAsia="en-GB"/>
        </w:rPr>
        <w:t>. CO</w:t>
      </w:r>
      <w:r w:rsidR="00974671" w:rsidRPr="00803ABC">
        <w:rPr>
          <w:rFonts w:ascii="Times New Roman" w:eastAsia="Times New Roman" w:hAnsi="Times New Roman" w:cs="Times New Roman"/>
          <w:b/>
          <w:bCs/>
          <w:color w:val="000000"/>
          <w:sz w:val="24"/>
          <w:szCs w:val="24"/>
          <w:vertAlign w:val="subscript"/>
          <w:lang w:eastAsia="en-GB"/>
        </w:rPr>
        <w:t>2</w:t>
      </w:r>
      <w:r w:rsidR="00974671" w:rsidRPr="00CA282A">
        <w:rPr>
          <w:rFonts w:ascii="Times New Roman" w:eastAsia="Times New Roman" w:hAnsi="Times New Roman" w:cs="Times New Roman"/>
          <w:b/>
          <w:bCs/>
          <w:color w:val="000000"/>
          <w:sz w:val="24"/>
          <w:szCs w:val="24"/>
          <w:lang w:eastAsia="en-GB"/>
        </w:rPr>
        <w:t xml:space="preserve"> </w:t>
      </w:r>
      <w:r w:rsidR="00974671">
        <w:rPr>
          <w:rFonts w:ascii="Times New Roman" w:eastAsia="Times New Roman" w:hAnsi="Times New Roman" w:cs="Times New Roman"/>
          <w:b/>
          <w:bCs/>
          <w:color w:val="000000"/>
          <w:sz w:val="24"/>
          <w:szCs w:val="24"/>
          <w:lang w:eastAsia="en-GB"/>
        </w:rPr>
        <w:t>emissions intensity and energy intensity- Percentage variation (1995-2007)</w:t>
      </w:r>
    </w:p>
    <w:p w14:paraId="271F3F9C" w14:textId="77777777" w:rsidR="00B369D4" w:rsidRDefault="007251B5" w:rsidP="00B369D4">
      <w:pPr>
        <w:spacing w:after="0" w:line="240" w:lineRule="auto"/>
        <w:jc w:val="both"/>
        <w:rPr>
          <w:rFonts w:ascii="Times New Roman" w:eastAsia="Times New Roman" w:hAnsi="Times New Roman" w:cs="Times New Roman"/>
          <w:b/>
          <w:bCs/>
          <w:color w:val="000000"/>
          <w:sz w:val="24"/>
          <w:szCs w:val="24"/>
          <w:lang w:eastAsia="en-GB"/>
        </w:rPr>
      </w:pPr>
      <w:r>
        <w:rPr>
          <w:noProof/>
          <w:lang w:val="it-IT" w:eastAsia="it-IT"/>
        </w:rPr>
        <w:drawing>
          <wp:inline distT="0" distB="0" distL="0" distR="0" wp14:anchorId="0897ECC2" wp14:editId="47627AAF">
            <wp:extent cx="5731510" cy="3101656"/>
            <wp:effectExtent l="0" t="0" r="2540" b="3810"/>
            <wp:docPr id="1"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4D80FA5" w14:textId="77777777" w:rsidR="006A2330" w:rsidRPr="00A5002C" w:rsidRDefault="00D04448" w:rsidP="00F245A0">
      <w:pPr>
        <w:spacing w:line="360" w:lineRule="auto"/>
        <w:jc w:val="both"/>
        <w:rPr>
          <w:rFonts w:ascii="Times New Roman" w:hAnsi="Times New Roman" w:cs="Times New Roman"/>
          <w:sz w:val="20"/>
          <w:szCs w:val="20"/>
        </w:rPr>
      </w:pPr>
      <w:r w:rsidRPr="00D04448">
        <w:rPr>
          <w:rFonts w:ascii="Times New Roman" w:hAnsi="Times New Roman" w:cs="Times New Roman"/>
          <w:sz w:val="20"/>
          <w:szCs w:val="20"/>
        </w:rPr>
        <w:t xml:space="preserve">Source: </w:t>
      </w:r>
      <w:r w:rsidR="00A5002C">
        <w:rPr>
          <w:rFonts w:ascii="Times New Roman" w:hAnsi="Times New Roman" w:cs="Times New Roman"/>
          <w:sz w:val="20"/>
          <w:szCs w:val="20"/>
        </w:rPr>
        <w:t>[9, 21] data</w:t>
      </w:r>
    </w:p>
    <w:p w14:paraId="50727431" w14:textId="77777777" w:rsidR="008B681D" w:rsidRDefault="008B681D" w:rsidP="005B153B">
      <w:pPr>
        <w:spacing w:after="0" w:line="240" w:lineRule="auto"/>
        <w:jc w:val="both"/>
        <w:rPr>
          <w:rFonts w:ascii="Times New Roman" w:hAnsi="Times New Roman" w:cs="Times New Roman"/>
          <w:b/>
          <w:sz w:val="24"/>
          <w:szCs w:val="24"/>
        </w:rPr>
      </w:pPr>
    </w:p>
    <w:p w14:paraId="51E04FA5" w14:textId="77777777" w:rsidR="008B681D" w:rsidRDefault="008B681D" w:rsidP="005B153B">
      <w:pPr>
        <w:spacing w:after="0" w:line="240" w:lineRule="auto"/>
        <w:jc w:val="both"/>
        <w:rPr>
          <w:rFonts w:ascii="Times New Roman" w:hAnsi="Times New Roman" w:cs="Times New Roman"/>
          <w:b/>
          <w:sz w:val="24"/>
          <w:szCs w:val="24"/>
        </w:rPr>
      </w:pPr>
    </w:p>
    <w:p w14:paraId="255C5099" w14:textId="77777777" w:rsidR="008B681D" w:rsidRDefault="008B681D" w:rsidP="005B153B">
      <w:pPr>
        <w:spacing w:after="0" w:line="240" w:lineRule="auto"/>
        <w:jc w:val="both"/>
        <w:rPr>
          <w:rFonts w:ascii="Times New Roman" w:hAnsi="Times New Roman" w:cs="Times New Roman"/>
          <w:b/>
          <w:sz w:val="24"/>
          <w:szCs w:val="24"/>
        </w:rPr>
      </w:pPr>
    </w:p>
    <w:p w14:paraId="618CC762" w14:textId="77777777" w:rsidR="008B681D" w:rsidRDefault="008B681D" w:rsidP="005B153B">
      <w:pPr>
        <w:spacing w:after="0" w:line="240" w:lineRule="auto"/>
        <w:jc w:val="both"/>
        <w:rPr>
          <w:rFonts w:ascii="Times New Roman" w:hAnsi="Times New Roman" w:cs="Times New Roman"/>
          <w:b/>
          <w:sz w:val="24"/>
          <w:szCs w:val="24"/>
        </w:rPr>
      </w:pPr>
    </w:p>
    <w:p w14:paraId="70C9F794" w14:textId="77777777" w:rsidR="008B681D" w:rsidRDefault="008B681D" w:rsidP="005B153B">
      <w:pPr>
        <w:spacing w:after="0" w:line="240" w:lineRule="auto"/>
        <w:jc w:val="both"/>
        <w:rPr>
          <w:rFonts w:ascii="Times New Roman" w:hAnsi="Times New Roman" w:cs="Times New Roman"/>
          <w:b/>
          <w:sz w:val="24"/>
          <w:szCs w:val="24"/>
        </w:rPr>
      </w:pPr>
    </w:p>
    <w:p w14:paraId="0F2BE812" w14:textId="77777777" w:rsidR="008B681D" w:rsidRDefault="008B681D" w:rsidP="005B153B">
      <w:pPr>
        <w:spacing w:after="0" w:line="240" w:lineRule="auto"/>
        <w:jc w:val="both"/>
        <w:rPr>
          <w:rFonts w:ascii="Times New Roman" w:hAnsi="Times New Roman" w:cs="Times New Roman"/>
          <w:b/>
          <w:sz w:val="24"/>
          <w:szCs w:val="24"/>
        </w:rPr>
      </w:pPr>
    </w:p>
    <w:p w14:paraId="1FDD3430" w14:textId="77777777" w:rsidR="005B153B" w:rsidRDefault="005B153B" w:rsidP="005B153B">
      <w:pPr>
        <w:spacing w:after="0" w:line="240" w:lineRule="auto"/>
        <w:jc w:val="both"/>
        <w:rPr>
          <w:rFonts w:ascii="Times New Roman" w:eastAsia="Times New Roman" w:hAnsi="Times New Roman" w:cs="Times New Roman"/>
          <w:b/>
          <w:bCs/>
          <w:color w:val="000000"/>
          <w:sz w:val="24"/>
          <w:szCs w:val="24"/>
          <w:lang w:eastAsia="en-GB"/>
        </w:rPr>
      </w:pPr>
      <w:r w:rsidRPr="005B153B">
        <w:rPr>
          <w:rFonts w:ascii="Times New Roman" w:hAnsi="Times New Roman" w:cs="Times New Roman"/>
          <w:b/>
          <w:sz w:val="24"/>
          <w:szCs w:val="24"/>
        </w:rPr>
        <w:lastRenderedPageBreak/>
        <w:t>Figure 5b.</w:t>
      </w:r>
      <w:r>
        <w:rPr>
          <w:rFonts w:ascii="Times New Roman" w:hAnsi="Times New Roman" w:cs="Times New Roman"/>
          <w:sz w:val="24"/>
          <w:szCs w:val="24"/>
        </w:rPr>
        <w:t xml:space="preserve"> </w:t>
      </w:r>
      <w:r>
        <w:rPr>
          <w:rFonts w:ascii="Times New Roman" w:eastAsia="Times New Roman" w:hAnsi="Times New Roman" w:cs="Times New Roman"/>
          <w:b/>
          <w:bCs/>
          <w:color w:val="000000"/>
          <w:sz w:val="24"/>
          <w:szCs w:val="24"/>
          <w:lang w:eastAsia="en-GB"/>
        </w:rPr>
        <w:t>CO</w:t>
      </w:r>
      <w:r w:rsidRPr="00803ABC">
        <w:rPr>
          <w:rFonts w:ascii="Times New Roman" w:eastAsia="Times New Roman" w:hAnsi="Times New Roman" w:cs="Times New Roman"/>
          <w:b/>
          <w:bCs/>
          <w:color w:val="000000"/>
          <w:sz w:val="24"/>
          <w:szCs w:val="24"/>
          <w:vertAlign w:val="subscript"/>
          <w:lang w:eastAsia="en-GB"/>
        </w:rPr>
        <w:t>2</w:t>
      </w:r>
      <w:r w:rsidRPr="00CA282A">
        <w:rPr>
          <w:rFonts w:ascii="Times New Roman" w:eastAsia="Times New Roman" w:hAnsi="Times New Roman" w:cs="Times New Roman"/>
          <w:b/>
          <w:bCs/>
          <w:color w:val="000000"/>
          <w:sz w:val="24"/>
          <w:szCs w:val="24"/>
          <w:lang w:eastAsia="en-GB"/>
        </w:rPr>
        <w:t xml:space="preserve"> </w:t>
      </w:r>
      <w:r>
        <w:rPr>
          <w:rFonts w:ascii="Times New Roman" w:eastAsia="Times New Roman" w:hAnsi="Times New Roman" w:cs="Times New Roman"/>
          <w:b/>
          <w:bCs/>
          <w:color w:val="000000"/>
          <w:sz w:val="24"/>
          <w:szCs w:val="24"/>
          <w:lang w:eastAsia="en-GB"/>
        </w:rPr>
        <w:t>emissions intensity and energy intensity- Percentage variation (2000-2008 for Brazil and 2004-2008 for India)</w:t>
      </w:r>
    </w:p>
    <w:p w14:paraId="0427EA09" w14:textId="77777777" w:rsidR="000127B2" w:rsidRPr="007251B5" w:rsidRDefault="000127B2" w:rsidP="005B153B">
      <w:pPr>
        <w:spacing w:after="0" w:line="240" w:lineRule="auto"/>
        <w:jc w:val="both"/>
        <w:rPr>
          <w:rFonts w:ascii="Times New Roman" w:eastAsia="Times New Roman" w:hAnsi="Times New Roman" w:cs="Times New Roman"/>
          <w:b/>
          <w:bCs/>
          <w:color w:val="000000"/>
          <w:sz w:val="24"/>
          <w:szCs w:val="24"/>
          <w:lang w:eastAsia="en-GB"/>
        </w:rPr>
      </w:pPr>
      <w:r>
        <w:rPr>
          <w:noProof/>
          <w:lang w:val="it-IT" w:eastAsia="it-IT"/>
        </w:rPr>
        <w:drawing>
          <wp:inline distT="0" distB="0" distL="0" distR="0" wp14:anchorId="28096BDC" wp14:editId="0C7B9A10">
            <wp:extent cx="3495675" cy="2781300"/>
            <wp:effectExtent l="0" t="0" r="0" b="0"/>
            <wp:docPr id="4" name="Gra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A4A1185" w14:textId="77777777" w:rsidR="000127B2" w:rsidRPr="00A5002C" w:rsidRDefault="000127B2" w:rsidP="000127B2">
      <w:pPr>
        <w:spacing w:line="360" w:lineRule="auto"/>
        <w:jc w:val="both"/>
        <w:rPr>
          <w:rFonts w:ascii="Times New Roman" w:hAnsi="Times New Roman" w:cs="Times New Roman"/>
          <w:sz w:val="20"/>
          <w:szCs w:val="20"/>
        </w:rPr>
      </w:pPr>
      <w:r w:rsidRPr="00D04448">
        <w:rPr>
          <w:rFonts w:ascii="Times New Roman" w:hAnsi="Times New Roman" w:cs="Times New Roman"/>
          <w:sz w:val="20"/>
          <w:szCs w:val="20"/>
        </w:rPr>
        <w:t xml:space="preserve">Source: </w:t>
      </w:r>
      <w:r>
        <w:rPr>
          <w:rFonts w:ascii="Times New Roman" w:hAnsi="Times New Roman" w:cs="Times New Roman"/>
          <w:sz w:val="20"/>
          <w:szCs w:val="20"/>
        </w:rPr>
        <w:t>[9, 21] data</w:t>
      </w:r>
    </w:p>
    <w:p w14:paraId="568EE246" w14:textId="77777777" w:rsidR="009928DA" w:rsidRDefault="009928DA" w:rsidP="00F245A0">
      <w:pPr>
        <w:spacing w:line="360" w:lineRule="auto"/>
        <w:jc w:val="both"/>
        <w:rPr>
          <w:rFonts w:ascii="Times New Roman" w:hAnsi="Times New Roman" w:cs="Times New Roman"/>
          <w:sz w:val="24"/>
          <w:szCs w:val="24"/>
        </w:rPr>
      </w:pPr>
    </w:p>
    <w:p w14:paraId="428B71CB" w14:textId="78B820B2" w:rsidR="007E656D" w:rsidRDefault="00C77EF8" w:rsidP="00F245A0">
      <w:pPr>
        <w:spacing w:line="360" w:lineRule="auto"/>
        <w:jc w:val="both"/>
        <w:rPr>
          <w:rFonts w:ascii="Times New Roman" w:hAnsi="Times New Roman" w:cs="Times New Roman"/>
          <w:sz w:val="24"/>
          <w:szCs w:val="24"/>
        </w:rPr>
      </w:pPr>
      <w:r w:rsidRPr="00F245A0">
        <w:rPr>
          <w:rFonts w:ascii="Times New Roman" w:hAnsi="Times New Roman" w:cs="Times New Roman"/>
          <w:sz w:val="24"/>
          <w:szCs w:val="24"/>
        </w:rPr>
        <w:t xml:space="preserve">To better </w:t>
      </w:r>
      <w:r w:rsidR="00F245A0">
        <w:rPr>
          <w:rFonts w:ascii="Times New Roman" w:hAnsi="Times New Roman" w:cs="Times New Roman"/>
          <w:sz w:val="24"/>
          <w:szCs w:val="24"/>
        </w:rPr>
        <w:t xml:space="preserve">investigate </w:t>
      </w:r>
      <w:r w:rsidR="007E656D" w:rsidRPr="00F245A0">
        <w:rPr>
          <w:rFonts w:ascii="Times New Roman" w:hAnsi="Times New Roman" w:cs="Times New Roman"/>
          <w:sz w:val="24"/>
          <w:szCs w:val="24"/>
        </w:rPr>
        <w:t>the</w:t>
      </w:r>
      <w:r w:rsidR="009928DA">
        <w:rPr>
          <w:rFonts w:ascii="Times New Roman" w:hAnsi="Times New Roman" w:cs="Times New Roman"/>
          <w:sz w:val="24"/>
          <w:szCs w:val="24"/>
        </w:rPr>
        <w:t>se</w:t>
      </w:r>
      <w:r w:rsidR="007E656D" w:rsidRPr="00F245A0">
        <w:rPr>
          <w:rFonts w:ascii="Times New Roman" w:hAnsi="Times New Roman" w:cs="Times New Roman"/>
          <w:sz w:val="24"/>
          <w:szCs w:val="24"/>
        </w:rPr>
        <w:t xml:space="preserve"> evide</w:t>
      </w:r>
      <w:r w:rsidR="00F245A0">
        <w:rPr>
          <w:rFonts w:ascii="Times New Roman" w:hAnsi="Times New Roman" w:cs="Times New Roman"/>
          <w:sz w:val="24"/>
          <w:szCs w:val="24"/>
        </w:rPr>
        <w:t>nces</w:t>
      </w:r>
      <w:r w:rsidR="007E656D" w:rsidRPr="00F245A0">
        <w:rPr>
          <w:rFonts w:ascii="Times New Roman" w:hAnsi="Times New Roman" w:cs="Times New Roman"/>
          <w:sz w:val="24"/>
          <w:szCs w:val="24"/>
        </w:rPr>
        <w:t xml:space="preserve">, a decomposition </w:t>
      </w:r>
      <w:r w:rsidR="006A2330">
        <w:rPr>
          <w:rFonts w:ascii="Times New Roman" w:hAnsi="Times New Roman" w:cs="Times New Roman"/>
          <w:sz w:val="24"/>
          <w:szCs w:val="24"/>
        </w:rPr>
        <w:t>analysis</w:t>
      </w:r>
      <w:r w:rsidR="006371EC">
        <w:rPr>
          <w:rFonts w:ascii="Times New Roman" w:hAnsi="Times New Roman" w:cs="Times New Roman"/>
          <w:sz w:val="24"/>
          <w:szCs w:val="24"/>
        </w:rPr>
        <w:t xml:space="preserve"> </w:t>
      </w:r>
      <w:r w:rsidR="009928DA">
        <w:rPr>
          <w:rFonts w:ascii="Times New Roman" w:hAnsi="Times New Roman" w:cs="Times New Roman"/>
          <w:sz w:val="24"/>
          <w:szCs w:val="24"/>
        </w:rPr>
        <w:t xml:space="preserve">is </w:t>
      </w:r>
      <w:r w:rsidR="007E656D" w:rsidRPr="00F245A0">
        <w:rPr>
          <w:rFonts w:ascii="Times New Roman" w:hAnsi="Times New Roman" w:cs="Times New Roman"/>
          <w:sz w:val="24"/>
          <w:szCs w:val="24"/>
        </w:rPr>
        <w:t>performed</w:t>
      </w:r>
      <w:r w:rsidR="009928DA">
        <w:rPr>
          <w:rFonts w:ascii="Times New Roman" w:hAnsi="Times New Roman" w:cs="Times New Roman"/>
          <w:sz w:val="24"/>
          <w:szCs w:val="24"/>
        </w:rPr>
        <w:t xml:space="preserve"> in the following section</w:t>
      </w:r>
      <w:r w:rsidR="007E656D" w:rsidRPr="00F245A0">
        <w:rPr>
          <w:rFonts w:ascii="Times New Roman" w:hAnsi="Times New Roman" w:cs="Times New Roman"/>
          <w:sz w:val="24"/>
          <w:szCs w:val="24"/>
        </w:rPr>
        <w:t xml:space="preserve">. The main objective is to identify the </w:t>
      </w:r>
      <w:r w:rsidR="00F245A0">
        <w:rPr>
          <w:rFonts w:ascii="Times New Roman" w:hAnsi="Times New Roman" w:cs="Times New Roman"/>
          <w:sz w:val="24"/>
          <w:szCs w:val="24"/>
        </w:rPr>
        <w:t xml:space="preserve">driving forces </w:t>
      </w:r>
      <w:r w:rsidR="007E656D" w:rsidRPr="00F245A0">
        <w:rPr>
          <w:rFonts w:ascii="Times New Roman" w:hAnsi="Times New Roman" w:cs="Times New Roman"/>
          <w:sz w:val="24"/>
          <w:szCs w:val="24"/>
        </w:rPr>
        <w:t>that contributed to the</w:t>
      </w:r>
      <w:r w:rsidR="00F245A0">
        <w:rPr>
          <w:rFonts w:ascii="Times New Roman" w:hAnsi="Times New Roman" w:cs="Times New Roman"/>
          <w:sz w:val="24"/>
          <w:szCs w:val="24"/>
        </w:rPr>
        <w:t xml:space="preserve"> variation in the</w:t>
      </w:r>
      <w:r w:rsidR="007E656D" w:rsidRPr="00F245A0">
        <w:rPr>
          <w:rFonts w:ascii="Times New Roman" w:hAnsi="Times New Roman" w:cs="Times New Roman"/>
          <w:sz w:val="24"/>
          <w:szCs w:val="24"/>
        </w:rPr>
        <w:t xml:space="preserve"> energy-related carbon dioxide emission in the 3</w:t>
      </w:r>
      <w:r w:rsidR="00FA77A5">
        <w:rPr>
          <w:rFonts w:ascii="Times New Roman" w:hAnsi="Times New Roman" w:cs="Times New Roman"/>
          <w:sz w:val="24"/>
          <w:szCs w:val="24"/>
        </w:rPr>
        <w:t>3</w:t>
      </w:r>
      <w:r w:rsidR="007E656D" w:rsidRPr="00F245A0">
        <w:rPr>
          <w:rFonts w:ascii="Times New Roman" w:hAnsi="Times New Roman" w:cs="Times New Roman"/>
          <w:sz w:val="24"/>
          <w:szCs w:val="24"/>
        </w:rPr>
        <w:t xml:space="preserve"> countries considered in this paper.</w:t>
      </w:r>
    </w:p>
    <w:p w14:paraId="7A9954D4" w14:textId="77777777" w:rsidR="00D04448" w:rsidRPr="00F245A0" w:rsidRDefault="00D04448" w:rsidP="00F245A0">
      <w:pPr>
        <w:spacing w:line="360" w:lineRule="auto"/>
        <w:jc w:val="both"/>
        <w:rPr>
          <w:rFonts w:ascii="Times New Roman" w:hAnsi="Times New Roman" w:cs="Times New Roman"/>
          <w:sz w:val="24"/>
          <w:szCs w:val="24"/>
        </w:rPr>
      </w:pPr>
    </w:p>
    <w:p w14:paraId="67585248" w14:textId="77777777" w:rsidR="00D04448" w:rsidRPr="001C36BC" w:rsidRDefault="00D04448" w:rsidP="001C36BC">
      <w:pPr>
        <w:pStyle w:val="Paragrafoelenco"/>
        <w:numPr>
          <w:ilvl w:val="0"/>
          <w:numId w:val="1"/>
        </w:numPr>
        <w:spacing w:line="360" w:lineRule="auto"/>
        <w:jc w:val="both"/>
        <w:rPr>
          <w:rFonts w:ascii="Times New Roman" w:hAnsi="Times New Roman" w:cs="Times New Roman"/>
          <w:b/>
          <w:sz w:val="24"/>
          <w:szCs w:val="24"/>
        </w:rPr>
      </w:pPr>
      <w:r w:rsidRPr="001C36BC">
        <w:rPr>
          <w:rFonts w:ascii="Times New Roman" w:hAnsi="Times New Roman" w:cs="Times New Roman"/>
          <w:b/>
          <w:sz w:val="24"/>
          <w:szCs w:val="24"/>
        </w:rPr>
        <w:t>Decomposition analysis: methodology to identify the role of factors in the energy related CO</w:t>
      </w:r>
      <w:r w:rsidRPr="001C36BC">
        <w:rPr>
          <w:rFonts w:ascii="Times New Roman" w:hAnsi="Times New Roman" w:cs="Times New Roman"/>
          <w:b/>
          <w:sz w:val="24"/>
          <w:szCs w:val="24"/>
          <w:vertAlign w:val="subscript"/>
        </w:rPr>
        <w:t>2</w:t>
      </w:r>
      <w:r w:rsidRPr="001C36BC">
        <w:rPr>
          <w:rFonts w:ascii="Times New Roman" w:hAnsi="Times New Roman" w:cs="Times New Roman"/>
          <w:b/>
          <w:sz w:val="24"/>
          <w:szCs w:val="24"/>
        </w:rPr>
        <w:t xml:space="preserve"> emissions changes</w:t>
      </w:r>
    </w:p>
    <w:p w14:paraId="42598B5E" w14:textId="2C3C421C" w:rsidR="00D04448" w:rsidRPr="005B153B" w:rsidRDefault="00D04448" w:rsidP="00D0444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Different decomposition techniques can be used to investigate the </w:t>
      </w:r>
      <w:r w:rsidRPr="00780841">
        <w:rPr>
          <w:rFonts w:ascii="Times New Roman" w:hAnsi="Times New Roman" w:cs="Times New Roman"/>
          <w:sz w:val="24"/>
          <w:szCs w:val="24"/>
        </w:rPr>
        <w:t xml:space="preserve">relationships between </w:t>
      </w:r>
      <w:r>
        <w:rPr>
          <w:rFonts w:ascii="Times New Roman" w:hAnsi="Times New Roman" w:cs="Times New Roman"/>
          <w:sz w:val="24"/>
          <w:szCs w:val="24"/>
        </w:rPr>
        <w:t xml:space="preserve">driving forces and impacts. The </w:t>
      </w:r>
      <w:r w:rsidRPr="00780841">
        <w:rPr>
          <w:rFonts w:ascii="Times New Roman" w:hAnsi="Times New Roman" w:cs="Times New Roman"/>
          <w:sz w:val="24"/>
          <w:szCs w:val="24"/>
        </w:rPr>
        <w:t>Index Decomposition Analysis (IDA) and the Structural Decomposition Analysis (SDA), together with their related extensions, have been the most widely used</w:t>
      </w:r>
      <w:r w:rsidRPr="007C2409">
        <w:rPr>
          <w:rFonts w:ascii="Times New Roman" w:hAnsi="Times New Roman" w:cs="Times New Roman"/>
          <w:sz w:val="24"/>
          <w:szCs w:val="24"/>
        </w:rPr>
        <w:t xml:space="preserve"> </w:t>
      </w:r>
      <w:r w:rsidR="00930044">
        <w:rPr>
          <w:rFonts w:ascii="Times New Roman" w:hAnsi="Times New Roman" w:cs="Times New Roman"/>
          <w:sz w:val="24"/>
          <w:szCs w:val="24"/>
        </w:rPr>
        <w:t>[43]</w:t>
      </w:r>
      <w:r w:rsidRPr="00780841">
        <w:rPr>
          <w:rFonts w:ascii="Times New Roman" w:hAnsi="Times New Roman" w:cs="Times New Roman"/>
          <w:sz w:val="24"/>
          <w:szCs w:val="24"/>
        </w:rPr>
        <w:t>. The first one (IDA)</w:t>
      </w:r>
      <w:r>
        <w:rPr>
          <w:rFonts w:ascii="Times New Roman" w:hAnsi="Times New Roman" w:cs="Times New Roman"/>
          <w:sz w:val="24"/>
          <w:szCs w:val="24"/>
        </w:rPr>
        <w:t>,</w:t>
      </w:r>
      <w:r w:rsidRPr="00780841">
        <w:rPr>
          <w:rFonts w:ascii="Times New Roman" w:hAnsi="Times New Roman" w:cs="Times New Roman"/>
          <w:sz w:val="24"/>
          <w:szCs w:val="24"/>
        </w:rPr>
        <w:t xml:space="preserve"> that define a variable based on the interaction</w:t>
      </w:r>
      <w:r>
        <w:rPr>
          <w:rFonts w:ascii="Times New Roman" w:hAnsi="Times New Roman" w:cs="Times New Roman"/>
          <w:sz w:val="24"/>
          <w:szCs w:val="24"/>
        </w:rPr>
        <w:t>s</w:t>
      </w:r>
      <w:r w:rsidRPr="00780841">
        <w:rPr>
          <w:rFonts w:ascii="Times New Roman" w:hAnsi="Times New Roman" w:cs="Times New Roman"/>
          <w:sz w:val="24"/>
          <w:szCs w:val="24"/>
        </w:rPr>
        <w:t xml:space="preserve"> of different components thought the multiplication of factors</w:t>
      </w:r>
      <w:r>
        <w:rPr>
          <w:rFonts w:ascii="Times New Roman" w:hAnsi="Times New Roman" w:cs="Times New Roman"/>
          <w:sz w:val="24"/>
          <w:szCs w:val="24"/>
        </w:rPr>
        <w:t>,</w:t>
      </w:r>
      <w:r w:rsidRPr="00780841">
        <w:rPr>
          <w:rFonts w:ascii="Times New Roman" w:hAnsi="Times New Roman" w:cs="Times New Roman"/>
          <w:sz w:val="24"/>
          <w:szCs w:val="24"/>
        </w:rPr>
        <w:t xml:space="preserve"> </w:t>
      </w:r>
      <w:r>
        <w:rPr>
          <w:rFonts w:ascii="Times New Roman" w:hAnsi="Times New Roman" w:cs="Times New Roman"/>
          <w:sz w:val="24"/>
          <w:szCs w:val="24"/>
        </w:rPr>
        <w:t>is generally</w:t>
      </w:r>
      <w:r w:rsidRPr="00780841">
        <w:rPr>
          <w:rFonts w:ascii="Times New Roman" w:hAnsi="Times New Roman" w:cs="Times New Roman"/>
          <w:sz w:val="24"/>
          <w:szCs w:val="24"/>
        </w:rPr>
        <w:t xml:space="preserve"> applied to perform cross-country comparisons </w:t>
      </w:r>
      <w:r w:rsidR="006074AE">
        <w:rPr>
          <w:rFonts w:ascii="Times New Roman" w:hAnsi="Times New Roman" w:cs="Times New Roman"/>
          <w:sz w:val="24"/>
          <w:szCs w:val="24"/>
        </w:rPr>
        <w:t>[44, 45]</w:t>
      </w:r>
      <w:r w:rsidRPr="00780841">
        <w:rPr>
          <w:rFonts w:ascii="Times New Roman" w:hAnsi="Times New Roman" w:cs="Times New Roman"/>
          <w:sz w:val="24"/>
          <w:szCs w:val="24"/>
        </w:rPr>
        <w:t>. The second one (SDA)</w:t>
      </w:r>
      <w:r>
        <w:rPr>
          <w:rFonts w:ascii="Times New Roman" w:hAnsi="Times New Roman" w:cs="Times New Roman"/>
          <w:sz w:val="24"/>
          <w:szCs w:val="24"/>
        </w:rPr>
        <w:t>,</w:t>
      </w:r>
      <w:r w:rsidRPr="00780841">
        <w:rPr>
          <w:rFonts w:ascii="Times New Roman" w:hAnsi="Times New Roman" w:cs="Times New Roman"/>
          <w:sz w:val="24"/>
          <w:szCs w:val="24"/>
        </w:rPr>
        <w:t xml:space="preserve"> that use</w:t>
      </w:r>
      <w:r w:rsidR="005B153B">
        <w:rPr>
          <w:rFonts w:ascii="Times New Roman" w:hAnsi="Times New Roman" w:cs="Times New Roman"/>
          <w:sz w:val="24"/>
          <w:szCs w:val="24"/>
        </w:rPr>
        <w:t>s</w:t>
      </w:r>
      <w:r w:rsidRPr="00780841">
        <w:rPr>
          <w:rFonts w:ascii="Times New Roman" w:hAnsi="Times New Roman" w:cs="Times New Roman"/>
          <w:sz w:val="24"/>
          <w:szCs w:val="24"/>
        </w:rPr>
        <w:t xml:space="preserve"> an input-output approach to decompose the change of a variable into the changes of its driving forces, is suitable to offer a wide sectoral perspective </w:t>
      </w:r>
      <w:r w:rsidR="00FD4DBF">
        <w:rPr>
          <w:rFonts w:ascii="Times New Roman" w:hAnsi="Times New Roman" w:cs="Times New Roman"/>
          <w:sz w:val="24"/>
          <w:szCs w:val="24"/>
        </w:rPr>
        <w:t>[46, 47]</w:t>
      </w:r>
      <w:r>
        <w:rPr>
          <w:rFonts w:ascii="Times New Roman" w:hAnsi="Times New Roman" w:cs="Times New Roman"/>
          <w:sz w:val="24"/>
          <w:szCs w:val="24"/>
        </w:rPr>
        <w:t>. Both techniques</w:t>
      </w:r>
      <w:r w:rsidRPr="00780841">
        <w:rPr>
          <w:rFonts w:ascii="Times New Roman" w:hAnsi="Times New Roman" w:cs="Times New Roman"/>
          <w:sz w:val="24"/>
          <w:szCs w:val="24"/>
        </w:rPr>
        <w:t>, have been applied to investigate</w:t>
      </w:r>
      <w:r w:rsidRPr="007C2409">
        <w:rPr>
          <w:rFonts w:ascii="Times New Roman" w:hAnsi="Times New Roman" w:cs="Times New Roman"/>
          <w:sz w:val="24"/>
          <w:szCs w:val="24"/>
        </w:rPr>
        <w:t xml:space="preserve"> </w:t>
      </w:r>
      <w:r>
        <w:rPr>
          <w:rFonts w:ascii="Times New Roman" w:hAnsi="Times New Roman" w:cs="Times New Roman"/>
          <w:sz w:val="24"/>
          <w:szCs w:val="24"/>
        </w:rPr>
        <w:t>energy-related emission in different countries and sectors</w:t>
      </w:r>
      <w:r w:rsidRPr="00780841">
        <w:rPr>
          <w:rFonts w:ascii="Times New Roman" w:hAnsi="Times New Roman" w:cs="Times New Roman"/>
          <w:sz w:val="24"/>
          <w:szCs w:val="24"/>
        </w:rPr>
        <w:t xml:space="preserve"> </w:t>
      </w:r>
      <w:r>
        <w:rPr>
          <w:rFonts w:ascii="Times New Roman" w:hAnsi="Times New Roman" w:cs="Times New Roman"/>
          <w:sz w:val="24"/>
          <w:szCs w:val="24"/>
        </w:rPr>
        <w:t xml:space="preserve">as industrial activities, transports or final consumption </w:t>
      </w:r>
      <w:r w:rsidR="00CE1271">
        <w:rPr>
          <w:rFonts w:ascii="Times New Roman" w:hAnsi="Times New Roman" w:cs="Times New Roman"/>
          <w:sz w:val="24"/>
          <w:szCs w:val="24"/>
        </w:rPr>
        <w:t>[48-</w:t>
      </w:r>
      <w:r w:rsidR="00443C30">
        <w:rPr>
          <w:rFonts w:ascii="Times New Roman" w:hAnsi="Times New Roman" w:cs="Times New Roman"/>
          <w:sz w:val="24"/>
          <w:szCs w:val="24"/>
        </w:rPr>
        <w:t>54</w:t>
      </w:r>
      <w:r w:rsidR="00FD4DBF">
        <w:rPr>
          <w:rFonts w:ascii="Times New Roman" w:hAnsi="Times New Roman" w:cs="Times New Roman"/>
          <w:sz w:val="24"/>
          <w:szCs w:val="24"/>
        </w:rPr>
        <w:t>]</w:t>
      </w:r>
      <w:r w:rsidRPr="00780841">
        <w:rPr>
          <w:rFonts w:ascii="Times New Roman" w:hAnsi="Times New Roman" w:cs="Times New Roman"/>
          <w:sz w:val="24"/>
          <w:szCs w:val="24"/>
        </w:rPr>
        <w:t xml:space="preserve">. In this paper the Index Decomposition Technique proposed by </w:t>
      </w:r>
      <w:r w:rsidR="00443C30">
        <w:rPr>
          <w:rFonts w:ascii="Times New Roman" w:hAnsi="Times New Roman" w:cs="Times New Roman"/>
          <w:sz w:val="24"/>
          <w:szCs w:val="24"/>
        </w:rPr>
        <w:t>[55]</w:t>
      </w:r>
      <w:r>
        <w:rPr>
          <w:rFonts w:ascii="Times New Roman" w:hAnsi="Times New Roman" w:cs="Times New Roman"/>
          <w:sz w:val="24"/>
          <w:szCs w:val="24"/>
        </w:rPr>
        <w:t xml:space="preserve"> </w:t>
      </w:r>
      <w:r w:rsidR="005B153B">
        <w:rPr>
          <w:rFonts w:ascii="Times New Roman" w:hAnsi="Times New Roman" w:cs="Times New Roman"/>
          <w:sz w:val="24"/>
          <w:szCs w:val="24"/>
        </w:rPr>
        <w:t xml:space="preserve">and revised by [56] </w:t>
      </w:r>
      <w:r>
        <w:rPr>
          <w:rFonts w:ascii="Times New Roman" w:hAnsi="Times New Roman" w:cs="Times New Roman"/>
          <w:sz w:val="24"/>
          <w:szCs w:val="24"/>
        </w:rPr>
        <w:t>is used to analyse</w:t>
      </w:r>
      <w:r w:rsidRPr="00780841">
        <w:rPr>
          <w:rFonts w:ascii="Times New Roman" w:hAnsi="Times New Roman" w:cs="Times New Roman"/>
          <w:sz w:val="24"/>
          <w:szCs w:val="24"/>
        </w:rPr>
        <w:t xml:space="preserve"> the main factors th</w:t>
      </w:r>
      <w:r>
        <w:rPr>
          <w:rFonts w:ascii="Times New Roman" w:hAnsi="Times New Roman" w:cs="Times New Roman"/>
          <w:sz w:val="24"/>
          <w:szCs w:val="24"/>
        </w:rPr>
        <w:t xml:space="preserve">at contributed to </w:t>
      </w:r>
      <w:r>
        <w:rPr>
          <w:rFonts w:ascii="Times New Roman" w:hAnsi="Times New Roman" w:cs="Times New Roman"/>
          <w:sz w:val="24"/>
          <w:szCs w:val="24"/>
        </w:rPr>
        <w:lastRenderedPageBreak/>
        <w:t>change the energy-related CO</w:t>
      </w:r>
      <w:r w:rsidRPr="00F245A0">
        <w:rPr>
          <w:rFonts w:ascii="Times New Roman" w:hAnsi="Times New Roman" w:cs="Times New Roman"/>
          <w:sz w:val="24"/>
          <w:szCs w:val="24"/>
          <w:vertAlign w:val="subscript"/>
        </w:rPr>
        <w:t>2</w:t>
      </w:r>
      <w:r w:rsidRPr="00780841">
        <w:rPr>
          <w:rFonts w:ascii="Times New Roman" w:hAnsi="Times New Roman" w:cs="Times New Roman"/>
          <w:sz w:val="24"/>
          <w:szCs w:val="24"/>
        </w:rPr>
        <w:t xml:space="preserve"> emissions in different world countries. In particular, equation [1] is used to describe CO</w:t>
      </w:r>
      <w:r w:rsidRPr="00780841">
        <w:rPr>
          <w:rFonts w:ascii="Times New Roman" w:hAnsi="Times New Roman" w:cs="Times New Roman"/>
          <w:sz w:val="24"/>
          <w:szCs w:val="24"/>
          <w:vertAlign w:val="subscript"/>
        </w:rPr>
        <w:t xml:space="preserve">2 </w:t>
      </w:r>
      <w:r w:rsidRPr="00780841">
        <w:rPr>
          <w:rFonts w:ascii="Times New Roman" w:hAnsi="Times New Roman" w:cs="Times New Roman"/>
          <w:sz w:val="24"/>
          <w:szCs w:val="24"/>
        </w:rPr>
        <w:t>emissions as a consequence of variations in energy intensity, emission intensity and economic activity</w:t>
      </w:r>
      <w:r w:rsidR="005B153B">
        <w:rPr>
          <w:rFonts w:ascii="Times New Roman" w:hAnsi="Times New Roman" w:cs="Times New Roman"/>
          <w:sz w:val="24"/>
          <w:szCs w:val="24"/>
        </w:rPr>
        <w:t>. Based on the idea that carbon dioxide emission (CE) generated by all the countries considered in this paper at time (t) can be evaluated as the product of emission intensity (CI), energy intensity (EI), economic share of a specific country (ES) and economic activity (G) [55] express CO</w:t>
      </w:r>
      <w:r w:rsidR="005B153B" w:rsidRPr="005B153B">
        <w:rPr>
          <w:rFonts w:ascii="Times New Roman" w:hAnsi="Times New Roman" w:cs="Times New Roman"/>
          <w:sz w:val="24"/>
          <w:szCs w:val="24"/>
          <w:vertAlign w:val="subscript"/>
        </w:rPr>
        <w:t>2</w:t>
      </w:r>
      <w:r w:rsidR="005B153B">
        <w:rPr>
          <w:rFonts w:ascii="Times New Roman" w:hAnsi="Times New Roman" w:cs="Times New Roman"/>
          <w:sz w:val="24"/>
          <w:szCs w:val="24"/>
          <w:vertAlign w:val="subscript"/>
        </w:rPr>
        <w:t xml:space="preserve"> </w:t>
      </w:r>
      <w:r w:rsidR="005B153B">
        <w:rPr>
          <w:rFonts w:ascii="Times New Roman" w:hAnsi="Times New Roman" w:cs="Times New Roman"/>
          <w:sz w:val="24"/>
          <w:szCs w:val="24"/>
        </w:rPr>
        <w:t>emissions as an extended Kaya identity:</w:t>
      </w:r>
    </w:p>
    <w:p w14:paraId="00446E9E" w14:textId="77777777" w:rsidR="00D04448" w:rsidRPr="00780841" w:rsidRDefault="00D04448" w:rsidP="00D04448">
      <w:pPr>
        <w:spacing w:line="360" w:lineRule="auto"/>
        <w:jc w:val="both"/>
        <w:rPr>
          <w:rFonts w:ascii="Times New Roman" w:hAnsi="Times New Roman" w:cs="Times New Roman"/>
          <w:sz w:val="24"/>
          <w:szCs w:val="24"/>
        </w:rPr>
      </w:pPr>
      <w:r w:rsidRPr="00780841">
        <w:rPr>
          <w:rFonts w:ascii="Times New Roman" w:eastAsia="Calibri" w:hAnsi="Times New Roman" w:cs="Times New Roman"/>
          <w:position w:val="-30"/>
          <w:sz w:val="24"/>
          <w:szCs w:val="24"/>
          <w:lang w:val="it-IT" w:eastAsia="it-IT"/>
        </w:rPr>
        <w:object w:dxaOrig="6520" w:dyaOrig="720" w14:anchorId="7CD201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55pt;height:36pt" o:ole="">
            <v:imagedata r:id="rId17" o:title=""/>
          </v:shape>
          <o:OLEObject Type="Embed" ProgID="Equation.3" ShapeID="_x0000_i1025" DrawAspect="Content" ObjectID="_1503738625" r:id="rId18"/>
        </w:object>
      </w:r>
      <w:r w:rsidRPr="00780841">
        <w:rPr>
          <w:rFonts w:ascii="Times New Roman" w:eastAsia="Calibri" w:hAnsi="Times New Roman" w:cs="Times New Roman"/>
          <w:position w:val="-30"/>
          <w:sz w:val="24"/>
          <w:szCs w:val="24"/>
          <w:lang w:val="en-US" w:eastAsia="it-IT"/>
        </w:rPr>
        <w:tab/>
      </w:r>
      <w:r w:rsidRPr="00780841">
        <w:rPr>
          <w:rFonts w:ascii="Times New Roman" w:eastAsia="Calibri" w:hAnsi="Times New Roman" w:cs="Times New Roman"/>
          <w:position w:val="-30"/>
          <w:sz w:val="24"/>
          <w:szCs w:val="24"/>
          <w:lang w:val="en-US" w:eastAsia="it-IT"/>
        </w:rPr>
        <w:tab/>
        <w:t>[1]</w:t>
      </w:r>
    </w:p>
    <w:p w14:paraId="5C54523A" w14:textId="77777777" w:rsidR="00D04448" w:rsidRPr="00780841" w:rsidRDefault="00D04448" w:rsidP="00D04448">
      <w:pPr>
        <w:spacing w:line="360" w:lineRule="auto"/>
        <w:jc w:val="both"/>
        <w:rPr>
          <w:rFonts w:ascii="Times New Roman" w:hAnsi="Times New Roman" w:cs="Times New Roman"/>
          <w:sz w:val="24"/>
          <w:szCs w:val="24"/>
          <w:lang w:eastAsia="it-IT"/>
        </w:rPr>
      </w:pPr>
      <w:r w:rsidRPr="00780841">
        <w:rPr>
          <w:rFonts w:ascii="Times New Roman" w:hAnsi="Times New Roman" w:cs="Times New Roman"/>
          <w:sz w:val="24"/>
          <w:szCs w:val="24"/>
          <w:lang w:eastAsia="it-IT"/>
        </w:rPr>
        <w:t xml:space="preserve">where for a specific year, </w:t>
      </w:r>
      <w:r w:rsidRPr="00780841">
        <w:rPr>
          <w:rFonts w:ascii="Times New Roman" w:hAnsi="Times New Roman" w:cs="Times New Roman"/>
          <w:i/>
          <w:sz w:val="24"/>
          <w:szCs w:val="24"/>
          <w:lang w:eastAsia="it-IT"/>
        </w:rPr>
        <w:t>E</w:t>
      </w:r>
      <w:r w:rsidRPr="00780841">
        <w:rPr>
          <w:rFonts w:ascii="Times New Roman" w:hAnsi="Times New Roman" w:cs="Times New Roman"/>
          <w:i/>
          <w:sz w:val="24"/>
          <w:szCs w:val="24"/>
          <w:vertAlign w:val="subscript"/>
          <w:lang w:eastAsia="it-IT"/>
        </w:rPr>
        <w:t>i</w:t>
      </w:r>
      <w:r w:rsidRPr="00780841">
        <w:rPr>
          <w:rFonts w:ascii="Times New Roman" w:hAnsi="Times New Roman" w:cs="Times New Roman"/>
          <w:i/>
          <w:sz w:val="24"/>
          <w:szCs w:val="24"/>
          <w:vertAlign w:val="superscript"/>
          <w:lang w:eastAsia="it-IT"/>
        </w:rPr>
        <w:t>t</w:t>
      </w:r>
      <w:r w:rsidRPr="00780841">
        <w:rPr>
          <w:rFonts w:ascii="Times New Roman" w:hAnsi="Times New Roman" w:cs="Times New Roman"/>
          <w:sz w:val="24"/>
          <w:szCs w:val="24"/>
          <w:lang w:eastAsia="it-IT"/>
        </w:rPr>
        <w:t xml:space="preserve"> refers to the total energy consumption of the </w:t>
      </w:r>
      <w:r w:rsidRPr="00780841">
        <w:rPr>
          <w:rFonts w:ascii="Times New Roman" w:hAnsi="Times New Roman" w:cs="Times New Roman"/>
          <w:i/>
          <w:sz w:val="24"/>
          <w:szCs w:val="24"/>
          <w:lang w:eastAsia="it-IT"/>
        </w:rPr>
        <w:t>i</w:t>
      </w:r>
      <w:r w:rsidRPr="00780841">
        <w:rPr>
          <w:rFonts w:ascii="Times New Roman" w:hAnsi="Times New Roman" w:cs="Times New Roman"/>
          <w:sz w:val="24"/>
          <w:szCs w:val="24"/>
          <w:lang w:eastAsia="it-IT"/>
        </w:rPr>
        <w:t xml:space="preserve">th country (TJ), </w:t>
      </w:r>
      <w:r w:rsidRPr="00780841">
        <w:rPr>
          <w:rFonts w:ascii="Times New Roman" w:hAnsi="Times New Roman" w:cs="Times New Roman"/>
          <w:i/>
          <w:sz w:val="24"/>
          <w:szCs w:val="24"/>
          <w:lang w:eastAsia="it-IT"/>
        </w:rPr>
        <w:t>GDP</w:t>
      </w:r>
      <w:r w:rsidRPr="00780841">
        <w:rPr>
          <w:rFonts w:ascii="Times New Roman" w:hAnsi="Times New Roman" w:cs="Times New Roman"/>
          <w:i/>
          <w:sz w:val="24"/>
          <w:szCs w:val="24"/>
          <w:vertAlign w:val="subscript"/>
          <w:lang w:eastAsia="it-IT"/>
        </w:rPr>
        <w:t>i</w:t>
      </w:r>
      <w:r w:rsidRPr="00780841">
        <w:rPr>
          <w:rFonts w:ascii="Times New Roman" w:hAnsi="Times New Roman" w:cs="Times New Roman"/>
          <w:i/>
          <w:sz w:val="24"/>
          <w:szCs w:val="24"/>
          <w:vertAlign w:val="superscript"/>
          <w:lang w:eastAsia="it-IT"/>
        </w:rPr>
        <w:t>t</w:t>
      </w:r>
      <w:r w:rsidRPr="00780841">
        <w:rPr>
          <w:rFonts w:ascii="Times New Roman" w:hAnsi="Times New Roman" w:cs="Times New Roman"/>
          <w:sz w:val="24"/>
          <w:szCs w:val="24"/>
          <w:vertAlign w:val="superscript"/>
          <w:lang w:eastAsia="it-IT"/>
        </w:rPr>
        <w:t xml:space="preserve"> </w:t>
      </w:r>
      <w:r w:rsidRPr="00780841">
        <w:rPr>
          <w:rFonts w:ascii="Times New Roman" w:hAnsi="Times New Roman" w:cs="Times New Roman"/>
          <w:sz w:val="24"/>
          <w:szCs w:val="24"/>
          <w:lang w:eastAsia="it-IT"/>
        </w:rPr>
        <w:t xml:space="preserve">refers to the value added of the </w:t>
      </w:r>
      <w:r w:rsidRPr="00780841">
        <w:rPr>
          <w:rFonts w:ascii="Times New Roman" w:hAnsi="Times New Roman" w:cs="Times New Roman"/>
          <w:i/>
          <w:sz w:val="24"/>
          <w:szCs w:val="24"/>
          <w:lang w:eastAsia="it-IT"/>
        </w:rPr>
        <w:t>i</w:t>
      </w:r>
      <w:r w:rsidRPr="00780841">
        <w:rPr>
          <w:rFonts w:ascii="Times New Roman" w:hAnsi="Times New Roman" w:cs="Times New Roman"/>
          <w:sz w:val="24"/>
          <w:szCs w:val="24"/>
          <w:lang w:eastAsia="it-IT"/>
        </w:rPr>
        <w:t>th</w:t>
      </w:r>
      <w:r w:rsidRPr="00780841" w:rsidDel="00B804BA">
        <w:rPr>
          <w:rFonts w:ascii="Times New Roman" w:hAnsi="Times New Roman" w:cs="Times New Roman"/>
          <w:sz w:val="24"/>
          <w:szCs w:val="24"/>
          <w:lang w:eastAsia="it-IT"/>
        </w:rPr>
        <w:t xml:space="preserve"> </w:t>
      </w:r>
      <w:r w:rsidRPr="00780841">
        <w:rPr>
          <w:rFonts w:ascii="Times New Roman" w:hAnsi="Times New Roman" w:cs="Times New Roman"/>
          <w:sz w:val="24"/>
          <w:szCs w:val="24"/>
          <w:lang w:eastAsia="it-IT"/>
        </w:rPr>
        <w:t xml:space="preserve">country, </w:t>
      </w:r>
      <w:r w:rsidRPr="00780841">
        <w:rPr>
          <w:rFonts w:ascii="Times New Roman" w:hAnsi="Times New Roman" w:cs="Times New Roman"/>
          <w:i/>
          <w:sz w:val="24"/>
          <w:szCs w:val="24"/>
          <w:lang w:eastAsia="it-IT"/>
        </w:rPr>
        <w:t>GDP</w:t>
      </w:r>
      <w:r w:rsidRPr="00780841">
        <w:rPr>
          <w:rFonts w:ascii="Times New Roman" w:hAnsi="Times New Roman" w:cs="Times New Roman"/>
          <w:i/>
          <w:sz w:val="24"/>
          <w:szCs w:val="24"/>
          <w:vertAlign w:val="superscript"/>
          <w:lang w:eastAsia="it-IT"/>
        </w:rPr>
        <w:t>t</w:t>
      </w:r>
      <w:r w:rsidRPr="00780841">
        <w:rPr>
          <w:rFonts w:ascii="Times New Roman" w:hAnsi="Times New Roman" w:cs="Times New Roman"/>
          <w:i/>
          <w:sz w:val="24"/>
          <w:szCs w:val="24"/>
          <w:lang w:eastAsia="it-IT"/>
        </w:rPr>
        <w:t xml:space="preserve"> </w:t>
      </w:r>
      <w:r w:rsidRPr="00780841">
        <w:rPr>
          <w:rFonts w:ascii="Times New Roman" w:hAnsi="Times New Roman" w:cs="Times New Roman"/>
          <w:sz w:val="24"/>
          <w:szCs w:val="24"/>
          <w:lang w:eastAsia="it-IT"/>
        </w:rPr>
        <w:t xml:space="preserve">refers to the </w:t>
      </w:r>
      <w:r>
        <w:rPr>
          <w:rFonts w:ascii="Times New Roman" w:hAnsi="Times New Roman" w:cs="Times New Roman"/>
          <w:sz w:val="24"/>
          <w:szCs w:val="24"/>
          <w:lang w:eastAsia="it-IT"/>
        </w:rPr>
        <w:t xml:space="preserve">aggregated </w:t>
      </w:r>
      <w:r w:rsidRPr="00780841">
        <w:rPr>
          <w:rFonts w:ascii="Times New Roman" w:hAnsi="Times New Roman" w:cs="Times New Roman"/>
          <w:sz w:val="24"/>
          <w:szCs w:val="24"/>
          <w:lang w:eastAsia="it-IT"/>
        </w:rPr>
        <w:t xml:space="preserve">value added </w:t>
      </w:r>
      <w:r>
        <w:rPr>
          <w:rFonts w:ascii="Times New Roman" w:hAnsi="Times New Roman" w:cs="Times New Roman"/>
          <w:sz w:val="24"/>
          <w:szCs w:val="24"/>
          <w:lang w:eastAsia="it-IT"/>
        </w:rPr>
        <w:t xml:space="preserve">of all the considered countries </w:t>
      </w:r>
      <w:r w:rsidRPr="00780841">
        <w:rPr>
          <w:rFonts w:ascii="Times New Roman" w:hAnsi="Times New Roman" w:cs="Times New Roman"/>
          <w:sz w:val="24"/>
          <w:szCs w:val="24"/>
          <w:lang w:eastAsia="it-IT"/>
        </w:rPr>
        <w:t xml:space="preserve">and </w:t>
      </w:r>
      <w:r w:rsidRPr="00780841">
        <w:rPr>
          <w:rFonts w:ascii="Times New Roman" w:hAnsi="Times New Roman" w:cs="Times New Roman"/>
          <w:i/>
          <w:sz w:val="24"/>
          <w:szCs w:val="24"/>
          <w:lang w:eastAsia="it-IT"/>
        </w:rPr>
        <w:t>E</w:t>
      </w:r>
      <w:r w:rsidRPr="00780841">
        <w:rPr>
          <w:rFonts w:ascii="Times New Roman" w:hAnsi="Times New Roman" w:cs="Times New Roman"/>
          <w:i/>
          <w:sz w:val="24"/>
          <w:szCs w:val="24"/>
          <w:vertAlign w:val="subscript"/>
          <w:lang w:eastAsia="it-IT"/>
        </w:rPr>
        <w:t>i</w:t>
      </w:r>
      <w:r w:rsidRPr="00780841">
        <w:rPr>
          <w:rFonts w:ascii="Times New Roman" w:hAnsi="Times New Roman" w:cs="Times New Roman"/>
          <w:i/>
          <w:sz w:val="24"/>
          <w:szCs w:val="24"/>
          <w:vertAlign w:val="superscript"/>
          <w:lang w:eastAsia="it-IT"/>
        </w:rPr>
        <w:t xml:space="preserve">t </w:t>
      </w:r>
      <w:r w:rsidRPr="00780841">
        <w:rPr>
          <w:rFonts w:ascii="Times New Roman" w:hAnsi="Times New Roman" w:cs="Times New Roman"/>
          <w:sz w:val="24"/>
          <w:szCs w:val="24"/>
          <w:lang w:eastAsia="it-IT"/>
        </w:rPr>
        <w:t>refers to total</w:t>
      </w:r>
      <w:r w:rsidRPr="00780841">
        <w:rPr>
          <w:rFonts w:ascii="Times New Roman" w:hAnsi="Times New Roman" w:cs="Times New Roman"/>
          <w:sz w:val="24"/>
          <w:szCs w:val="24"/>
          <w:vertAlign w:val="subscript"/>
          <w:lang w:eastAsia="it-IT"/>
        </w:rPr>
        <w:t xml:space="preserve"> </w:t>
      </w:r>
      <w:r w:rsidRPr="00780841">
        <w:rPr>
          <w:rFonts w:ascii="Times New Roman" w:hAnsi="Times New Roman" w:cs="Times New Roman"/>
          <w:sz w:val="24"/>
          <w:szCs w:val="24"/>
          <w:lang w:eastAsia="it-IT"/>
        </w:rPr>
        <w:t xml:space="preserve">emissions (in tons) of the country </w:t>
      </w:r>
      <w:r w:rsidRPr="00780841">
        <w:rPr>
          <w:rFonts w:ascii="Times New Roman" w:hAnsi="Times New Roman" w:cs="Times New Roman"/>
          <w:i/>
          <w:sz w:val="24"/>
          <w:szCs w:val="24"/>
          <w:lang w:eastAsia="it-IT"/>
        </w:rPr>
        <w:t>i</w:t>
      </w:r>
      <w:r w:rsidRPr="00780841">
        <w:rPr>
          <w:rFonts w:ascii="Times New Roman" w:hAnsi="Times New Roman" w:cs="Times New Roman"/>
          <w:sz w:val="24"/>
          <w:szCs w:val="24"/>
          <w:lang w:eastAsia="it-IT"/>
        </w:rPr>
        <w:t>.</w:t>
      </w:r>
      <w:r w:rsidR="00C3112A">
        <w:rPr>
          <w:rFonts w:ascii="Times New Roman" w:hAnsi="Times New Roman" w:cs="Times New Roman"/>
          <w:sz w:val="24"/>
          <w:szCs w:val="24"/>
          <w:lang w:eastAsia="it-IT"/>
        </w:rPr>
        <w:t xml:space="preserve"> </w:t>
      </w:r>
      <w:r w:rsidRPr="00780841">
        <w:rPr>
          <w:rFonts w:ascii="Times New Roman" w:hAnsi="Times New Roman" w:cs="Times New Roman"/>
          <w:sz w:val="24"/>
          <w:szCs w:val="24"/>
          <w:lang w:eastAsia="it-IT"/>
        </w:rPr>
        <w:t xml:space="preserve">Since expression [1] runs from a base year </w:t>
      </w:r>
      <w:r w:rsidR="00C3112A">
        <w:rPr>
          <w:rFonts w:ascii="Times New Roman" w:hAnsi="Times New Roman" w:cs="Times New Roman"/>
          <w:sz w:val="24"/>
          <w:szCs w:val="24"/>
          <w:lang w:eastAsia="it-IT"/>
        </w:rPr>
        <w:t>0</w:t>
      </w:r>
      <w:r w:rsidRPr="00780841">
        <w:rPr>
          <w:rFonts w:ascii="Times New Roman" w:hAnsi="Times New Roman" w:cs="Times New Roman"/>
          <w:sz w:val="24"/>
          <w:szCs w:val="24"/>
          <w:lang w:eastAsia="it-IT"/>
        </w:rPr>
        <w:t xml:space="preserve"> to a target year t</w:t>
      </w:r>
      <w:r w:rsidR="00C3112A">
        <w:rPr>
          <w:rFonts w:ascii="Times New Roman" w:hAnsi="Times New Roman" w:cs="Times New Roman"/>
          <w:sz w:val="24"/>
          <w:szCs w:val="24"/>
          <w:vertAlign w:val="subscript"/>
          <w:lang w:eastAsia="it-IT"/>
        </w:rPr>
        <w:t>,</w:t>
      </w:r>
      <w:r>
        <w:rPr>
          <w:rFonts w:ascii="Times New Roman" w:hAnsi="Times New Roman" w:cs="Times New Roman"/>
          <w:sz w:val="24"/>
          <w:szCs w:val="24"/>
          <w:lang w:eastAsia="it-IT"/>
        </w:rPr>
        <w:t xml:space="preserve"> we can calculate</w:t>
      </w:r>
      <w:r w:rsidRPr="00780841">
        <w:rPr>
          <w:rFonts w:ascii="Times New Roman" w:hAnsi="Times New Roman" w:cs="Times New Roman"/>
          <w:sz w:val="24"/>
          <w:szCs w:val="24"/>
          <w:lang w:eastAsia="it-IT"/>
        </w:rPr>
        <w:t xml:space="preserve"> </w:t>
      </w:r>
      <w:r>
        <w:rPr>
          <w:rFonts w:ascii="Times New Roman" w:hAnsi="Times New Roman" w:cs="Times New Roman"/>
          <w:sz w:val="24"/>
          <w:szCs w:val="24"/>
          <w:lang w:eastAsia="it-IT"/>
        </w:rPr>
        <w:t>the variation in carbon dioxide emissions (</w:t>
      </w:r>
      <w:r w:rsidRPr="00780841">
        <w:rPr>
          <w:rFonts w:ascii="Times New Roman" w:hAnsi="Times New Roman" w:cs="Times New Roman"/>
          <w:i/>
          <w:sz w:val="24"/>
          <w:szCs w:val="24"/>
          <w:lang w:eastAsia="it-IT"/>
        </w:rPr>
        <w:t>∆CE</w:t>
      </w:r>
      <w:r w:rsidRPr="001123C8">
        <w:rPr>
          <w:rFonts w:ascii="Times New Roman" w:hAnsi="Times New Roman" w:cs="Times New Roman"/>
          <w:sz w:val="24"/>
          <w:szCs w:val="24"/>
          <w:lang w:eastAsia="it-IT"/>
        </w:rPr>
        <w:t>)</w:t>
      </w:r>
      <w:r w:rsidRPr="00780841">
        <w:rPr>
          <w:rFonts w:ascii="Times New Roman" w:hAnsi="Times New Roman" w:cs="Times New Roman"/>
          <w:sz w:val="24"/>
          <w:szCs w:val="24"/>
          <w:lang w:eastAsia="it-IT"/>
        </w:rPr>
        <w:t xml:space="preserve"> over the period of time </w:t>
      </w:r>
      <w:r w:rsidRPr="00780841">
        <w:rPr>
          <w:rFonts w:ascii="Times New Roman" w:hAnsi="Times New Roman" w:cs="Times New Roman"/>
          <w:i/>
          <w:sz w:val="24"/>
          <w:szCs w:val="24"/>
          <w:lang w:eastAsia="it-IT"/>
        </w:rPr>
        <w:t>∆t</w:t>
      </w:r>
      <w:r>
        <w:rPr>
          <w:rFonts w:ascii="Times New Roman" w:hAnsi="Times New Roman" w:cs="Times New Roman"/>
          <w:sz w:val="24"/>
          <w:szCs w:val="24"/>
          <w:lang w:eastAsia="it-IT"/>
        </w:rPr>
        <w:t xml:space="preserve"> as [2]:</w:t>
      </w:r>
    </w:p>
    <w:p w14:paraId="29E36911" w14:textId="77777777" w:rsidR="00D04448" w:rsidRPr="00780841" w:rsidRDefault="00D04448" w:rsidP="00D04448">
      <w:pPr>
        <w:spacing w:line="360" w:lineRule="auto"/>
        <w:jc w:val="both"/>
        <w:rPr>
          <w:rFonts w:ascii="Times New Roman" w:hAnsi="Times New Roman" w:cs="Times New Roman"/>
          <w:sz w:val="24"/>
          <w:szCs w:val="24"/>
          <w:lang w:eastAsia="it-IT"/>
        </w:rPr>
      </w:pPr>
      <w:r w:rsidRPr="00780841">
        <w:rPr>
          <w:rFonts w:ascii="Times New Roman" w:hAnsi="Times New Roman" w:cs="Times New Roman"/>
          <w:i/>
          <w:sz w:val="24"/>
          <w:szCs w:val="24"/>
          <w:lang w:eastAsia="it-IT"/>
        </w:rPr>
        <w:t>∆CE = CE</w:t>
      </w:r>
      <w:r w:rsidRPr="00780841">
        <w:rPr>
          <w:rFonts w:ascii="Times New Roman" w:hAnsi="Times New Roman" w:cs="Times New Roman"/>
          <w:i/>
          <w:sz w:val="24"/>
          <w:szCs w:val="24"/>
          <w:vertAlign w:val="superscript"/>
          <w:lang w:eastAsia="it-IT"/>
        </w:rPr>
        <w:t xml:space="preserve">t </w:t>
      </w:r>
      <w:r>
        <w:rPr>
          <w:rFonts w:ascii="Times New Roman" w:hAnsi="Times New Roman" w:cs="Times New Roman"/>
          <w:i/>
          <w:sz w:val="24"/>
          <w:szCs w:val="24"/>
          <w:lang w:eastAsia="it-IT"/>
        </w:rPr>
        <w:t>–</w:t>
      </w:r>
      <w:r w:rsidRPr="00780841">
        <w:rPr>
          <w:rFonts w:ascii="Times New Roman" w:hAnsi="Times New Roman" w:cs="Times New Roman"/>
          <w:i/>
          <w:sz w:val="24"/>
          <w:szCs w:val="24"/>
          <w:lang w:eastAsia="it-IT"/>
        </w:rPr>
        <w:t xml:space="preserve"> CE</w:t>
      </w:r>
      <w:r w:rsidRPr="00780841">
        <w:rPr>
          <w:rFonts w:ascii="Times New Roman" w:hAnsi="Times New Roman" w:cs="Times New Roman"/>
          <w:i/>
          <w:sz w:val="24"/>
          <w:szCs w:val="24"/>
          <w:vertAlign w:val="superscript"/>
          <w:lang w:eastAsia="it-IT"/>
        </w:rPr>
        <w:t xml:space="preserve">0 </w:t>
      </w:r>
      <w:r w:rsidRPr="00780841">
        <w:rPr>
          <w:rFonts w:ascii="Times New Roman" w:hAnsi="Times New Roman" w:cs="Times New Roman"/>
          <w:b/>
          <w:i/>
          <w:sz w:val="24"/>
          <w:szCs w:val="24"/>
          <w:lang w:eastAsia="it-IT"/>
        </w:rPr>
        <w:t xml:space="preserve">= </w:t>
      </w:r>
      <w:r w:rsidRPr="00AA2690">
        <w:rPr>
          <w:rFonts w:ascii="Times New Roman" w:hAnsi="Times New Roman" w:cs="Times New Roman"/>
          <w:i/>
          <w:sz w:val="24"/>
          <w:szCs w:val="24"/>
          <w:lang w:eastAsia="it-IT"/>
        </w:rPr>
        <w:t>C</w:t>
      </w:r>
      <w:r w:rsidRPr="00780841">
        <w:rPr>
          <w:rFonts w:ascii="Times New Roman" w:hAnsi="Times New Roman" w:cs="Times New Roman"/>
          <w:i/>
          <w:sz w:val="24"/>
          <w:szCs w:val="24"/>
          <w:lang w:eastAsia="it-IT"/>
        </w:rPr>
        <w:t>I</w:t>
      </w:r>
      <w:r w:rsidRPr="00780841">
        <w:rPr>
          <w:rFonts w:ascii="Times New Roman" w:hAnsi="Times New Roman" w:cs="Times New Roman"/>
          <w:i/>
          <w:sz w:val="24"/>
          <w:szCs w:val="24"/>
          <w:vertAlign w:val="subscript"/>
          <w:lang w:eastAsia="it-IT"/>
        </w:rPr>
        <w:t xml:space="preserve">effect </w:t>
      </w:r>
      <w:r w:rsidRPr="00780841">
        <w:rPr>
          <w:rFonts w:ascii="Times New Roman" w:hAnsi="Times New Roman" w:cs="Times New Roman"/>
          <w:i/>
          <w:sz w:val="24"/>
          <w:szCs w:val="24"/>
          <w:lang w:eastAsia="it-IT"/>
        </w:rPr>
        <w:t>+ EI</w:t>
      </w:r>
      <w:r w:rsidRPr="00780841">
        <w:rPr>
          <w:rFonts w:ascii="Times New Roman" w:hAnsi="Times New Roman" w:cs="Times New Roman"/>
          <w:i/>
          <w:sz w:val="24"/>
          <w:szCs w:val="24"/>
          <w:vertAlign w:val="subscript"/>
          <w:lang w:eastAsia="it-IT"/>
        </w:rPr>
        <w:t>effect</w:t>
      </w:r>
      <w:r w:rsidRPr="00780841">
        <w:rPr>
          <w:rFonts w:ascii="Times New Roman" w:hAnsi="Times New Roman" w:cs="Times New Roman"/>
          <w:i/>
          <w:sz w:val="24"/>
          <w:szCs w:val="24"/>
          <w:lang w:eastAsia="it-IT"/>
        </w:rPr>
        <w:t xml:space="preserve"> + ES</w:t>
      </w:r>
      <w:r w:rsidRPr="00780841">
        <w:rPr>
          <w:rFonts w:ascii="Times New Roman" w:hAnsi="Times New Roman" w:cs="Times New Roman"/>
          <w:i/>
          <w:sz w:val="24"/>
          <w:szCs w:val="24"/>
          <w:vertAlign w:val="subscript"/>
          <w:lang w:eastAsia="it-IT"/>
        </w:rPr>
        <w:t>effect</w:t>
      </w:r>
      <w:r w:rsidRPr="00780841">
        <w:rPr>
          <w:rFonts w:ascii="Times New Roman" w:hAnsi="Times New Roman" w:cs="Times New Roman"/>
          <w:i/>
          <w:sz w:val="24"/>
          <w:szCs w:val="24"/>
          <w:lang w:eastAsia="it-IT"/>
        </w:rPr>
        <w:t xml:space="preserve"> + G</w:t>
      </w:r>
      <w:r w:rsidRPr="00780841">
        <w:rPr>
          <w:rFonts w:ascii="Times New Roman" w:hAnsi="Times New Roman" w:cs="Times New Roman"/>
          <w:i/>
          <w:sz w:val="24"/>
          <w:szCs w:val="24"/>
          <w:vertAlign w:val="subscript"/>
          <w:lang w:eastAsia="it-IT"/>
        </w:rPr>
        <w:t>effec</w:t>
      </w:r>
      <w:r w:rsidRPr="00780841">
        <w:rPr>
          <w:rFonts w:ascii="Times New Roman" w:hAnsi="Times New Roman" w:cs="Times New Roman"/>
          <w:sz w:val="24"/>
          <w:szCs w:val="24"/>
          <w:lang w:eastAsia="it-IT"/>
        </w:rPr>
        <w:tab/>
      </w:r>
      <w:r w:rsidRPr="00780841">
        <w:rPr>
          <w:rFonts w:ascii="Times New Roman" w:hAnsi="Times New Roman" w:cs="Times New Roman"/>
          <w:sz w:val="24"/>
          <w:szCs w:val="24"/>
          <w:lang w:eastAsia="it-IT"/>
        </w:rPr>
        <w:tab/>
      </w:r>
      <w:r w:rsidRPr="00780841">
        <w:rPr>
          <w:rFonts w:ascii="Times New Roman" w:hAnsi="Times New Roman" w:cs="Times New Roman"/>
          <w:sz w:val="24"/>
          <w:szCs w:val="24"/>
          <w:lang w:eastAsia="it-IT"/>
        </w:rPr>
        <w:tab/>
      </w:r>
      <w:r w:rsidRPr="00780841">
        <w:rPr>
          <w:rFonts w:ascii="Times New Roman" w:hAnsi="Times New Roman" w:cs="Times New Roman"/>
          <w:sz w:val="24"/>
          <w:szCs w:val="24"/>
          <w:lang w:eastAsia="it-IT"/>
        </w:rPr>
        <w:tab/>
      </w:r>
      <w:r w:rsidRPr="00780841">
        <w:rPr>
          <w:rFonts w:ascii="Times New Roman" w:hAnsi="Times New Roman" w:cs="Times New Roman"/>
          <w:sz w:val="24"/>
          <w:szCs w:val="24"/>
          <w:lang w:eastAsia="it-IT"/>
        </w:rPr>
        <w:tab/>
      </w:r>
      <w:r w:rsidRPr="00780841">
        <w:rPr>
          <w:rFonts w:ascii="Times New Roman" w:hAnsi="Times New Roman" w:cs="Times New Roman"/>
          <w:sz w:val="24"/>
          <w:szCs w:val="24"/>
          <w:lang w:eastAsia="it-IT"/>
        </w:rPr>
        <w:tab/>
        <w:t>[2]</w:t>
      </w:r>
    </w:p>
    <w:p w14:paraId="14428BEB" w14:textId="77777777" w:rsidR="00C3112A" w:rsidRPr="00C3112A" w:rsidRDefault="00C3112A" w:rsidP="00C3112A">
      <w:pPr>
        <w:spacing w:line="360" w:lineRule="auto"/>
        <w:jc w:val="both"/>
        <w:rPr>
          <w:rFonts w:ascii="Times New Roman" w:hAnsi="Times New Roman" w:cs="Times New Roman"/>
          <w:sz w:val="24"/>
          <w:szCs w:val="24"/>
        </w:rPr>
      </w:pPr>
      <w:r w:rsidRPr="00C3112A">
        <w:rPr>
          <w:rFonts w:ascii="Times New Roman" w:hAnsi="Times New Roman" w:cs="Times New Roman"/>
          <w:sz w:val="24"/>
          <w:szCs w:val="24"/>
        </w:rPr>
        <w:t xml:space="preserve">where the four explanatory factors are defined as: </w:t>
      </w:r>
    </w:p>
    <w:p w14:paraId="57FE6892" w14:textId="77777777" w:rsidR="00C3112A" w:rsidRPr="00C3112A" w:rsidRDefault="00C3112A" w:rsidP="00C3112A">
      <w:pPr>
        <w:numPr>
          <w:ilvl w:val="0"/>
          <w:numId w:val="22"/>
        </w:numPr>
        <w:spacing w:line="360" w:lineRule="auto"/>
        <w:jc w:val="both"/>
        <w:rPr>
          <w:rFonts w:ascii="Times New Roman" w:hAnsi="Times New Roman" w:cs="Times New Roman"/>
          <w:sz w:val="24"/>
          <w:szCs w:val="24"/>
        </w:rPr>
      </w:pPr>
      <w:r w:rsidRPr="00C3112A">
        <w:rPr>
          <w:rFonts w:ascii="Times New Roman" w:hAnsi="Times New Roman" w:cs="Times New Roman"/>
          <w:sz w:val="24"/>
          <w:szCs w:val="24"/>
        </w:rPr>
        <w:t>CI</w:t>
      </w:r>
      <w:r w:rsidRPr="00C3112A">
        <w:rPr>
          <w:rFonts w:ascii="Times New Roman" w:hAnsi="Times New Roman" w:cs="Times New Roman"/>
          <w:sz w:val="24"/>
          <w:szCs w:val="24"/>
          <w:vertAlign w:val="subscript"/>
        </w:rPr>
        <w:t>effect</w:t>
      </w:r>
      <w:r w:rsidRPr="00C3112A">
        <w:rPr>
          <w:rFonts w:ascii="Times New Roman" w:hAnsi="Times New Roman" w:cs="Times New Roman"/>
          <w:sz w:val="24"/>
          <w:szCs w:val="24"/>
        </w:rPr>
        <w:t xml:space="preserve"> = CO</w:t>
      </w:r>
      <w:r w:rsidRPr="00C3112A">
        <w:rPr>
          <w:rFonts w:ascii="Times New Roman" w:hAnsi="Times New Roman" w:cs="Times New Roman"/>
          <w:sz w:val="24"/>
          <w:szCs w:val="24"/>
          <w:vertAlign w:val="subscript"/>
        </w:rPr>
        <w:t xml:space="preserve">2 </w:t>
      </w:r>
      <w:r w:rsidRPr="00C3112A">
        <w:rPr>
          <w:rFonts w:ascii="Times New Roman" w:hAnsi="Times New Roman" w:cs="Times New Roman"/>
          <w:sz w:val="24"/>
          <w:szCs w:val="24"/>
        </w:rPr>
        <w:t>intensity effect (or pollution coefficient effect). It is defined by the ratio of CO</w:t>
      </w:r>
      <w:r w:rsidRPr="00C3112A">
        <w:rPr>
          <w:rFonts w:ascii="Times New Roman" w:hAnsi="Times New Roman" w:cs="Times New Roman"/>
          <w:sz w:val="24"/>
          <w:szCs w:val="24"/>
          <w:vertAlign w:val="subscript"/>
        </w:rPr>
        <w:t xml:space="preserve">2 </w:t>
      </w:r>
      <w:r w:rsidRPr="00C3112A">
        <w:rPr>
          <w:rFonts w:ascii="Times New Roman" w:hAnsi="Times New Roman" w:cs="Times New Roman"/>
          <w:sz w:val="24"/>
          <w:szCs w:val="24"/>
        </w:rPr>
        <w:t>emission and energy use. It reflects changes in abatement technology and fuels quality and fuel switching. It is also named carbonisation index</w:t>
      </w:r>
      <w:r w:rsidRPr="00C3112A">
        <w:rPr>
          <w:rFonts w:ascii="Times New Roman" w:hAnsi="Times New Roman" w:cs="Times New Roman"/>
          <w:i/>
          <w:sz w:val="24"/>
          <w:szCs w:val="24"/>
        </w:rPr>
        <w:t xml:space="preserve"> </w:t>
      </w:r>
    </w:p>
    <w:p w14:paraId="55FE9DB4" w14:textId="77777777" w:rsidR="00C3112A" w:rsidRPr="00C3112A" w:rsidRDefault="00C3112A" w:rsidP="00C3112A">
      <w:pPr>
        <w:numPr>
          <w:ilvl w:val="0"/>
          <w:numId w:val="22"/>
        </w:numPr>
        <w:spacing w:line="360" w:lineRule="auto"/>
        <w:jc w:val="both"/>
        <w:rPr>
          <w:rFonts w:ascii="Times New Roman" w:hAnsi="Times New Roman" w:cs="Times New Roman"/>
          <w:sz w:val="24"/>
          <w:szCs w:val="24"/>
        </w:rPr>
      </w:pPr>
      <w:r w:rsidRPr="00C3112A">
        <w:rPr>
          <w:rFonts w:ascii="Times New Roman" w:hAnsi="Times New Roman" w:cs="Times New Roman"/>
          <w:sz w:val="24"/>
          <w:szCs w:val="24"/>
        </w:rPr>
        <w:t>EI</w:t>
      </w:r>
      <w:r w:rsidRPr="00C3112A">
        <w:rPr>
          <w:rFonts w:ascii="Times New Roman" w:hAnsi="Times New Roman" w:cs="Times New Roman"/>
          <w:sz w:val="24"/>
          <w:szCs w:val="24"/>
          <w:vertAlign w:val="subscript"/>
        </w:rPr>
        <w:t>effect</w:t>
      </w:r>
      <w:r w:rsidRPr="00C3112A">
        <w:rPr>
          <w:rFonts w:ascii="Times New Roman" w:hAnsi="Times New Roman" w:cs="Times New Roman"/>
          <w:sz w:val="24"/>
          <w:szCs w:val="24"/>
        </w:rPr>
        <w:t xml:space="preserve"> = Energy intensity effect. It refers to energy consumption per unit of output and is defined by the ratio between energy consumption and Gross Domestic Product (GDP). It reflects changes in the structure and in the efficiency of the energy systems.</w:t>
      </w:r>
    </w:p>
    <w:p w14:paraId="23F4D51D" w14:textId="6B886A1E" w:rsidR="00C3112A" w:rsidRPr="00C3112A" w:rsidRDefault="00C3112A" w:rsidP="00C3112A">
      <w:pPr>
        <w:numPr>
          <w:ilvl w:val="0"/>
          <w:numId w:val="22"/>
        </w:numPr>
        <w:spacing w:line="360" w:lineRule="auto"/>
        <w:jc w:val="both"/>
        <w:rPr>
          <w:rFonts w:ascii="Times New Roman" w:hAnsi="Times New Roman" w:cs="Times New Roman"/>
          <w:sz w:val="24"/>
          <w:szCs w:val="24"/>
        </w:rPr>
      </w:pPr>
      <w:r w:rsidRPr="00C3112A">
        <w:rPr>
          <w:rFonts w:ascii="Times New Roman" w:hAnsi="Times New Roman" w:cs="Times New Roman"/>
          <w:sz w:val="24"/>
          <w:szCs w:val="24"/>
        </w:rPr>
        <w:t>ES</w:t>
      </w:r>
      <w:r w:rsidRPr="00C3112A">
        <w:rPr>
          <w:rFonts w:ascii="Times New Roman" w:hAnsi="Times New Roman" w:cs="Times New Roman"/>
          <w:sz w:val="24"/>
          <w:szCs w:val="24"/>
          <w:vertAlign w:val="subscript"/>
        </w:rPr>
        <w:t>effect</w:t>
      </w:r>
      <w:r w:rsidRPr="00C3112A">
        <w:rPr>
          <w:rFonts w:ascii="Times New Roman" w:hAnsi="Times New Roman" w:cs="Times New Roman"/>
          <w:sz w:val="24"/>
          <w:szCs w:val="24"/>
        </w:rPr>
        <w:t xml:space="preserve"> = Structural changes effect. It is calculated as the ratio between the Gross Domestic Product of a specific country (GDP</w:t>
      </w:r>
      <w:r w:rsidRPr="00C3112A">
        <w:rPr>
          <w:rFonts w:ascii="Times New Roman" w:hAnsi="Times New Roman" w:cs="Times New Roman"/>
          <w:i/>
          <w:sz w:val="24"/>
          <w:szCs w:val="24"/>
        </w:rPr>
        <w:t>i</w:t>
      </w:r>
      <w:r w:rsidRPr="00C3112A">
        <w:rPr>
          <w:rFonts w:ascii="Times New Roman" w:hAnsi="Times New Roman" w:cs="Times New Roman"/>
          <w:sz w:val="24"/>
          <w:szCs w:val="24"/>
        </w:rPr>
        <w:t xml:space="preserve">) and the total GDP generated by the countries considered in the decomposition exercise. </w:t>
      </w:r>
      <w:r w:rsidRPr="008407BA">
        <w:rPr>
          <w:rFonts w:ascii="Times New Roman" w:hAnsi="Times New Roman" w:cs="Times New Roman"/>
          <w:sz w:val="24"/>
          <w:szCs w:val="24"/>
        </w:rPr>
        <w:t>The ES effect has been previously used [</w:t>
      </w:r>
      <w:r w:rsidR="00000FAB" w:rsidRPr="008407BA">
        <w:rPr>
          <w:rFonts w:ascii="Times New Roman" w:hAnsi="Times New Roman" w:cs="Times New Roman"/>
          <w:sz w:val="24"/>
          <w:szCs w:val="24"/>
        </w:rPr>
        <w:t>51</w:t>
      </w:r>
      <w:r w:rsidRPr="008407BA">
        <w:rPr>
          <w:rFonts w:ascii="Times New Roman" w:hAnsi="Times New Roman" w:cs="Times New Roman"/>
          <w:sz w:val="24"/>
          <w:szCs w:val="24"/>
        </w:rPr>
        <w:t xml:space="preserve">, </w:t>
      </w:r>
      <w:r w:rsidR="00000FAB" w:rsidRPr="008407BA">
        <w:rPr>
          <w:rFonts w:ascii="Times New Roman" w:hAnsi="Times New Roman" w:cs="Times New Roman"/>
          <w:sz w:val="24"/>
          <w:szCs w:val="24"/>
        </w:rPr>
        <w:t>56</w:t>
      </w:r>
      <w:r w:rsidRPr="008407BA">
        <w:rPr>
          <w:rFonts w:ascii="Times New Roman" w:hAnsi="Times New Roman" w:cs="Times New Roman"/>
          <w:sz w:val="24"/>
          <w:szCs w:val="24"/>
        </w:rPr>
        <w:t xml:space="preserve">] to quantify the change in relative shares of different economic sectors. Since in this paper we are considering the economic activity of every country as a single aggregate, we </w:t>
      </w:r>
      <w:r w:rsidR="00B526E7" w:rsidRPr="008407BA">
        <w:rPr>
          <w:rFonts w:ascii="Times New Roman" w:hAnsi="Times New Roman" w:cs="Times New Roman"/>
          <w:sz w:val="24"/>
          <w:szCs w:val="24"/>
        </w:rPr>
        <w:t>modified</w:t>
      </w:r>
      <w:r w:rsidRPr="008407BA">
        <w:rPr>
          <w:rFonts w:ascii="Times New Roman" w:hAnsi="Times New Roman" w:cs="Times New Roman"/>
          <w:sz w:val="24"/>
          <w:szCs w:val="24"/>
        </w:rPr>
        <w:t xml:space="preserve"> the traditional </w:t>
      </w:r>
      <w:r w:rsidR="00B526E7">
        <w:rPr>
          <w:rFonts w:ascii="Times New Roman" w:hAnsi="Times New Roman" w:cs="Times New Roman"/>
          <w:sz w:val="24"/>
          <w:szCs w:val="24"/>
        </w:rPr>
        <w:t xml:space="preserve">formulation of the </w:t>
      </w:r>
      <w:r w:rsidR="00B526E7" w:rsidRPr="004C3606">
        <w:rPr>
          <w:rFonts w:ascii="Times New Roman" w:hAnsi="Times New Roman" w:cs="Times New Roman"/>
          <w:sz w:val="24"/>
          <w:szCs w:val="24"/>
        </w:rPr>
        <w:t>ES</w:t>
      </w:r>
      <w:r w:rsidR="00B526E7" w:rsidRPr="004C3606">
        <w:rPr>
          <w:rFonts w:ascii="Times New Roman" w:hAnsi="Times New Roman" w:cs="Times New Roman"/>
          <w:sz w:val="24"/>
          <w:szCs w:val="24"/>
          <w:vertAlign w:val="subscript"/>
        </w:rPr>
        <w:t>effect</w:t>
      </w:r>
      <w:r w:rsidR="00B526E7" w:rsidRPr="00B526E7">
        <w:rPr>
          <w:rFonts w:ascii="Times New Roman" w:hAnsi="Times New Roman" w:cs="Times New Roman"/>
          <w:sz w:val="24"/>
          <w:szCs w:val="24"/>
        </w:rPr>
        <w:t xml:space="preserve"> </w:t>
      </w:r>
      <w:r w:rsidRPr="008407BA">
        <w:rPr>
          <w:rFonts w:ascii="Times New Roman" w:hAnsi="Times New Roman" w:cs="Times New Roman"/>
          <w:sz w:val="24"/>
          <w:szCs w:val="24"/>
        </w:rPr>
        <w:t xml:space="preserve">to account for the role that a specific country </w:t>
      </w:r>
      <w:r w:rsidR="00B526E7" w:rsidRPr="008407BA">
        <w:rPr>
          <w:rFonts w:ascii="Times New Roman" w:hAnsi="Times New Roman" w:cs="Times New Roman"/>
          <w:sz w:val="24"/>
          <w:szCs w:val="24"/>
        </w:rPr>
        <w:t>plays</w:t>
      </w:r>
      <w:r w:rsidRPr="008407BA">
        <w:rPr>
          <w:rFonts w:ascii="Times New Roman" w:hAnsi="Times New Roman" w:cs="Times New Roman"/>
          <w:sz w:val="24"/>
          <w:szCs w:val="24"/>
        </w:rPr>
        <w:t xml:space="preserve"> in the overall economic panorama.  The aim is to identify the contribution provided by every country to </w:t>
      </w:r>
      <w:r w:rsidR="008407BA">
        <w:rPr>
          <w:rFonts w:ascii="Times New Roman" w:hAnsi="Times New Roman" w:cs="Times New Roman"/>
          <w:sz w:val="24"/>
          <w:szCs w:val="24"/>
        </w:rPr>
        <w:lastRenderedPageBreak/>
        <w:t xml:space="preserve">the global </w:t>
      </w:r>
      <w:r w:rsidRPr="008407BA">
        <w:rPr>
          <w:rFonts w:ascii="Times New Roman" w:hAnsi="Times New Roman" w:cs="Times New Roman"/>
          <w:sz w:val="24"/>
          <w:szCs w:val="24"/>
        </w:rPr>
        <w:t>GDP generation. Based on this equation, the ES</w:t>
      </w:r>
      <w:r w:rsidRPr="008407BA">
        <w:rPr>
          <w:rFonts w:ascii="Times New Roman" w:hAnsi="Times New Roman" w:cs="Times New Roman"/>
          <w:sz w:val="24"/>
          <w:szCs w:val="24"/>
          <w:vertAlign w:val="subscript"/>
        </w:rPr>
        <w:t>effect</w:t>
      </w:r>
      <w:r w:rsidRPr="008407BA">
        <w:rPr>
          <w:rFonts w:ascii="Times New Roman" w:hAnsi="Times New Roman" w:cs="Times New Roman"/>
          <w:sz w:val="24"/>
          <w:szCs w:val="24"/>
        </w:rPr>
        <w:t xml:space="preserve"> provide</w:t>
      </w:r>
      <w:r w:rsidR="00B526E7" w:rsidRPr="008407BA">
        <w:rPr>
          <w:rFonts w:ascii="Times New Roman" w:hAnsi="Times New Roman" w:cs="Times New Roman"/>
          <w:sz w:val="24"/>
          <w:szCs w:val="24"/>
        </w:rPr>
        <w:t>s</w:t>
      </w:r>
      <w:r w:rsidRPr="008407BA">
        <w:rPr>
          <w:rFonts w:ascii="Times New Roman" w:hAnsi="Times New Roman" w:cs="Times New Roman"/>
          <w:sz w:val="24"/>
          <w:szCs w:val="24"/>
        </w:rPr>
        <w:t xml:space="preserve"> useful information to identify if the underlying structure of the global economic system is changing</w:t>
      </w:r>
      <w:r w:rsidR="00B526E7" w:rsidRPr="008407BA">
        <w:rPr>
          <w:rFonts w:ascii="Times New Roman" w:hAnsi="Times New Roman" w:cs="Times New Roman"/>
          <w:sz w:val="24"/>
          <w:szCs w:val="24"/>
        </w:rPr>
        <w:t xml:space="preserve"> and which countries are mainly responsible for it.</w:t>
      </w:r>
    </w:p>
    <w:p w14:paraId="02A08165" w14:textId="77777777" w:rsidR="00C3112A" w:rsidRPr="00C3112A" w:rsidRDefault="00C3112A" w:rsidP="00C3112A">
      <w:pPr>
        <w:numPr>
          <w:ilvl w:val="0"/>
          <w:numId w:val="22"/>
        </w:numPr>
        <w:spacing w:line="360" w:lineRule="auto"/>
        <w:jc w:val="both"/>
        <w:rPr>
          <w:rFonts w:ascii="Times New Roman" w:hAnsi="Times New Roman" w:cs="Times New Roman"/>
          <w:sz w:val="24"/>
          <w:szCs w:val="24"/>
        </w:rPr>
      </w:pPr>
      <w:r w:rsidRPr="00C3112A">
        <w:rPr>
          <w:rFonts w:ascii="Times New Roman" w:hAnsi="Times New Roman" w:cs="Times New Roman"/>
          <w:sz w:val="24"/>
          <w:szCs w:val="24"/>
        </w:rPr>
        <w:t>G</w:t>
      </w:r>
      <w:r w:rsidRPr="00C3112A">
        <w:rPr>
          <w:rFonts w:ascii="Times New Roman" w:hAnsi="Times New Roman" w:cs="Times New Roman"/>
          <w:sz w:val="24"/>
          <w:szCs w:val="24"/>
          <w:vertAlign w:val="subscript"/>
        </w:rPr>
        <w:t>effect</w:t>
      </w:r>
      <w:r w:rsidRPr="00C3112A">
        <w:rPr>
          <w:rFonts w:ascii="Times New Roman" w:hAnsi="Times New Roman" w:cs="Times New Roman"/>
          <w:sz w:val="24"/>
          <w:szCs w:val="24"/>
        </w:rPr>
        <w:t xml:space="preserve"> = Economic activity growth effect. It reflects changes of the total economic activity and it is used to quantify the carbon dioxide emissions generated by economic growth.</w:t>
      </w:r>
    </w:p>
    <w:p w14:paraId="6290BA95" w14:textId="77777777" w:rsidR="00C3112A" w:rsidRPr="00C3112A" w:rsidRDefault="00C3112A" w:rsidP="00C3112A">
      <w:pPr>
        <w:spacing w:line="360" w:lineRule="auto"/>
        <w:jc w:val="both"/>
        <w:rPr>
          <w:rFonts w:ascii="Times New Roman" w:hAnsi="Times New Roman" w:cs="Times New Roman"/>
          <w:sz w:val="24"/>
          <w:szCs w:val="24"/>
        </w:rPr>
      </w:pPr>
      <w:r w:rsidRPr="00C3112A">
        <w:rPr>
          <w:rFonts w:ascii="Times New Roman" w:hAnsi="Times New Roman" w:cs="Times New Roman"/>
          <w:sz w:val="24"/>
          <w:szCs w:val="24"/>
        </w:rPr>
        <w:t>To perform the decomposition analyses the following input data are required:</w:t>
      </w:r>
    </w:p>
    <w:p w14:paraId="6552DD7D" w14:textId="77777777" w:rsidR="00C3112A" w:rsidRPr="00C3112A" w:rsidRDefault="00C3112A" w:rsidP="00C3112A">
      <w:pPr>
        <w:spacing w:line="360" w:lineRule="auto"/>
        <w:jc w:val="both"/>
        <w:rPr>
          <w:rFonts w:ascii="Times New Roman" w:hAnsi="Times New Roman" w:cs="Times New Roman"/>
          <w:sz w:val="24"/>
          <w:szCs w:val="24"/>
        </w:rPr>
      </w:pPr>
      <w:r w:rsidRPr="00C3112A">
        <w:rPr>
          <w:rFonts w:ascii="Times New Roman" w:hAnsi="Times New Roman" w:cs="Times New Roman"/>
          <w:sz w:val="24"/>
          <w:szCs w:val="24"/>
        </w:rPr>
        <w:t>CE</w:t>
      </w:r>
      <w:r w:rsidRPr="00C3112A">
        <w:rPr>
          <w:rFonts w:ascii="Times New Roman" w:hAnsi="Times New Roman" w:cs="Times New Roman"/>
          <w:sz w:val="24"/>
          <w:szCs w:val="24"/>
          <w:vertAlign w:val="superscript"/>
        </w:rPr>
        <w:t>t</w:t>
      </w:r>
      <w:r w:rsidRPr="00C3112A">
        <w:rPr>
          <w:rFonts w:ascii="Times New Roman" w:hAnsi="Times New Roman" w:cs="Times New Roman"/>
          <w:sz w:val="24"/>
          <w:szCs w:val="24"/>
          <w:vertAlign w:val="superscript"/>
        </w:rPr>
        <w:tab/>
      </w:r>
      <w:r w:rsidRPr="00C3112A">
        <w:rPr>
          <w:rFonts w:ascii="Times New Roman" w:hAnsi="Times New Roman" w:cs="Times New Roman"/>
          <w:sz w:val="24"/>
          <w:szCs w:val="24"/>
          <w:vertAlign w:val="superscript"/>
        </w:rPr>
        <w:tab/>
      </w:r>
      <w:r w:rsidRPr="00C3112A">
        <w:rPr>
          <w:rFonts w:ascii="Times New Roman" w:hAnsi="Times New Roman" w:cs="Times New Roman"/>
          <w:sz w:val="24"/>
          <w:szCs w:val="24"/>
          <w:vertAlign w:val="superscript"/>
        </w:rPr>
        <w:tab/>
      </w:r>
      <w:r w:rsidRPr="00C3112A">
        <w:rPr>
          <w:rFonts w:ascii="Times New Roman" w:hAnsi="Times New Roman" w:cs="Times New Roman"/>
          <w:sz w:val="24"/>
          <w:szCs w:val="24"/>
        </w:rPr>
        <w:tab/>
      </w:r>
      <w:r w:rsidRPr="00C3112A">
        <w:rPr>
          <w:rFonts w:ascii="Times New Roman" w:hAnsi="Times New Roman" w:cs="Times New Roman"/>
          <w:sz w:val="24"/>
          <w:szCs w:val="24"/>
        </w:rPr>
        <w:tab/>
        <w:t>Total CO</w:t>
      </w:r>
      <w:r w:rsidRPr="00C3112A">
        <w:rPr>
          <w:rFonts w:ascii="Times New Roman" w:hAnsi="Times New Roman" w:cs="Times New Roman"/>
          <w:sz w:val="24"/>
          <w:szCs w:val="24"/>
          <w:vertAlign w:val="subscript"/>
        </w:rPr>
        <w:t>2</w:t>
      </w:r>
      <w:r w:rsidRPr="00C3112A">
        <w:rPr>
          <w:rFonts w:ascii="Times New Roman" w:hAnsi="Times New Roman" w:cs="Times New Roman"/>
          <w:sz w:val="24"/>
          <w:szCs w:val="24"/>
          <w:vertAlign w:val="superscript"/>
        </w:rPr>
        <w:t xml:space="preserve"> </w:t>
      </w:r>
      <w:r w:rsidRPr="00C3112A">
        <w:rPr>
          <w:rFonts w:ascii="Times New Roman" w:hAnsi="Times New Roman" w:cs="Times New Roman"/>
          <w:sz w:val="24"/>
          <w:szCs w:val="24"/>
        </w:rPr>
        <w:t xml:space="preserve">emission in year </w:t>
      </w:r>
      <w:r w:rsidRPr="00C3112A">
        <w:rPr>
          <w:rFonts w:ascii="Times New Roman" w:hAnsi="Times New Roman" w:cs="Times New Roman"/>
          <w:i/>
          <w:sz w:val="24"/>
          <w:szCs w:val="24"/>
        </w:rPr>
        <w:t>t</w:t>
      </w:r>
      <w:r w:rsidRPr="00C3112A">
        <w:rPr>
          <w:rFonts w:ascii="Times New Roman" w:hAnsi="Times New Roman" w:cs="Times New Roman"/>
          <w:sz w:val="24"/>
          <w:szCs w:val="24"/>
        </w:rPr>
        <w:t xml:space="preserve"> (in tons, t);</w:t>
      </w:r>
    </w:p>
    <w:p w14:paraId="370802D1" w14:textId="77777777" w:rsidR="00C3112A" w:rsidRPr="00C3112A" w:rsidRDefault="00C3112A" w:rsidP="00C3112A">
      <w:pPr>
        <w:spacing w:line="360" w:lineRule="auto"/>
        <w:jc w:val="both"/>
        <w:rPr>
          <w:rFonts w:ascii="Times New Roman" w:hAnsi="Times New Roman" w:cs="Times New Roman"/>
          <w:sz w:val="24"/>
          <w:szCs w:val="24"/>
        </w:rPr>
      </w:pPr>
      <w:r w:rsidRPr="00C3112A">
        <w:rPr>
          <w:rFonts w:ascii="Times New Roman" w:hAnsi="Times New Roman" w:cs="Times New Roman"/>
          <w:sz w:val="24"/>
          <w:szCs w:val="24"/>
        </w:rPr>
        <w:t>CE</w:t>
      </w:r>
      <w:r w:rsidRPr="00C3112A">
        <w:rPr>
          <w:rFonts w:ascii="Times New Roman" w:hAnsi="Times New Roman" w:cs="Times New Roman"/>
          <w:sz w:val="24"/>
          <w:szCs w:val="24"/>
          <w:vertAlign w:val="superscript"/>
        </w:rPr>
        <w:t>t</w:t>
      </w:r>
      <w:r w:rsidRPr="00C3112A">
        <w:rPr>
          <w:rFonts w:ascii="Times New Roman" w:hAnsi="Times New Roman" w:cs="Times New Roman"/>
          <w:sz w:val="24"/>
          <w:szCs w:val="24"/>
          <w:vertAlign w:val="subscript"/>
        </w:rPr>
        <w:t>i</w:t>
      </w:r>
      <w:r w:rsidRPr="00C3112A">
        <w:rPr>
          <w:rFonts w:ascii="Times New Roman" w:hAnsi="Times New Roman" w:cs="Times New Roman"/>
          <w:sz w:val="24"/>
          <w:szCs w:val="24"/>
        </w:rPr>
        <w:tab/>
      </w:r>
      <w:r w:rsidRPr="00C3112A">
        <w:rPr>
          <w:rFonts w:ascii="Times New Roman" w:hAnsi="Times New Roman" w:cs="Times New Roman"/>
          <w:sz w:val="24"/>
          <w:szCs w:val="24"/>
        </w:rPr>
        <w:tab/>
      </w:r>
      <w:r w:rsidRPr="00C3112A">
        <w:rPr>
          <w:rFonts w:ascii="Times New Roman" w:hAnsi="Times New Roman" w:cs="Times New Roman"/>
          <w:sz w:val="24"/>
          <w:szCs w:val="24"/>
        </w:rPr>
        <w:tab/>
      </w:r>
      <w:r w:rsidRPr="00C3112A">
        <w:rPr>
          <w:rFonts w:ascii="Times New Roman" w:hAnsi="Times New Roman" w:cs="Times New Roman"/>
          <w:sz w:val="24"/>
          <w:szCs w:val="24"/>
        </w:rPr>
        <w:tab/>
      </w:r>
      <w:r w:rsidRPr="00C3112A">
        <w:rPr>
          <w:rFonts w:ascii="Times New Roman" w:hAnsi="Times New Roman" w:cs="Times New Roman"/>
          <w:sz w:val="24"/>
          <w:szCs w:val="24"/>
        </w:rPr>
        <w:tab/>
        <w:t>Total CO</w:t>
      </w:r>
      <w:r w:rsidRPr="00C3112A">
        <w:rPr>
          <w:rFonts w:ascii="Times New Roman" w:hAnsi="Times New Roman" w:cs="Times New Roman"/>
          <w:sz w:val="24"/>
          <w:szCs w:val="24"/>
          <w:vertAlign w:val="subscript"/>
        </w:rPr>
        <w:t>2</w:t>
      </w:r>
      <w:r w:rsidRPr="00C3112A">
        <w:rPr>
          <w:rFonts w:ascii="Times New Roman" w:hAnsi="Times New Roman" w:cs="Times New Roman"/>
          <w:sz w:val="24"/>
          <w:szCs w:val="24"/>
          <w:vertAlign w:val="superscript"/>
        </w:rPr>
        <w:t xml:space="preserve"> </w:t>
      </w:r>
      <w:r w:rsidRPr="00C3112A">
        <w:rPr>
          <w:rFonts w:ascii="Times New Roman" w:hAnsi="Times New Roman" w:cs="Times New Roman"/>
          <w:sz w:val="24"/>
          <w:szCs w:val="24"/>
        </w:rPr>
        <w:t xml:space="preserve">emission in year </w:t>
      </w:r>
      <w:r w:rsidRPr="00C3112A">
        <w:rPr>
          <w:rFonts w:ascii="Times New Roman" w:hAnsi="Times New Roman" w:cs="Times New Roman"/>
          <w:i/>
          <w:sz w:val="24"/>
          <w:szCs w:val="24"/>
        </w:rPr>
        <w:t>t</w:t>
      </w:r>
      <w:r w:rsidRPr="00C3112A">
        <w:rPr>
          <w:rFonts w:ascii="Times New Roman" w:hAnsi="Times New Roman" w:cs="Times New Roman"/>
          <w:sz w:val="24"/>
          <w:szCs w:val="24"/>
        </w:rPr>
        <w:t xml:space="preserve"> in the country </w:t>
      </w:r>
      <w:r w:rsidRPr="00C3112A">
        <w:rPr>
          <w:rFonts w:ascii="Times New Roman" w:hAnsi="Times New Roman" w:cs="Times New Roman"/>
          <w:i/>
          <w:sz w:val="24"/>
          <w:szCs w:val="24"/>
        </w:rPr>
        <w:t>i</w:t>
      </w:r>
      <w:r w:rsidRPr="00C3112A">
        <w:rPr>
          <w:rFonts w:ascii="Times New Roman" w:hAnsi="Times New Roman" w:cs="Times New Roman"/>
          <w:sz w:val="24"/>
          <w:szCs w:val="24"/>
        </w:rPr>
        <w:t>;</w:t>
      </w:r>
    </w:p>
    <w:p w14:paraId="4960CFD0" w14:textId="77777777" w:rsidR="00C3112A" w:rsidRPr="00C3112A" w:rsidRDefault="00C3112A" w:rsidP="00C3112A">
      <w:pPr>
        <w:spacing w:line="360" w:lineRule="auto"/>
        <w:jc w:val="both"/>
        <w:rPr>
          <w:rFonts w:ascii="Times New Roman" w:hAnsi="Times New Roman" w:cs="Times New Roman"/>
          <w:sz w:val="24"/>
          <w:szCs w:val="24"/>
        </w:rPr>
      </w:pPr>
      <w:r w:rsidRPr="00C3112A">
        <w:rPr>
          <w:rFonts w:ascii="Times New Roman" w:hAnsi="Times New Roman" w:cs="Times New Roman"/>
          <w:sz w:val="24"/>
          <w:szCs w:val="24"/>
        </w:rPr>
        <w:t>E</w:t>
      </w:r>
      <w:r w:rsidRPr="00C3112A">
        <w:rPr>
          <w:rFonts w:ascii="Times New Roman" w:hAnsi="Times New Roman" w:cs="Times New Roman"/>
          <w:sz w:val="24"/>
          <w:szCs w:val="24"/>
          <w:vertAlign w:val="superscript"/>
        </w:rPr>
        <w:t>t</w:t>
      </w:r>
      <w:r w:rsidRPr="00C3112A">
        <w:rPr>
          <w:rFonts w:ascii="Times New Roman" w:hAnsi="Times New Roman" w:cs="Times New Roman"/>
          <w:sz w:val="24"/>
          <w:szCs w:val="24"/>
          <w:vertAlign w:val="subscript"/>
        </w:rPr>
        <w:t>i</w:t>
      </w:r>
      <w:r w:rsidRPr="00C3112A">
        <w:rPr>
          <w:rFonts w:ascii="Times New Roman" w:hAnsi="Times New Roman" w:cs="Times New Roman"/>
          <w:sz w:val="24"/>
          <w:szCs w:val="24"/>
        </w:rPr>
        <w:tab/>
      </w:r>
      <w:r w:rsidRPr="00C3112A">
        <w:rPr>
          <w:rFonts w:ascii="Times New Roman" w:hAnsi="Times New Roman" w:cs="Times New Roman"/>
          <w:sz w:val="24"/>
          <w:szCs w:val="24"/>
        </w:rPr>
        <w:tab/>
      </w:r>
      <w:r w:rsidRPr="00C3112A">
        <w:rPr>
          <w:rFonts w:ascii="Times New Roman" w:hAnsi="Times New Roman" w:cs="Times New Roman"/>
          <w:sz w:val="24"/>
          <w:szCs w:val="24"/>
        </w:rPr>
        <w:tab/>
      </w:r>
      <w:r w:rsidRPr="00C3112A">
        <w:rPr>
          <w:rFonts w:ascii="Times New Roman" w:hAnsi="Times New Roman" w:cs="Times New Roman"/>
          <w:sz w:val="24"/>
          <w:szCs w:val="24"/>
        </w:rPr>
        <w:tab/>
      </w:r>
      <w:r w:rsidRPr="00C3112A">
        <w:rPr>
          <w:rFonts w:ascii="Times New Roman" w:hAnsi="Times New Roman" w:cs="Times New Roman"/>
          <w:sz w:val="24"/>
          <w:szCs w:val="24"/>
        </w:rPr>
        <w:tab/>
        <w:t xml:space="preserve">Total energy consumption in year </w:t>
      </w:r>
      <w:r w:rsidRPr="00C3112A">
        <w:rPr>
          <w:rFonts w:ascii="Times New Roman" w:hAnsi="Times New Roman" w:cs="Times New Roman"/>
          <w:i/>
          <w:sz w:val="24"/>
          <w:szCs w:val="24"/>
        </w:rPr>
        <w:t>t</w:t>
      </w:r>
      <w:r w:rsidRPr="00C3112A">
        <w:rPr>
          <w:rFonts w:ascii="Times New Roman" w:hAnsi="Times New Roman" w:cs="Times New Roman"/>
          <w:sz w:val="24"/>
          <w:szCs w:val="24"/>
        </w:rPr>
        <w:t xml:space="preserve"> in the country </w:t>
      </w:r>
      <w:r w:rsidRPr="00C3112A">
        <w:rPr>
          <w:rFonts w:ascii="Times New Roman" w:hAnsi="Times New Roman" w:cs="Times New Roman"/>
          <w:i/>
          <w:sz w:val="24"/>
          <w:szCs w:val="24"/>
        </w:rPr>
        <w:t>i</w:t>
      </w:r>
      <w:r w:rsidRPr="00C3112A">
        <w:rPr>
          <w:rFonts w:ascii="Times New Roman" w:hAnsi="Times New Roman" w:cs="Times New Roman"/>
          <w:sz w:val="24"/>
          <w:szCs w:val="24"/>
        </w:rPr>
        <w:t>;</w:t>
      </w:r>
    </w:p>
    <w:p w14:paraId="221127C5" w14:textId="77777777" w:rsidR="00C3112A" w:rsidRPr="00C3112A" w:rsidRDefault="00C3112A" w:rsidP="00C3112A">
      <w:pPr>
        <w:spacing w:line="360" w:lineRule="auto"/>
        <w:jc w:val="both"/>
        <w:rPr>
          <w:rFonts w:ascii="Times New Roman" w:hAnsi="Times New Roman" w:cs="Times New Roman"/>
          <w:sz w:val="24"/>
          <w:szCs w:val="24"/>
        </w:rPr>
      </w:pPr>
      <w:r w:rsidRPr="00C3112A">
        <w:rPr>
          <w:rFonts w:ascii="Times New Roman" w:hAnsi="Times New Roman" w:cs="Times New Roman"/>
          <w:sz w:val="24"/>
          <w:szCs w:val="24"/>
        </w:rPr>
        <w:t>GDP</w:t>
      </w:r>
      <w:r w:rsidRPr="00C3112A">
        <w:rPr>
          <w:rFonts w:ascii="Times New Roman" w:hAnsi="Times New Roman" w:cs="Times New Roman"/>
          <w:sz w:val="24"/>
          <w:szCs w:val="24"/>
          <w:vertAlign w:val="superscript"/>
        </w:rPr>
        <w:t>t</w:t>
      </w:r>
      <w:r w:rsidRPr="00C3112A">
        <w:rPr>
          <w:rFonts w:ascii="Times New Roman" w:hAnsi="Times New Roman" w:cs="Times New Roman"/>
          <w:sz w:val="24"/>
          <w:szCs w:val="24"/>
        </w:rPr>
        <w:tab/>
      </w:r>
      <w:r w:rsidRPr="00C3112A">
        <w:rPr>
          <w:rFonts w:ascii="Times New Roman" w:hAnsi="Times New Roman" w:cs="Times New Roman"/>
          <w:sz w:val="24"/>
          <w:szCs w:val="24"/>
        </w:rPr>
        <w:tab/>
      </w:r>
      <w:r w:rsidRPr="00C3112A">
        <w:rPr>
          <w:rFonts w:ascii="Times New Roman" w:hAnsi="Times New Roman" w:cs="Times New Roman"/>
          <w:sz w:val="24"/>
          <w:szCs w:val="24"/>
        </w:rPr>
        <w:tab/>
      </w:r>
      <w:r w:rsidRPr="00C3112A">
        <w:rPr>
          <w:rFonts w:ascii="Times New Roman" w:hAnsi="Times New Roman" w:cs="Times New Roman"/>
          <w:sz w:val="24"/>
          <w:szCs w:val="24"/>
        </w:rPr>
        <w:tab/>
      </w:r>
      <w:r w:rsidRPr="00C3112A">
        <w:rPr>
          <w:rFonts w:ascii="Times New Roman" w:hAnsi="Times New Roman" w:cs="Times New Roman"/>
          <w:sz w:val="24"/>
          <w:szCs w:val="24"/>
        </w:rPr>
        <w:tab/>
        <w:t xml:space="preserve">The value added in the year </w:t>
      </w:r>
      <w:r w:rsidRPr="00C3112A">
        <w:rPr>
          <w:rFonts w:ascii="Times New Roman" w:hAnsi="Times New Roman" w:cs="Times New Roman"/>
          <w:i/>
          <w:sz w:val="24"/>
          <w:szCs w:val="24"/>
        </w:rPr>
        <w:t>t</w:t>
      </w:r>
      <w:r w:rsidRPr="00C3112A">
        <w:rPr>
          <w:rFonts w:ascii="Times New Roman" w:hAnsi="Times New Roman" w:cs="Times New Roman"/>
          <w:sz w:val="24"/>
          <w:szCs w:val="24"/>
        </w:rPr>
        <w:t>;</w:t>
      </w:r>
    </w:p>
    <w:p w14:paraId="072F75CE" w14:textId="77777777" w:rsidR="00C3112A" w:rsidRPr="00C3112A" w:rsidRDefault="00C3112A" w:rsidP="00C3112A">
      <w:pPr>
        <w:spacing w:line="360" w:lineRule="auto"/>
        <w:jc w:val="both"/>
        <w:rPr>
          <w:rFonts w:ascii="Times New Roman" w:hAnsi="Times New Roman" w:cs="Times New Roman"/>
          <w:sz w:val="24"/>
          <w:szCs w:val="24"/>
        </w:rPr>
      </w:pPr>
      <w:r w:rsidRPr="00C3112A">
        <w:rPr>
          <w:rFonts w:ascii="Times New Roman" w:hAnsi="Times New Roman" w:cs="Times New Roman"/>
          <w:sz w:val="24"/>
          <w:szCs w:val="24"/>
        </w:rPr>
        <w:t>GDP</w:t>
      </w:r>
      <w:r w:rsidRPr="00C3112A">
        <w:rPr>
          <w:rFonts w:ascii="Times New Roman" w:hAnsi="Times New Roman" w:cs="Times New Roman"/>
          <w:sz w:val="24"/>
          <w:szCs w:val="24"/>
          <w:vertAlign w:val="superscript"/>
        </w:rPr>
        <w:t>t</w:t>
      </w:r>
      <w:r w:rsidRPr="00C3112A">
        <w:rPr>
          <w:rFonts w:ascii="Times New Roman" w:hAnsi="Times New Roman" w:cs="Times New Roman"/>
          <w:sz w:val="24"/>
          <w:szCs w:val="24"/>
          <w:vertAlign w:val="subscript"/>
        </w:rPr>
        <w:t>i</w:t>
      </w:r>
      <w:r w:rsidRPr="00C3112A">
        <w:rPr>
          <w:rFonts w:ascii="Times New Roman" w:hAnsi="Times New Roman" w:cs="Times New Roman"/>
          <w:sz w:val="24"/>
          <w:szCs w:val="24"/>
        </w:rPr>
        <w:tab/>
      </w:r>
      <w:r w:rsidRPr="00C3112A">
        <w:rPr>
          <w:rFonts w:ascii="Times New Roman" w:hAnsi="Times New Roman" w:cs="Times New Roman"/>
          <w:sz w:val="24"/>
          <w:szCs w:val="24"/>
        </w:rPr>
        <w:tab/>
      </w:r>
      <w:r w:rsidRPr="00C3112A">
        <w:rPr>
          <w:rFonts w:ascii="Times New Roman" w:hAnsi="Times New Roman" w:cs="Times New Roman"/>
          <w:sz w:val="24"/>
          <w:szCs w:val="24"/>
        </w:rPr>
        <w:tab/>
      </w:r>
      <w:r w:rsidRPr="00C3112A">
        <w:rPr>
          <w:rFonts w:ascii="Times New Roman" w:hAnsi="Times New Roman" w:cs="Times New Roman"/>
          <w:sz w:val="24"/>
          <w:szCs w:val="24"/>
        </w:rPr>
        <w:tab/>
      </w:r>
      <w:r w:rsidRPr="00C3112A">
        <w:rPr>
          <w:rFonts w:ascii="Times New Roman" w:hAnsi="Times New Roman" w:cs="Times New Roman"/>
          <w:sz w:val="24"/>
          <w:szCs w:val="24"/>
        </w:rPr>
        <w:tab/>
        <w:t xml:space="preserve">The value added in the year </w:t>
      </w:r>
      <w:r w:rsidRPr="00C3112A">
        <w:rPr>
          <w:rFonts w:ascii="Times New Roman" w:hAnsi="Times New Roman" w:cs="Times New Roman"/>
          <w:i/>
          <w:sz w:val="24"/>
          <w:szCs w:val="24"/>
        </w:rPr>
        <w:t>t</w:t>
      </w:r>
      <w:r w:rsidRPr="00C3112A">
        <w:rPr>
          <w:rFonts w:ascii="Times New Roman" w:hAnsi="Times New Roman" w:cs="Times New Roman"/>
          <w:sz w:val="24"/>
          <w:szCs w:val="24"/>
        </w:rPr>
        <w:t xml:space="preserve"> in the country </w:t>
      </w:r>
      <w:r w:rsidRPr="00C3112A">
        <w:rPr>
          <w:rFonts w:ascii="Times New Roman" w:hAnsi="Times New Roman" w:cs="Times New Roman"/>
          <w:i/>
          <w:sz w:val="24"/>
          <w:szCs w:val="24"/>
        </w:rPr>
        <w:t>i</w:t>
      </w:r>
      <w:r w:rsidRPr="00C3112A">
        <w:rPr>
          <w:rFonts w:ascii="Times New Roman" w:hAnsi="Times New Roman" w:cs="Times New Roman"/>
          <w:sz w:val="24"/>
          <w:szCs w:val="24"/>
        </w:rPr>
        <w:t>;</w:t>
      </w:r>
    </w:p>
    <w:p w14:paraId="42C70D05" w14:textId="77777777" w:rsidR="00D04448" w:rsidRDefault="00C3112A" w:rsidP="00D04448">
      <w:pPr>
        <w:spacing w:line="360" w:lineRule="auto"/>
        <w:jc w:val="both"/>
        <w:rPr>
          <w:rFonts w:ascii="Times New Roman" w:hAnsi="Times New Roman" w:cs="Times New Roman"/>
          <w:sz w:val="24"/>
          <w:szCs w:val="24"/>
        </w:rPr>
      </w:pPr>
      <w:r w:rsidRPr="00C3112A">
        <w:rPr>
          <w:rFonts w:ascii="Times New Roman" w:hAnsi="Times New Roman" w:cs="Times New Roman"/>
          <w:sz w:val="24"/>
          <w:szCs w:val="24"/>
        </w:rPr>
        <w:t>The calculation of each component reported in equation [2], and used for decomposing the change in CO</w:t>
      </w:r>
      <w:r w:rsidRPr="00C3112A">
        <w:rPr>
          <w:rFonts w:ascii="Times New Roman" w:hAnsi="Times New Roman" w:cs="Times New Roman"/>
          <w:sz w:val="24"/>
          <w:szCs w:val="24"/>
          <w:vertAlign w:val="subscript"/>
        </w:rPr>
        <w:t xml:space="preserve">2 </w:t>
      </w:r>
      <w:r w:rsidRPr="00C3112A">
        <w:rPr>
          <w:rFonts w:ascii="Times New Roman" w:hAnsi="Times New Roman" w:cs="Times New Roman"/>
          <w:sz w:val="24"/>
          <w:szCs w:val="24"/>
        </w:rPr>
        <w:t>emissions (∆CE) are expressed by the following equations where the sum are intended over the individual country values and where the fractional multi</w:t>
      </w:r>
      <w:r>
        <w:rPr>
          <w:rFonts w:ascii="Times New Roman" w:hAnsi="Times New Roman" w:cs="Times New Roman"/>
          <w:sz w:val="24"/>
          <w:szCs w:val="24"/>
        </w:rPr>
        <w:t>pliers are used according to [56</w:t>
      </w:r>
      <w:r w:rsidRPr="00C3112A">
        <w:rPr>
          <w:rFonts w:ascii="Times New Roman" w:hAnsi="Times New Roman" w:cs="Times New Roman"/>
          <w:sz w:val="24"/>
          <w:szCs w:val="24"/>
        </w:rPr>
        <w:t xml:space="preserve">] to equally distribute the residual among the decomposition factors. </w:t>
      </w:r>
    </w:p>
    <w:p w14:paraId="694B4098" w14:textId="77777777" w:rsidR="007C2E6D" w:rsidRPr="006D6E81" w:rsidRDefault="007C2E6D" w:rsidP="006D6E81">
      <w:pPr>
        <w:spacing w:line="360" w:lineRule="auto"/>
        <w:jc w:val="both"/>
        <w:rPr>
          <w:rFonts w:ascii="Times New Roman" w:hAnsi="Times New Roman" w:cs="Times New Roman"/>
          <w:sz w:val="24"/>
          <w:szCs w:val="24"/>
          <w:vertAlign w:val="superscript"/>
          <w:lang w:eastAsia="it-IT"/>
        </w:rPr>
      </w:pPr>
      <w:r w:rsidRPr="00990688">
        <w:rPr>
          <w:rFonts w:ascii="Times New Roman" w:hAnsi="Times New Roman" w:cs="Times New Roman"/>
          <w:sz w:val="24"/>
          <w:szCs w:val="24"/>
          <w:lang w:eastAsia="it-IT"/>
        </w:rPr>
        <w:t>Equation [3] calculates the emissions intensity effect:</w:t>
      </w:r>
    </w:p>
    <w:p w14:paraId="06FA07E0" w14:textId="77777777" w:rsidR="007C2E6D" w:rsidRPr="002D5B7F" w:rsidRDefault="007C2E6D" w:rsidP="007C2E6D">
      <w:pPr>
        <w:spacing w:line="360" w:lineRule="auto"/>
        <w:ind w:firstLine="708"/>
        <w:jc w:val="both"/>
        <w:rPr>
          <w:rFonts w:ascii="Times New Roman" w:hAnsi="Times New Roman" w:cs="Times New Roman"/>
          <w:sz w:val="24"/>
          <w:szCs w:val="24"/>
          <w:vertAlign w:val="superscript"/>
          <w:lang w:eastAsia="it-IT"/>
        </w:rPr>
      </w:pPr>
      <w:r w:rsidRPr="00990688">
        <w:rPr>
          <w:rFonts w:ascii="Times New Roman" w:hAnsi="Times New Roman" w:cs="Times New Roman"/>
          <w:sz w:val="24"/>
          <w:szCs w:val="24"/>
          <w:lang w:eastAsia="it-IT"/>
        </w:rPr>
        <w:t>[3]</w:t>
      </w:r>
      <w:r w:rsidRPr="00990688">
        <w:rPr>
          <w:rFonts w:ascii="Times New Roman" w:hAnsi="Times New Roman" w:cs="Times New Roman"/>
          <w:sz w:val="24"/>
          <w:szCs w:val="24"/>
          <w:lang w:eastAsia="it-IT"/>
        </w:rPr>
        <w:tab/>
      </w:r>
      <w:r w:rsidRPr="002D5B7F">
        <w:rPr>
          <w:rFonts w:ascii="Times New Roman" w:eastAsia="Calibri" w:hAnsi="Times New Roman" w:cs="Times New Roman"/>
          <w:position w:val="-88"/>
          <w:sz w:val="24"/>
          <w:szCs w:val="24"/>
          <w:lang w:val="it-IT" w:eastAsia="it-IT"/>
        </w:rPr>
        <w:object w:dxaOrig="6720" w:dyaOrig="1920" w14:anchorId="1F97F81C">
          <v:shape id="_x0000_i1026" type="#_x0000_t75" style="width:331.85pt;height:95.5pt" o:ole="">
            <v:imagedata r:id="rId19" o:title=""/>
          </v:shape>
          <o:OLEObject Type="Embed" ProgID="Equation.3" ShapeID="_x0000_i1026" DrawAspect="Content" ObjectID="_1503738626" r:id="rId20"/>
        </w:object>
      </w:r>
    </w:p>
    <w:p w14:paraId="410CCB21" w14:textId="77777777" w:rsidR="007C2E6D" w:rsidRPr="002D5B7F" w:rsidRDefault="007C2E6D" w:rsidP="007C2E6D">
      <w:pPr>
        <w:spacing w:line="360" w:lineRule="auto"/>
        <w:jc w:val="both"/>
        <w:rPr>
          <w:rFonts w:ascii="Times New Roman" w:hAnsi="Times New Roman" w:cs="Times New Roman"/>
          <w:sz w:val="24"/>
          <w:szCs w:val="24"/>
          <w:lang w:eastAsia="it-IT"/>
        </w:rPr>
      </w:pPr>
      <w:r w:rsidRPr="002D5B7F">
        <w:rPr>
          <w:rFonts w:ascii="Times New Roman" w:hAnsi="Times New Roman" w:cs="Times New Roman"/>
          <w:sz w:val="24"/>
          <w:szCs w:val="24"/>
          <w:lang w:eastAsia="it-IT"/>
        </w:rPr>
        <w:t>Equation [4] calculates the energy intensity effect:</w:t>
      </w:r>
    </w:p>
    <w:p w14:paraId="22D99804" w14:textId="77777777" w:rsidR="007C2E6D" w:rsidRPr="002D5B7F" w:rsidRDefault="007C2E6D" w:rsidP="007C2E6D">
      <w:pPr>
        <w:spacing w:line="360" w:lineRule="auto"/>
        <w:ind w:firstLine="708"/>
        <w:jc w:val="both"/>
        <w:rPr>
          <w:rFonts w:ascii="Times New Roman" w:hAnsi="Times New Roman" w:cs="Times New Roman"/>
          <w:sz w:val="24"/>
          <w:szCs w:val="24"/>
          <w:lang w:eastAsia="it-IT"/>
        </w:rPr>
      </w:pPr>
      <w:r w:rsidRPr="002D5B7F">
        <w:rPr>
          <w:rFonts w:ascii="Times New Roman" w:hAnsi="Times New Roman" w:cs="Times New Roman"/>
          <w:sz w:val="24"/>
          <w:szCs w:val="24"/>
          <w:lang w:eastAsia="it-IT"/>
        </w:rPr>
        <w:t>[4]</w:t>
      </w:r>
      <w:r w:rsidRPr="002D5B7F">
        <w:rPr>
          <w:rFonts w:ascii="Times New Roman" w:hAnsi="Times New Roman" w:cs="Times New Roman"/>
          <w:sz w:val="24"/>
          <w:szCs w:val="24"/>
          <w:lang w:eastAsia="it-IT"/>
        </w:rPr>
        <w:tab/>
      </w:r>
      <w:r w:rsidRPr="002D5B7F">
        <w:rPr>
          <w:rFonts w:ascii="Times New Roman" w:eastAsia="Calibri" w:hAnsi="Times New Roman" w:cs="Times New Roman"/>
          <w:position w:val="-88"/>
          <w:sz w:val="24"/>
          <w:szCs w:val="24"/>
          <w:lang w:val="it-IT" w:eastAsia="it-IT"/>
        </w:rPr>
        <w:object w:dxaOrig="6740" w:dyaOrig="1920" w14:anchorId="24161A1F">
          <v:shape id="_x0000_i1027" type="#_x0000_t75" style="width:330.25pt;height:95.5pt" o:ole="">
            <v:imagedata r:id="rId21" o:title=""/>
          </v:shape>
          <o:OLEObject Type="Embed" ProgID="Equation.3" ShapeID="_x0000_i1027" DrawAspect="Content" ObjectID="_1503738627" r:id="rId22"/>
        </w:object>
      </w:r>
    </w:p>
    <w:p w14:paraId="10A9A1EE" w14:textId="77777777" w:rsidR="007C2E6D" w:rsidRPr="002D5B7F" w:rsidRDefault="007C2E6D" w:rsidP="007C2E6D">
      <w:pPr>
        <w:spacing w:line="360" w:lineRule="auto"/>
        <w:jc w:val="both"/>
        <w:rPr>
          <w:rFonts w:ascii="Times New Roman" w:hAnsi="Times New Roman" w:cs="Times New Roman"/>
          <w:sz w:val="24"/>
          <w:szCs w:val="24"/>
          <w:lang w:eastAsia="it-IT"/>
        </w:rPr>
      </w:pPr>
      <w:r w:rsidRPr="002D5B7F">
        <w:rPr>
          <w:rFonts w:ascii="Times New Roman" w:hAnsi="Times New Roman" w:cs="Times New Roman"/>
          <w:sz w:val="24"/>
          <w:szCs w:val="24"/>
          <w:lang w:eastAsia="it-IT"/>
        </w:rPr>
        <w:lastRenderedPageBreak/>
        <w:t>Equation [5] calculates the structural change effect:</w:t>
      </w:r>
    </w:p>
    <w:p w14:paraId="56B5DE15" w14:textId="77777777" w:rsidR="00CE1271" w:rsidRDefault="007C2E6D" w:rsidP="007C2E6D">
      <w:pPr>
        <w:spacing w:line="360" w:lineRule="auto"/>
        <w:jc w:val="both"/>
        <w:rPr>
          <w:rFonts w:ascii="Times New Roman" w:hAnsi="Times New Roman" w:cs="Times New Roman"/>
          <w:sz w:val="24"/>
          <w:szCs w:val="24"/>
          <w:lang w:eastAsia="it-IT"/>
        </w:rPr>
      </w:pPr>
      <w:r w:rsidRPr="002D5B7F">
        <w:rPr>
          <w:rFonts w:ascii="Times New Roman" w:hAnsi="Times New Roman" w:cs="Times New Roman"/>
          <w:sz w:val="24"/>
          <w:szCs w:val="24"/>
          <w:lang w:eastAsia="it-IT"/>
        </w:rPr>
        <w:t>[5]</w:t>
      </w:r>
      <w:r w:rsidRPr="002D5B7F">
        <w:rPr>
          <w:rFonts w:ascii="Times New Roman" w:hAnsi="Times New Roman" w:cs="Times New Roman"/>
          <w:sz w:val="24"/>
          <w:szCs w:val="24"/>
          <w:lang w:eastAsia="it-IT"/>
        </w:rPr>
        <w:tab/>
      </w:r>
      <w:r w:rsidRPr="002D5B7F">
        <w:rPr>
          <w:rFonts w:ascii="Times New Roman" w:eastAsia="Calibri" w:hAnsi="Times New Roman" w:cs="Times New Roman"/>
          <w:position w:val="-88"/>
          <w:sz w:val="24"/>
          <w:szCs w:val="24"/>
          <w:lang w:val="it-IT" w:eastAsia="it-IT"/>
        </w:rPr>
        <w:object w:dxaOrig="6700" w:dyaOrig="1920" w14:anchorId="7EF4E9D4">
          <v:shape id="_x0000_i1028" type="#_x0000_t75" style="width:331.85pt;height:95.5pt" o:ole="">
            <v:imagedata r:id="rId23" o:title=""/>
          </v:shape>
          <o:OLEObject Type="Embed" ProgID="Equation.3" ShapeID="_x0000_i1028" DrawAspect="Content" ObjectID="_1503738628" r:id="rId24"/>
        </w:object>
      </w:r>
    </w:p>
    <w:p w14:paraId="1A15B56E" w14:textId="77777777" w:rsidR="007C2E6D" w:rsidRPr="002D5B7F" w:rsidRDefault="007C2E6D" w:rsidP="007C2E6D">
      <w:pPr>
        <w:spacing w:line="360" w:lineRule="auto"/>
        <w:jc w:val="both"/>
        <w:rPr>
          <w:rFonts w:ascii="Times New Roman" w:hAnsi="Times New Roman" w:cs="Times New Roman"/>
          <w:sz w:val="24"/>
          <w:szCs w:val="24"/>
          <w:lang w:eastAsia="it-IT"/>
        </w:rPr>
      </w:pPr>
      <w:r w:rsidRPr="002D5B7F">
        <w:rPr>
          <w:rFonts w:ascii="Times New Roman" w:hAnsi="Times New Roman" w:cs="Times New Roman"/>
          <w:sz w:val="24"/>
          <w:szCs w:val="24"/>
          <w:lang w:eastAsia="it-IT"/>
        </w:rPr>
        <w:t>Equation [6] calculates the economic activity growth effect:</w:t>
      </w:r>
    </w:p>
    <w:p w14:paraId="4DDE02B8" w14:textId="77777777" w:rsidR="007C2E6D" w:rsidRPr="006D6E81" w:rsidRDefault="007C2E6D" w:rsidP="006D6E81">
      <w:pPr>
        <w:spacing w:line="360" w:lineRule="auto"/>
        <w:ind w:firstLine="708"/>
        <w:jc w:val="both"/>
        <w:rPr>
          <w:rFonts w:ascii="Times New Roman" w:hAnsi="Times New Roman" w:cs="Times New Roman"/>
          <w:b/>
          <w:sz w:val="24"/>
          <w:szCs w:val="24"/>
          <w:highlight w:val="green"/>
          <w:lang w:eastAsia="it-IT"/>
        </w:rPr>
      </w:pPr>
      <w:r w:rsidRPr="002D5B7F">
        <w:rPr>
          <w:rFonts w:ascii="Times New Roman" w:hAnsi="Times New Roman" w:cs="Times New Roman"/>
          <w:sz w:val="24"/>
          <w:szCs w:val="24"/>
          <w:lang w:val="en-US" w:eastAsia="it-IT"/>
        </w:rPr>
        <w:t>[6]</w:t>
      </w:r>
      <w:r w:rsidRPr="002D5B7F">
        <w:rPr>
          <w:rFonts w:ascii="Times New Roman" w:hAnsi="Times New Roman" w:cs="Times New Roman"/>
          <w:sz w:val="24"/>
          <w:szCs w:val="24"/>
          <w:lang w:val="en-US" w:eastAsia="it-IT"/>
        </w:rPr>
        <w:tab/>
      </w:r>
      <w:r w:rsidRPr="002D5B7F">
        <w:rPr>
          <w:rFonts w:ascii="Times New Roman" w:eastAsia="Calibri" w:hAnsi="Times New Roman" w:cs="Times New Roman"/>
          <w:position w:val="-88"/>
          <w:sz w:val="24"/>
          <w:szCs w:val="24"/>
          <w:lang w:val="it-IT" w:eastAsia="it-IT"/>
        </w:rPr>
        <w:object w:dxaOrig="6960" w:dyaOrig="1920" w14:anchorId="14BB70AA">
          <v:shape id="_x0000_i1029" type="#_x0000_t75" style="width:345.9pt;height:95.5pt" o:ole="">
            <v:imagedata r:id="rId25" o:title=""/>
          </v:shape>
          <o:OLEObject Type="Embed" ProgID="Equation.3" ShapeID="_x0000_i1029" DrawAspect="Content" ObjectID="_1503738629" r:id="rId26"/>
        </w:object>
      </w:r>
    </w:p>
    <w:p w14:paraId="591B2ACD" w14:textId="77777777" w:rsidR="00043858" w:rsidRDefault="00043858" w:rsidP="007E656D">
      <w:pPr>
        <w:rPr>
          <w:rFonts w:ascii="Times New Roman" w:hAnsi="Times New Roman" w:cs="Times New Roman"/>
          <w:b/>
          <w:sz w:val="24"/>
          <w:szCs w:val="24"/>
        </w:rPr>
      </w:pPr>
    </w:p>
    <w:p w14:paraId="0245F223" w14:textId="77777777" w:rsidR="00F07092" w:rsidRPr="00D04448" w:rsidRDefault="00F07092" w:rsidP="001C36BC">
      <w:pPr>
        <w:pStyle w:val="Paragrafoelenco"/>
        <w:numPr>
          <w:ilvl w:val="0"/>
          <w:numId w:val="1"/>
        </w:numPr>
        <w:spacing w:line="360" w:lineRule="auto"/>
        <w:jc w:val="both"/>
        <w:rPr>
          <w:rFonts w:ascii="Times New Roman" w:hAnsi="Times New Roman" w:cs="Times New Roman"/>
          <w:b/>
          <w:sz w:val="24"/>
          <w:szCs w:val="24"/>
        </w:rPr>
      </w:pPr>
      <w:r w:rsidRPr="00D04448">
        <w:rPr>
          <w:rFonts w:ascii="Times New Roman" w:hAnsi="Times New Roman" w:cs="Times New Roman"/>
          <w:b/>
          <w:sz w:val="24"/>
          <w:szCs w:val="24"/>
        </w:rPr>
        <w:t>Results</w:t>
      </w:r>
      <w:r w:rsidR="006371EC">
        <w:rPr>
          <w:rFonts w:ascii="Times New Roman" w:hAnsi="Times New Roman" w:cs="Times New Roman"/>
          <w:b/>
          <w:sz w:val="24"/>
          <w:szCs w:val="24"/>
        </w:rPr>
        <w:t xml:space="preserve"> of the decomposition analysis</w:t>
      </w:r>
    </w:p>
    <w:p w14:paraId="5066DF43" w14:textId="3D943F29" w:rsidR="00791873" w:rsidRPr="00791873" w:rsidRDefault="00791873" w:rsidP="00791873">
      <w:pPr>
        <w:spacing w:after="0" w:line="360" w:lineRule="auto"/>
        <w:jc w:val="both"/>
        <w:rPr>
          <w:rFonts w:ascii="Times New Roman" w:hAnsi="Times New Roman" w:cs="Times New Roman"/>
          <w:b/>
          <w:sz w:val="24"/>
          <w:szCs w:val="24"/>
        </w:rPr>
      </w:pPr>
      <w:r w:rsidRPr="00791873">
        <w:rPr>
          <w:rFonts w:ascii="Times New Roman" w:hAnsi="Times New Roman" w:cs="Times New Roman"/>
          <w:sz w:val="24"/>
          <w:szCs w:val="24"/>
        </w:rPr>
        <w:t xml:space="preserve">The decomposition results </w:t>
      </w:r>
      <w:r>
        <w:rPr>
          <w:rFonts w:ascii="Times New Roman" w:hAnsi="Times New Roman" w:cs="Times New Roman"/>
          <w:sz w:val="24"/>
          <w:szCs w:val="24"/>
        </w:rPr>
        <w:t>reported below, together with the data included in Table</w:t>
      </w:r>
      <w:r w:rsidR="003B23DD">
        <w:rPr>
          <w:rFonts w:ascii="Times New Roman" w:hAnsi="Times New Roman" w:cs="Times New Roman"/>
          <w:sz w:val="24"/>
          <w:szCs w:val="24"/>
        </w:rPr>
        <w:t>s</w:t>
      </w:r>
      <w:r>
        <w:rPr>
          <w:rFonts w:ascii="Times New Roman" w:hAnsi="Times New Roman" w:cs="Times New Roman"/>
          <w:sz w:val="24"/>
          <w:szCs w:val="24"/>
        </w:rPr>
        <w:t xml:space="preserve"> 1 </w:t>
      </w:r>
      <w:r w:rsidR="003B23DD">
        <w:rPr>
          <w:rFonts w:ascii="Times New Roman" w:hAnsi="Times New Roman" w:cs="Times New Roman"/>
          <w:sz w:val="24"/>
          <w:szCs w:val="24"/>
        </w:rPr>
        <w:t xml:space="preserve">and 2 </w:t>
      </w:r>
      <w:r>
        <w:rPr>
          <w:rFonts w:ascii="Times New Roman" w:hAnsi="Times New Roman" w:cs="Times New Roman"/>
          <w:sz w:val="24"/>
          <w:szCs w:val="24"/>
        </w:rPr>
        <w:t xml:space="preserve">of the Appendix, </w:t>
      </w:r>
      <w:r w:rsidRPr="00791873">
        <w:rPr>
          <w:rFonts w:ascii="Times New Roman" w:hAnsi="Times New Roman" w:cs="Times New Roman"/>
          <w:sz w:val="24"/>
          <w:szCs w:val="24"/>
        </w:rPr>
        <w:t xml:space="preserve">are useful to identify the main reasons for carbon dioxide emission variation that took place in the </w:t>
      </w:r>
      <w:r w:rsidR="00A42CDF">
        <w:rPr>
          <w:rFonts w:ascii="Times New Roman" w:hAnsi="Times New Roman" w:cs="Times New Roman"/>
          <w:sz w:val="24"/>
          <w:szCs w:val="24"/>
        </w:rPr>
        <w:t xml:space="preserve">33 </w:t>
      </w:r>
      <w:r w:rsidRPr="00791873">
        <w:rPr>
          <w:rFonts w:ascii="Times New Roman" w:hAnsi="Times New Roman" w:cs="Times New Roman"/>
          <w:sz w:val="24"/>
          <w:szCs w:val="24"/>
        </w:rPr>
        <w:t xml:space="preserve">world </w:t>
      </w:r>
      <w:r w:rsidR="00A42CDF">
        <w:rPr>
          <w:rFonts w:ascii="Times New Roman" w:hAnsi="Times New Roman" w:cs="Times New Roman"/>
          <w:sz w:val="24"/>
          <w:szCs w:val="24"/>
        </w:rPr>
        <w:t xml:space="preserve">countries </w:t>
      </w:r>
      <w:r w:rsidRPr="00791873">
        <w:rPr>
          <w:rFonts w:ascii="Times New Roman" w:hAnsi="Times New Roman" w:cs="Times New Roman"/>
          <w:sz w:val="24"/>
          <w:szCs w:val="24"/>
        </w:rPr>
        <w:t xml:space="preserve">included in the analysis. </w:t>
      </w:r>
      <w:r w:rsidRPr="00A42CDF">
        <w:rPr>
          <w:rFonts w:ascii="Times New Roman" w:hAnsi="Times New Roman" w:cs="Times New Roman"/>
          <w:sz w:val="24"/>
          <w:szCs w:val="24"/>
        </w:rPr>
        <w:t>Since GDP data at constant price are not available for India and Brazil for the entire time period considered in this paper,</w:t>
      </w:r>
      <w:r w:rsidRPr="00791873">
        <w:rPr>
          <w:rFonts w:ascii="Times New Roman" w:hAnsi="Times New Roman" w:cs="Times New Roman"/>
          <w:sz w:val="24"/>
          <w:szCs w:val="24"/>
        </w:rPr>
        <w:t xml:space="preserve"> the results reported below includes </w:t>
      </w:r>
      <w:r w:rsidRPr="00791873">
        <w:rPr>
          <w:rFonts w:ascii="Times New Roman" w:hAnsi="Times New Roman" w:cs="Times New Roman"/>
          <w:i/>
          <w:sz w:val="24"/>
          <w:szCs w:val="24"/>
        </w:rPr>
        <w:t>i)</w:t>
      </w:r>
      <w:r w:rsidRPr="00791873">
        <w:rPr>
          <w:rFonts w:ascii="Times New Roman" w:hAnsi="Times New Roman" w:cs="Times New Roman"/>
          <w:sz w:val="24"/>
          <w:szCs w:val="24"/>
        </w:rPr>
        <w:t xml:space="preserve"> a decomposition analysis for China, European Union, Indonesia, Russia and United States for the period 1996-2008; </w:t>
      </w:r>
      <w:r w:rsidRPr="00791873">
        <w:rPr>
          <w:rFonts w:ascii="Times New Roman" w:hAnsi="Times New Roman" w:cs="Times New Roman"/>
          <w:i/>
          <w:sz w:val="24"/>
          <w:szCs w:val="24"/>
        </w:rPr>
        <w:t>ii)</w:t>
      </w:r>
      <w:r w:rsidRPr="00791873">
        <w:rPr>
          <w:rFonts w:ascii="Times New Roman" w:hAnsi="Times New Roman" w:cs="Times New Roman"/>
          <w:sz w:val="24"/>
          <w:szCs w:val="24"/>
        </w:rPr>
        <w:t xml:space="preserve"> a decomposition analysis for Brazil for the period 2000-2008 and </w:t>
      </w:r>
      <w:r w:rsidRPr="00791873">
        <w:rPr>
          <w:rFonts w:ascii="Times New Roman" w:hAnsi="Times New Roman" w:cs="Times New Roman"/>
          <w:i/>
          <w:sz w:val="24"/>
          <w:szCs w:val="24"/>
        </w:rPr>
        <w:t>iii)</w:t>
      </w:r>
      <w:r w:rsidRPr="00791873">
        <w:rPr>
          <w:rFonts w:ascii="Times New Roman" w:hAnsi="Times New Roman" w:cs="Times New Roman"/>
          <w:sz w:val="24"/>
          <w:szCs w:val="24"/>
        </w:rPr>
        <w:t xml:space="preserve"> a decomposition analysis for India for the period 2004-2008</w:t>
      </w:r>
      <w:r w:rsidRPr="00791873">
        <w:rPr>
          <w:rFonts w:ascii="Times New Roman" w:hAnsi="Times New Roman" w:cs="Times New Roman"/>
          <w:b/>
          <w:sz w:val="24"/>
          <w:szCs w:val="24"/>
        </w:rPr>
        <w:t>.</w:t>
      </w:r>
    </w:p>
    <w:p w14:paraId="158FF02D" w14:textId="78CC74E0" w:rsidR="00803ABC" w:rsidRDefault="00791873" w:rsidP="009259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According to the results reported in Figure 6 (a, b, c and d) </w:t>
      </w:r>
      <w:r w:rsidR="00AA2690">
        <w:rPr>
          <w:rFonts w:ascii="Times New Roman" w:hAnsi="Times New Roman" w:cs="Times New Roman"/>
          <w:sz w:val="24"/>
          <w:szCs w:val="24"/>
        </w:rPr>
        <w:t>f</w:t>
      </w:r>
      <w:r w:rsidR="00803ABC" w:rsidRPr="00803ABC">
        <w:rPr>
          <w:rFonts w:ascii="Times New Roman" w:hAnsi="Times New Roman" w:cs="Times New Roman"/>
          <w:sz w:val="24"/>
          <w:szCs w:val="24"/>
        </w:rPr>
        <w:t xml:space="preserve">or all the countries considered in this paper </w:t>
      </w:r>
      <w:r>
        <w:rPr>
          <w:rFonts w:ascii="Times New Roman" w:hAnsi="Times New Roman" w:cs="Times New Roman"/>
          <w:sz w:val="24"/>
          <w:szCs w:val="24"/>
        </w:rPr>
        <w:t xml:space="preserve">economic growth </w:t>
      </w:r>
      <w:r w:rsidR="00415F14">
        <w:rPr>
          <w:rFonts w:ascii="Times New Roman" w:hAnsi="Times New Roman" w:cs="Times New Roman"/>
          <w:sz w:val="24"/>
          <w:szCs w:val="24"/>
        </w:rPr>
        <w:t>(G effect</w:t>
      </w:r>
      <w:r w:rsidR="00803ABC" w:rsidRPr="00803ABC">
        <w:rPr>
          <w:rFonts w:ascii="Times New Roman" w:hAnsi="Times New Roman" w:cs="Times New Roman"/>
          <w:sz w:val="24"/>
          <w:szCs w:val="24"/>
        </w:rPr>
        <w:t xml:space="preserve">) </w:t>
      </w:r>
      <w:r w:rsidR="00415F14">
        <w:rPr>
          <w:rFonts w:ascii="Times New Roman" w:hAnsi="Times New Roman" w:cs="Times New Roman"/>
          <w:sz w:val="24"/>
          <w:szCs w:val="24"/>
        </w:rPr>
        <w:t>ha</w:t>
      </w:r>
      <w:r>
        <w:rPr>
          <w:rFonts w:ascii="Times New Roman" w:hAnsi="Times New Roman" w:cs="Times New Roman"/>
          <w:sz w:val="24"/>
          <w:szCs w:val="24"/>
        </w:rPr>
        <w:t>s</w:t>
      </w:r>
      <w:r w:rsidR="00415F14">
        <w:rPr>
          <w:rFonts w:ascii="Times New Roman" w:hAnsi="Times New Roman" w:cs="Times New Roman"/>
          <w:sz w:val="24"/>
          <w:szCs w:val="24"/>
        </w:rPr>
        <w:t xml:space="preserve"> been the most important </w:t>
      </w:r>
      <w:r>
        <w:rPr>
          <w:rFonts w:ascii="Times New Roman" w:hAnsi="Times New Roman" w:cs="Times New Roman"/>
          <w:sz w:val="24"/>
          <w:szCs w:val="24"/>
        </w:rPr>
        <w:t>driver of energy-related CO</w:t>
      </w:r>
      <w:r w:rsidRPr="00A42CDF">
        <w:rPr>
          <w:rFonts w:ascii="Times New Roman" w:hAnsi="Times New Roman" w:cs="Times New Roman"/>
          <w:sz w:val="24"/>
          <w:szCs w:val="24"/>
          <w:vertAlign w:val="subscript"/>
        </w:rPr>
        <w:t>2</w:t>
      </w:r>
      <w:r>
        <w:rPr>
          <w:rFonts w:ascii="Times New Roman" w:hAnsi="Times New Roman" w:cs="Times New Roman"/>
          <w:sz w:val="24"/>
          <w:szCs w:val="24"/>
        </w:rPr>
        <w:t xml:space="preserve"> emission increase However, the analysis provide</w:t>
      </w:r>
      <w:r w:rsidR="001D2FC5">
        <w:rPr>
          <w:rFonts w:ascii="Times New Roman" w:hAnsi="Times New Roman" w:cs="Times New Roman"/>
          <w:sz w:val="24"/>
          <w:szCs w:val="24"/>
        </w:rPr>
        <w:t>s</w:t>
      </w:r>
      <w:r>
        <w:rPr>
          <w:rFonts w:ascii="Times New Roman" w:hAnsi="Times New Roman" w:cs="Times New Roman"/>
          <w:sz w:val="24"/>
          <w:szCs w:val="24"/>
        </w:rPr>
        <w:t xml:space="preserve"> other interesting results. In particular, the ES effect describe</w:t>
      </w:r>
      <w:r w:rsidR="001D2FC5">
        <w:rPr>
          <w:rFonts w:ascii="Times New Roman" w:hAnsi="Times New Roman" w:cs="Times New Roman"/>
          <w:sz w:val="24"/>
          <w:szCs w:val="24"/>
        </w:rPr>
        <w:t>d</w:t>
      </w:r>
      <w:r>
        <w:rPr>
          <w:rFonts w:ascii="Times New Roman" w:hAnsi="Times New Roman" w:cs="Times New Roman"/>
          <w:sz w:val="24"/>
          <w:szCs w:val="24"/>
        </w:rPr>
        <w:t xml:space="preserve"> as the relative position of a country in the total income generation, resu</w:t>
      </w:r>
      <w:r w:rsidR="001D2FC5">
        <w:rPr>
          <w:rFonts w:ascii="Times New Roman" w:hAnsi="Times New Roman" w:cs="Times New Roman"/>
          <w:sz w:val="24"/>
          <w:szCs w:val="24"/>
        </w:rPr>
        <w:t>l</w:t>
      </w:r>
      <w:r>
        <w:rPr>
          <w:rFonts w:ascii="Times New Roman" w:hAnsi="Times New Roman" w:cs="Times New Roman"/>
          <w:sz w:val="24"/>
          <w:szCs w:val="24"/>
        </w:rPr>
        <w:t>t</w:t>
      </w:r>
      <w:r w:rsidR="001D2FC5">
        <w:rPr>
          <w:rFonts w:ascii="Times New Roman" w:hAnsi="Times New Roman" w:cs="Times New Roman"/>
          <w:sz w:val="24"/>
          <w:szCs w:val="24"/>
        </w:rPr>
        <w:t>s</w:t>
      </w:r>
      <w:r>
        <w:rPr>
          <w:rFonts w:ascii="Times New Roman" w:hAnsi="Times New Roman" w:cs="Times New Roman"/>
          <w:sz w:val="24"/>
          <w:szCs w:val="24"/>
        </w:rPr>
        <w:t xml:space="preserve"> to be an important driver for carbon dioxide emission increase particularly for China and India. The increasing role of these two fast developing economies in the international production system is responsible for almost half of their total </w:t>
      </w:r>
      <w:r w:rsidRPr="001D2FC5">
        <w:rPr>
          <w:rFonts w:ascii="Times New Roman" w:hAnsi="Times New Roman" w:cs="Times New Roman"/>
          <w:sz w:val="24"/>
          <w:szCs w:val="24"/>
        </w:rPr>
        <w:t>CO</w:t>
      </w:r>
      <w:r w:rsidRPr="00A42CDF">
        <w:rPr>
          <w:rFonts w:ascii="Times New Roman" w:hAnsi="Times New Roman" w:cs="Times New Roman"/>
          <w:sz w:val="24"/>
          <w:szCs w:val="24"/>
          <w:vertAlign w:val="subscript"/>
        </w:rPr>
        <w:t>2</w:t>
      </w:r>
      <w:r w:rsidRPr="00A42CDF">
        <w:rPr>
          <w:rFonts w:ascii="Times New Roman" w:hAnsi="Times New Roman" w:cs="Times New Roman"/>
          <w:sz w:val="24"/>
          <w:szCs w:val="24"/>
        </w:rPr>
        <w:t xml:space="preserve"> emission increase. </w:t>
      </w:r>
      <w:r w:rsidR="00797E86">
        <w:rPr>
          <w:rFonts w:ascii="Times New Roman" w:hAnsi="Times New Roman" w:cs="Times New Roman"/>
          <w:sz w:val="24"/>
          <w:szCs w:val="24"/>
        </w:rPr>
        <w:t xml:space="preserve">In a similar way, the increasing role on international economy played by South Korea, Russia, Turkey, Ireland and the recently eastern Europe </w:t>
      </w:r>
      <w:r w:rsidR="001D2FC5">
        <w:rPr>
          <w:rFonts w:ascii="Times New Roman" w:hAnsi="Times New Roman" w:cs="Times New Roman"/>
          <w:sz w:val="24"/>
          <w:szCs w:val="24"/>
        </w:rPr>
        <w:t xml:space="preserve">EU </w:t>
      </w:r>
      <w:r w:rsidR="00797E86">
        <w:rPr>
          <w:rFonts w:ascii="Times New Roman" w:hAnsi="Times New Roman" w:cs="Times New Roman"/>
          <w:sz w:val="24"/>
          <w:szCs w:val="24"/>
        </w:rPr>
        <w:t xml:space="preserve">Member States, </w:t>
      </w:r>
      <w:r w:rsidR="001D2FC5">
        <w:rPr>
          <w:rFonts w:ascii="Times New Roman" w:hAnsi="Times New Roman" w:cs="Times New Roman"/>
          <w:sz w:val="24"/>
          <w:szCs w:val="24"/>
        </w:rPr>
        <w:t>like</w:t>
      </w:r>
      <w:r w:rsidR="00797E86">
        <w:rPr>
          <w:rFonts w:ascii="Times New Roman" w:hAnsi="Times New Roman" w:cs="Times New Roman"/>
          <w:sz w:val="24"/>
          <w:szCs w:val="24"/>
        </w:rPr>
        <w:t xml:space="preserve"> Estonia, Slovak </w:t>
      </w:r>
      <w:r w:rsidR="00797E86">
        <w:rPr>
          <w:rFonts w:ascii="Times New Roman" w:hAnsi="Times New Roman" w:cs="Times New Roman"/>
          <w:sz w:val="24"/>
          <w:szCs w:val="24"/>
        </w:rPr>
        <w:lastRenderedPageBreak/>
        <w:t xml:space="preserve">Republic, Slovenia and Poland also contributed to increase the quantity of carbon dioxide emissions related to the relative position of these countries in the global income generation (ES effect). </w:t>
      </w:r>
      <w:r w:rsidRPr="00EA7F8B">
        <w:rPr>
          <w:rFonts w:ascii="Times New Roman" w:hAnsi="Times New Roman" w:cs="Times New Roman"/>
          <w:sz w:val="24"/>
          <w:szCs w:val="24"/>
        </w:rPr>
        <w:t xml:space="preserve">On the contrary, the decreasing role played in international GDP generation (ES effect) by </w:t>
      </w:r>
      <w:r w:rsidR="00797E86" w:rsidRPr="00EA7F8B">
        <w:rPr>
          <w:rFonts w:ascii="Times New Roman" w:hAnsi="Times New Roman" w:cs="Times New Roman"/>
          <w:sz w:val="24"/>
          <w:szCs w:val="24"/>
        </w:rPr>
        <w:t xml:space="preserve">Japan, Unites States and some of </w:t>
      </w:r>
      <w:r w:rsidRPr="00EA7F8B">
        <w:rPr>
          <w:rFonts w:ascii="Times New Roman" w:hAnsi="Times New Roman" w:cs="Times New Roman"/>
          <w:sz w:val="24"/>
          <w:szCs w:val="24"/>
        </w:rPr>
        <w:t xml:space="preserve">the most developed European </w:t>
      </w:r>
      <w:r w:rsidR="00797E86" w:rsidRPr="00EA7F8B">
        <w:rPr>
          <w:rFonts w:ascii="Times New Roman" w:hAnsi="Times New Roman" w:cs="Times New Roman"/>
          <w:sz w:val="24"/>
          <w:szCs w:val="24"/>
        </w:rPr>
        <w:t>Countries</w:t>
      </w:r>
      <w:r w:rsidR="001D2FC5" w:rsidRPr="00EA7F8B">
        <w:rPr>
          <w:rFonts w:ascii="Times New Roman" w:hAnsi="Times New Roman" w:cs="Times New Roman"/>
          <w:sz w:val="24"/>
          <w:szCs w:val="24"/>
        </w:rPr>
        <w:t>,</w:t>
      </w:r>
      <w:r w:rsidRPr="00EA7F8B">
        <w:rPr>
          <w:rFonts w:ascii="Times New Roman" w:hAnsi="Times New Roman" w:cs="Times New Roman"/>
          <w:sz w:val="24"/>
          <w:szCs w:val="24"/>
        </w:rPr>
        <w:t xml:space="preserve"> contributed to reduce their overall CO</w:t>
      </w:r>
      <w:r w:rsidRPr="00EA7F8B">
        <w:rPr>
          <w:rFonts w:ascii="Times New Roman" w:hAnsi="Times New Roman" w:cs="Times New Roman"/>
          <w:sz w:val="24"/>
          <w:szCs w:val="24"/>
          <w:vertAlign w:val="subscript"/>
        </w:rPr>
        <w:t>2</w:t>
      </w:r>
      <w:r w:rsidRPr="00EA7F8B">
        <w:rPr>
          <w:rFonts w:ascii="Times New Roman" w:hAnsi="Times New Roman" w:cs="Times New Roman"/>
          <w:sz w:val="24"/>
          <w:szCs w:val="24"/>
        </w:rPr>
        <w:t xml:space="preserve"> emission increase. </w:t>
      </w:r>
      <w:r w:rsidR="00803ABC" w:rsidRPr="001C36BC">
        <w:rPr>
          <w:rFonts w:ascii="Times New Roman" w:hAnsi="Times New Roman" w:cs="Times New Roman"/>
          <w:sz w:val="24"/>
          <w:szCs w:val="24"/>
        </w:rPr>
        <w:t xml:space="preserve"> In terms of carbon dioxide emission intensity (CI effect</w:t>
      </w:r>
      <w:r w:rsidR="00803ABC" w:rsidRPr="00803ABC">
        <w:rPr>
          <w:rFonts w:ascii="Times New Roman" w:hAnsi="Times New Roman" w:cs="Times New Roman"/>
          <w:sz w:val="24"/>
          <w:szCs w:val="24"/>
        </w:rPr>
        <w:t xml:space="preserve">) all the countries considered in this paper, exception </w:t>
      </w:r>
      <w:r w:rsidR="001D2FC5">
        <w:rPr>
          <w:rFonts w:ascii="Times New Roman" w:hAnsi="Times New Roman" w:cs="Times New Roman"/>
          <w:sz w:val="24"/>
          <w:szCs w:val="24"/>
        </w:rPr>
        <w:t xml:space="preserve">made for </w:t>
      </w:r>
      <w:r w:rsidR="00803ABC" w:rsidRPr="00803ABC">
        <w:rPr>
          <w:rFonts w:ascii="Times New Roman" w:hAnsi="Times New Roman" w:cs="Times New Roman"/>
          <w:sz w:val="24"/>
          <w:szCs w:val="24"/>
        </w:rPr>
        <w:t xml:space="preserve"> Canada, </w:t>
      </w:r>
      <w:r w:rsidR="00F34A78">
        <w:rPr>
          <w:rFonts w:ascii="Times New Roman" w:hAnsi="Times New Roman" w:cs="Times New Roman"/>
          <w:sz w:val="24"/>
          <w:szCs w:val="24"/>
        </w:rPr>
        <w:t xml:space="preserve">China, </w:t>
      </w:r>
      <w:r w:rsidR="00803ABC" w:rsidRPr="00B909A3">
        <w:rPr>
          <w:rFonts w:ascii="Times New Roman" w:hAnsi="Times New Roman" w:cs="Times New Roman"/>
          <w:sz w:val="24"/>
          <w:szCs w:val="24"/>
        </w:rPr>
        <w:t>Japan, Netherlands, Denmark</w:t>
      </w:r>
      <w:r w:rsidR="00797E86">
        <w:rPr>
          <w:rFonts w:ascii="Times New Roman" w:hAnsi="Times New Roman" w:cs="Times New Roman"/>
          <w:sz w:val="24"/>
          <w:szCs w:val="24"/>
        </w:rPr>
        <w:t>, Russia</w:t>
      </w:r>
      <w:r w:rsidR="00F34A78">
        <w:rPr>
          <w:rFonts w:ascii="Times New Roman" w:hAnsi="Times New Roman" w:cs="Times New Roman"/>
          <w:sz w:val="24"/>
          <w:szCs w:val="24"/>
        </w:rPr>
        <w:t xml:space="preserve">, Slovenia </w:t>
      </w:r>
      <w:r w:rsidR="00803ABC" w:rsidRPr="00B909A3">
        <w:rPr>
          <w:rFonts w:ascii="Times New Roman" w:hAnsi="Times New Roman" w:cs="Times New Roman"/>
          <w:sz w:val="24"/>
          <w:szCs w:val="24"/>
        </w:rPr>
        <w:t>and Indonesia, reduced the quantity of CO</w:t>
      </w:r>
      <w:r w:rsidR="00803ABC" w:rsidRPr="00B909A3">
        <w:rPr>
          <w:rFonts w:ascii="Times New Roman" w:hAnsi="Times New Roman" w:cs="Times New Roman"/>
          <w:sz w:val="24"/>
          <w:szCs w:val="24"/>
          <w:vertAlign w:val="subscript"/>
        </w:rPr>
        <w:t xml:space="preserve">2 </w:t>
      </w:r>
      <w:r w:rsidR="00803ABC" w:rsidRPr="00B909A3">
        <w:rPr>
          <w:rFonts w:ascii="Times New Roman" w:hAnsi="Times New Roman" w:cs="Times New Roman"/>
          <w:sz w:val="24"/>
          <w:szCs w:val="24"/>
        </w:rPr>
        <w:t xml:space="preserve">generated per unit of energy use. The </w:t>
      </w:r>
      <w:r w:rsidR="00B909A3" w:rsidRPr="00B909A3">
        <w:rPr>
          <w:rFonts w:ascii="Times New Roman" w:hAnsi="Times New Roman" w:cs="Times New Roman"/>
          <w:sz w:val="24"/>
          <w:szCs w:val="24"/>
        </w:rPr>
        <w:t xml:space="preserve">reduction in the use of natural gas and the increasing demand for electricity, together with the increasing economic importance of sectors characterized by high carbon intensity rate, </w:t>
      </w:r>
      <w:r>
        <w:rPr>
          <w:rFonts w:ascii="Times New Roman" w:hAnsi="Times New Roman" w:cs="Times New Roman"/>
          <w:sz w:val="24"/>
          <w:szCs w:val="24"/>
        </w:rPr>
        <w:t xml:space="preserve">such </w:t>
      </w:r>
      <w:r w:rsidR="00B909A3" w:rsidRPr="00B909A3">
        <w:rPr>
          <w:rFonts w:ascii="Times New Roman" w:hAnsi="Times New Roman" w:cs="Times New Roman"/>
          <w:sz w:val="24"/>
          <w:szCs w:val="24"/>
        </w:rPr>
        <w:t>as cok</w:t>
      </w:r>
      <w:r w:rsidR="00B909A3" w:rsidRPr="001D2FC5">
        <w:rPr>
          <w:rFonts w:ascii="Times New Roman" w:hAnsi="Times New Roman" w:cs="Times New Roman"/>
          <w:sz w:val="24"/>
          <w:szCs w:val="24"/>
        </w:rPr>
        <w:t>e, refined petroleum, nuclear fuel activities and wa</w:t>
      </w:r>
      <w:r w:rsidR="00B909A3" w:rsidRPr="000236FF">
        <w:rPr>
          <w:rFonts w:ascii="Times New Roman" w:hAnsi="Times New Roman" w:cs="Times New Roman"/>
          <w:sz w:val="24"/>
          <w:szCs w:val="24"/>
        </w:rPr>
        <w:t xml:space="preserve">ter transports are probably the most important factors responsible for this trend </w:t>
      </w:r>
      <w:r w:rsidR="00443C30" w:rsidRPr="00903C2D">
        <w:rPr>
          <w:rFonts w:ascii="Times New Roman" w:hAnsi="Times New Roman" w:cs="Times New Roman"/>
          <w:sz w:val="24"/>
          <w:szCs w:val="24"/>
        </w:rPr>
        <w:t>[38, 7, 57]</w:t>
      </w:r>
      <w:r w:rsidR="00B909A3" w:rsidRPr="001D2FC5">
        <w:rPr>
          <w:rFonts w:ascii="Times New Roman" w:hAnsi="Times New Roman" w:cs="Times New Roman"/>
          <w:sz w:val="24"/>
          <w:szCs w:val="24"/>
        </w:rPr>
        <w:t>.</w:t>
      </w:r>
      <w:r w:rsidR="00797E86" w:rsidRPr="001D2FC5">
        <w:rPr>
          <w:rFonts w:ascii="Times New Roman" w:hAnsi="Times New Roman" w:cs="Times New Roman"/>
          <w:sz w:val="24"/>
          <w:szCs w:val="24"/>
        </w:rPr>
        <w:t xml:space="preserve"> The reduction in the carbon dioxide intensity has been mainly generated by a set of policies oriented to reduce the carbon contents of economy. Within European Union different Directives have been devote to that. The EU Emission Trading System, the Energy Efficiency Directive, the Strategic Energy Technology Plan or the Renewable Energy Directive are just some examples. In a similar way, the Clean Air Act of United States proposed a set of policies to improve the carbon pollution standards and to promote the adoption of the best available technologies [</w:t>
      </w:r>
      <w:r w:rsidR="009758F1" w:rsidRPr="00F34A78">
        <w:rPr>
          <w:rFonts w:ascii="Times New Roman" w:hAnsi="Times New Roman" w:cs="Times New Roman"/>
          <w:sz w:val="24"/>
          <w:szCs w:val="24"/>
        </w:rPr>
        <w:t>58</w:t>
      </w:r>
      <w:r w:rsidR="00797E86" w:rsidRPr="001D2FC5">
        <w:rPr>
          <w:rFonts w:ascii="Times New Roman" w:hAnsi="Times New Roman" w:cs="Times New Roman"/>
          <w:sz w:val="24"/>
          <w:szCs w:val="24"/>
        </w:rPr>
        <w:t>]. In Brazil, the large investments in hydroelectric power and the increasing use of biofuel contributed to impr</w:t>
      </w:r>
      <w:r w:rsidR="00797E86" w:rsidRPr="000236FF">
        <w:rPr>
          <w:rFonts w:ascii="Times New Roman" w:hAnsi="Times New Roman" w:cs="Times New Roman"/>
          <w:sz w:val="24"/>
          <w:szCs w:val="24"/>
        </w:rPr>
        <w:t>ove the carbon intensity [</w:t>
      </w:r>
      <w:r w:rsidR="009758F1" w:rsidRPr="00F34A78">
        <w:rPr>
          <w:rFonts w:ascii="Times New Roman" w:hAnsi="Times New Roman" w:cs="Times New Roman"/>
          <w:sz w:val="24"/>
          <w:szCs w:val="24"/>
        </w:rPr>
        <w:t>59</w:t>
      </w:r>
      <w:r w:rsidR="00797E86" w:rsidRPr="001D2FC5">
        <w:rPr>
          <w:rFonts w:ascii="Times New Roman" w:hAnsi="Times New Roman" w:cs="Times New Roman"/>
          <w:sz w:val="24"/>
          <w:szCs w:val="24"/>
        </w:rPr>
        <w:t xml:space="preserve">]. </w:t>
      </w:r>
    </w:p>
    <w:p w14:paraId="4DFDA8DE" w14:textId="09D29A63" w:rsidR="00797E86" w:rsidRPr="00797E86" w:rsidRDefault="00803ABC" w:rsidP="00797E86">
      <w:pPr>
        <w:spacing w:after="0" w:line="360" w:lineRule="auto"/>
        <w:jc w:val="both"/>
        <w:rPr>
          <w:rFonts w:ascii="Times New Roman" w:hAnsi="Times New Roman" w:cs="Times New Roman"/>
          <w:sz w:val="24"/>
          <w:szCs w:val="24"/>
        </w:rPr>
      </w:pPr>
      <w:r w:rsidRPr="00803ABC">
        <w:rPr>
          <w:rFonts w:ascii="Times New Roman" w:hAnsi="Times New Roman" w:cs="Times New Roman"/>
          <w:sz w:val="24"/>
          <w:szCs w:val="24"/>
        </w:rPr>
        <w:t>Denmark and Indonesia, together with Greece</w:t>
      </w:r>
      <w:r w:rsidR="00797E86">
        <w:rPr>
          <w:rFonts w:ascii="Times New Roman" w:hAnsi="Times New Roman" w:cs="Times New Roman"/>
          <w:sz w:val="24"/>
          <w:szCs w:val="24"/>
        </w:rPr>
        <w:t>,</w:t>
      </w:r>
      <w:r w:rsidRPr="00803ABC">
        <w:rPr>
          <w:rFonts w:ascii="Times New Roman" w:hAnsi="Times New Roman" w:cs="Times New Roman"/>
          <w:sz w:val="24"/>
          <w:szCs w:val="24"/>
        </w:rPr>
        <w:t xml:space="preserve"> Turkey</w:t>
      </w:r>
      <w:r w:rsidR="00797E86">
        <w:rPr>
          <w:rFonts w:ascii="Times New Roman" w:hAnsi="Times New Roman" w:cs="Times New Roman"/>
          <w:sz w:val="24"/>
          <w:szCs w:val="24"/>
        </w:rPr>
        <w:t xml:space="preserve"> and Brazil</w:t>
      </w:r>
      <w:r w:rsidRPr="00803ABC">
        <w:rPr>
          <w:rFonts w:ascii="Times New Roman" w:hAnsi="Times New Roman" w:cs="Times New Roman"/>
          <w:sz w:val="24"/>
          <w:szCs w:val="24"/>
        </w:rPr>
        <w:t>, are also the only countries for which the energy intensity (EI effect) of the overall economic system increased during the considered period. This means that for every units of GDP production a larger quantity of ene</w:t>
      </w:r>
      <w:r w:rsidR="001C36BC">
        <w:rPr>
          <w:rFonts w:ascii="Times New Roman" w:hAnsi="Times New Roman" w:cs="Times New Roman"/>
          <w:sz w:val="24"/>
          <w:szCs w:val="24"/>
        </w:rPr>
        <w:t xml:space="preserve">rgy was </w:t>
      </w:r>
      <w:r w:rsidRPr="00803ABC">
        <w:rPr>
          <w:rFonts w:ascii="Times New Roman" w:hAnsi="Times New Roman" w:cs="Times New Roman"/>
          <w:sz w:val="24"/>
          <w:szCs w:val="24"/>
        </w:rPr>
        <w:t>needed in 2007 compared to quantity used in 1995.</w:t>
      </w:r>
      <w:r w:rsidR="00110F9E">
        <w:rPr>
          <w:rFonts w:ascii="Times New Roman" w:hAnsi="Times New Roman" w:cs="Times New Roman"/>
          <w:sz w:val="24"/>
          <w:szCs w:val="24"/>
        </w:rPr>
        <w:t xml:space="preserve"> A possible explanation can be related to the increased economic importance of high energy intensity sectors </w:t>
      </w:r>
      <w:r w:rsidR="00791873">
        <w:rPr>
          <w:rFonts w:ascii="Times New Roman" w:hAnsi="Times New Roman" w:cs="Times New Roman"/>
          <w:sz w:val="24"/>
          <w:szCs w:val="24"/>
        </w:rPr>
        <w:t xml:space="preserve">like </w:t>
      </w:r>
      <w:r w:rsidR="00110F9E">
        <w:rPr>
          <w:rFonts w:ascii="Times New Roman" w:hAnsi="Times New Roman" w:cs="Times New Roman"/>
          <w:sz w:val="24"/>
          <w:szCs w:val="24"/>
        </w:rPr>
        <w:t xml:space="preserve">coke, refined petroleum, nuclear fuel activities or water transports. </w:t>
      </w:r>
      <w:r w:rsidRPr="00803ABC">
        <w:rPr>
          <w:rFonts w:ascii="Times New Roman" w:hAnsi="Times New Roman" w:cs="Times New Roman"/>
          <w:sz w:val="24"/>
          <w:szCs w:val="24"/>
        </w:rPr>
        <w:t>During the last four years</w:t>
      </w:r>
      <w:r w:rsidR="00AA2690">
        <w:rPr>
          <w:rFonts w:ascii="Times New Roman" w:hAnsi="Times New Roman" w:cs="Times New Roman"/>
          <w:sz w:val="24"/>
          <w:szCs w:val="24"/>
        </w:rPr>
        <w:t xml:space="preserve"> </w:t>
      </w:r>
      <w:r w:rsidR="00261F1D">
        <w:rPr>
          <w:rFonts w:ascii="Times New Roman" w:hAnsi="Times New Roman" w:cs="Times New Roman"/>
          <w:sz w:val="24"/>
          <w:szCs w:val="24"/>
        </w:rPr>
        <w:t xml:space="preserve">(2003-2007) </w:t>
      </w:r>
      <w:r w:rsidR="00AA2690">
        <w:rPr>
          <w:rFonts w:ascii="Times New Roman" w:hAnsi="Times New Roman" w:cs="Times New Roman"/>
          <w:sz w:val="24"/>
          <w:szCs w:val="24"/>
        </w:rPr>
        <w:t>of the time period considered in this paper</w:t>
      </w:r>
      <w:r w:rsidRPr="00803ABC">
        <w:rPr>
          <w:rFonts w:ascii="Times New Roman" w:hAnsi="Times New Roman" w:cs="Times New Roman"/>
          <w:sz w:val="24"/>
          <w:szCs w:val="24"/>
        </w:rPr>
        <w:t xml:space="preserve">, however, all these countries, exception </w:t>
      </w:r>
      <w:r w:rsidR="001D2FC5">
        <w:rPr>
          <w:rFonts w:ascii="Times New Roman" w:hAnsi="Times New Roman" w:cs="Times New Roman"/>
          <w:sz w:val="24"/>
          <w:szCs w:val="24"/>
        </w:rPr>
        <w:t>made for</w:t>
      </w:r>
      <w:r w:rsidRPr="00803ABC">
        <w:rPr>
          <w:rFonts w:ascii="Times New Roman" w:hAnsi="Times New Roman" w:cs="Times New Roman"/>
          <w:sz w:val="24"/>
          <w:szCs w:val="24"/>
        </w:rPr>
        <w:t xml:space="preserve"> Denmark, improved the energy efficiency of national </w:t>
      </w:r>
      <w:r w:rsidR="00AA2690">
        <w:rPr>
          <w:rFonts w:ascii="Times New Roman" w:hAnsi="Times New Roman" w:cs="Times New Roman"/>
          <w:sz w:val="24"/>
          <w:szCs w:val="24"/>
        </w:rPr>
        <w:t>economy</w:t>
      </w:r>
      <w:r w:rsidRPr="00803ABC">
        <w:rPr>
          <w:rFonts w:ascii="Times New Roman" w:hAnsi="Times New Roman" w:cs="Times New Roman"/>
          <w:sz w:val="24"/>
          <w:szCs w:val="24"/>
        </w:rPr>
        <w:t xml:space="preserve">. </w:t>
      </w:r>
      <w:r w:rsidR="00797E86" w:rsidRPr="001D2FC5">
        <w:rPr>
          <w:rFonts w:ascii="Times New Roman" w:hAnsi="Times New Roman" w:cs="Times New Roman"/>
          <w:sz w:val="24"/>
          <w:szCs w:val="24"/>
        </w:rPr>
        <w:t>According to data provided by [</w:t>
      </w:r>
      <w:r w:rsidR="009758F1" w:rsidRPr="00F34A78">
        <w:rPr>
          <w:rFonts w:ascii="Times New Roman" w:hAnsi="Times New Roman" w:cs="Times New Roman"/>
          <w:sz w:val="24"/>
          <w:szCs w:val="24"/>
        </w:rPr>
        <w:t>59</w:t>
      </w:r>
      <w:r w:rsidR="00797E86" w:rsidRPr="001D2FC5">
        <w:rPr>
          <w:rFonts w:ascii="Times New Roman" w:hAnsi="Times New Roman" w:cs="Times New Roman"/>
          <w:sz w:val="24"/>
          <w:szCs w:val="24"/>
        </w:rPr>
        <w:t>], the decreasing energy efficiency of Brazilian economy can be mainly explained by the fact that during the last decade economic growth has been lower than the overall energy consumption.  The increasing energy demand driven by rising living stan</w:t>
      </w:r>
      <w:r w:rsidR="00797E86" w:rsidRPr="000236FF">
        <w:rPr>
          <w:rFonts w:ascii="Times New Roman" w:hAnsi="Times New Roman" w:cs="Times New Roman"/>
          <w:sz w:val="24"/>
          <w:szCs w:val="24"/>
        </w:rPr>
        <w:t xml:space="preserve">dard and by the rapid growth in car ownership of the Brazilian middle class has more than double the total energy consumption. However, the low energy intensity score of Brazilian economy has large </w:t>
      </w:r>
      <w:r w:rsidR="001D2FC5" w:rsidRPr="00F34A78">
        <w:rPr>
          <w:rFonts w:ascii="Times New Roman" w:hAnsi="Times New Roman" w:cs="Times New Roman"/>
          <w:sz w:val="24"/>
          <w:szCs w:val="24"/>
        </w:rPr>
        <w:t>margins</w:t>
      </w:r>
      <w:r w:rsidR="00797E86" w:rsidRPr="001D2FC5">
        <w:rPr>
          <w:rFonts w:ascii="Times New Roman" w:hAnsi="Times New Roman" w:cs="Times New Roman"/>
          <w:sz w:val="24"/>
          <w:szCs w:val="24"/>
        </w:rPr>
        <w:t xml:space="preserve"> for improvement. The old and strained electricity </w:t>
      </w:r>
      <w:r w:rsidR="00797E86" w:rsidRPr="001D2FC5">
        <w:rPr>
          <w:rFonts w:ascii="Times New Roman" w:hAnsi="Times New Roman" w:cs="Times New Roman"/>
          <w:sz w:val="24"/>
          <w:szCs w:val="24"/>
        </w:rPr>
        <w:lastRenderedPageBreak/>
        <w:t>network and the consequent waste in electricity transmission is one of the main factors influencing the low performance in the energy intensity reduction. The recent regulations introduced by Brazilian government in terms of standard of minimum energy perfor</w:t>
      </w:r>
      <w:r w:rsidR="00797E86" w:rsidRPr="000236FF">
        <w:rPr>
          <w:rFonts w:ascii="Times New Roman" w:hAnsi="Times New Roman" w:cs="Times New Roman"/>
          <w:sz w:val="24"/>
          <w:szCs w:val="24"/>
        </w:rPr>
        <w:t>mance and the large investments in the energy infrastructures are expected to improve the energy efficiency over the next decade [</w:t>
      </w:r>
      <w:r w:rsidR="009758F1" w:rsidRPr="00F34A78">
        <w:rPr>
          <w:rFonts w:ascii="Times New Roman" w:hAnsi="Times New Roman" w:cs="Times New Roman"/>
          <w:sz w:val="24"/>
          <w:szCs w:val="24"/>
        </w:rPr>
        <w:t>60</w:t>
      </w:r>
      <w:r w:rsidR="00797E86" w:rsidRPr="001D2FC5">
        <w:rPr>
          <w:rFonts w:ascii="Times New Roman" w:hAnsi="Times New Roman" w:cs="Times New Roman"/>
          <w:sz w:val="24"/>
          <w:szCs w:val="24"/>
        </w:rPr>
        <w:t>,</w:t>
      </w:r>
      <w:r w:rsidR="009758F1" w:rsidRPr="00F34A78">
        <w:rPr>
          <w:rFonts w:ascii="Times New Roman" w:hAnsi="Times New Roman" w:cs="Times New Roman"/>
          <w:sz w:val="24"/>
          <w:szCs w:val="24"/>
        </w:rPr>
        <w:t xml:space="preserve"> 61</w:t>
      </w:r>
      <w:r w:rsidR="00797E86" w:rsidRPr="001D2FC5">
        <w:rPr>
          <w:rFonts w:ascii="Times New Roman" w:hAnsi="Times New Roman" w:cs="Times New Roman"/>
          <w:sz w:val="24"/>
          <w:szCs w:val="24"/>
        </w:rPr>
        <w:t>].</w:t>
      </w:r>
      <w:r w:rsidR="00797E86" w:rsidRPr="00797E86">
        <w:rPr>
          <w:rFonts w:ascii="Times New Roman" w:hAnsi="Times New Roman" w:cs="Times New Roman"/>
          <w:sz w:val="24"/>
          <w:szCs w:val="24"/>
          <w:highlight w:val="green"/>
        </w:rPr>
        <w:t xml:space="preserve"> </w:t>
      </w:r>
    </w:p>
    <w:p w14:paraId="1744212C" w14:textId="77777777" w:rsidR="006371EC" w:rsidRDefault="005071AC" w:rsidP="00803ABC">
      <w:pPr>
        <w:spacing w:line="360" w:lineRule="auto"/>
        <w:jc w:val="both"/>
        <w:rPr>
          <w:rFonts w:ascii="Times New Roman" w:hAnsi="Times New Roman" w:cs="Times New Roman"/>
          <w:sz w:val="24"/>
          <w:szCs w:val="24"/>
        </w:rPr>
      </w:pPr>
      <w:r>
        <w:rPr>
          <w:rFonts w:ascii="Times New Roman" w:hAnsi="Times New Roman" w:cs="Times New Roman"/>
          <w:sz w:val="24"/>
          <w:szCs w:val="24"/>
        </w:rPr>
        <w:t>According to different studies technological changes and variation of the energy mix, particularly within the industrial sector</w:t>
      </w:r>
      <w:r w:rsidR="00261F1D">
        <w:rPr>
          <w:rFonts w:ascii="Times New Roman" w:hAnsi="Times New Roman" w:cs="Times New Roman"/>
          <w:sz w:val="24"/>
          <w:szCs w:val="24"/>
        </w:rPr>
        <w:t>,</w:t>
      </w:r>
      <w:r>
        <w:rPr>
          <w:rFonts w:ascii="Times New Roman" w:hAnsi="Times New Roman" w:cs="Times New Roman"/>
          <w:sz w:val="24"/>
          <w:szCs w:val="24"/>
        </w:rPr>
        <w:t xml:space="preserve"> have been the main responsible</w:t>
      </w:r>
      <w:r w:rsidR="001D2FC5">
        <w:rPr>
          <w:rFonts w:ascii="Times New Roman" w:hAnsi="Times New Roman" w:cs="Times New Roman"/>
          <w:sz w:val="24"/>
          <w:szCs w:val="24"/>
        </w:rPr>
        <w:t xml:space="preserve"> factors</w:t>
      </w:r>
      <w:r>
        <w:rPr>
          <w:rFonts w:ascii="Times New Roman" w:hAnsi="Times New Roman" w:cs="Times New Roman"/>
          <w:sz w:val="24"/>
          <w:szCs w:val="24"/>
        </w:rPr>
        <w:t xml:space="preserve"> for </w:t>
      </w:r>
      <w:r w:rsidR="00261F1D">
        <w:rPr>
          <w:rFonts w:ascii="Times New Roman" w:hAnsi="Times New Roman" w:cs="Times New Roman"/>
          <w:sz w:val="24"/>
          <w:szCs w:val="24"/>
        </w:rPr>
        <w:t xml:space="preserve">the </w:t>
      </w:r>
      <w:r>
        <w:rPr>
          <w:rFonts w:ascii="Times New Roman" w:hAnsi="Times New Roman" w:cs="Times New Roman"/>
          <w:sz w:val="24"/>
          <w:szCs w:val="24"/>
        </w:rPr>
        <w:t>energy intensity improvements in developing countries</w:t>
      </w:r>
      <w:r w:rsidR="00261F1D">
        <w:rPr>
          <w:rFonts w:ascii="Times New Roman" w:hAnsi="Times New Roman" w:cs="Times New Roman"/>
          <w:sz w:val="24"/>
          <w:szCs w:val="24"/>
        </w:rPr>
        <w:t xml:space="preserve"> that usually experience a convergence trend based on their initial efficiency level </w:t>
      </w:r>
      <w:r w:rsidR="002D6AD5">
        <w:rPr>
          <w:rFonts w:ascii="Times New Roman" w:hAnsi="Times New Roman" w:cs="Times New Roman"/>
          <w:sz w:val="24"/>
          <w:szCs w:val="24"/>
        </w:rPr>
        <w:t>[17, 62</w:t>
      </w:r>
      <w:r w:rsidR="00443C30">
        <w:rPr>
          <w:rFonts w:ascii="Times New Roman" w:hAnsi="Times New Roman" w:cs="Times New Roman"/>
          <w:sz w:val="24"/>
          <w:szCs w:val="24"/>
        </w:rPr>
        <w:t>]</w:t>
      </w:r>
      <w:r>
        <w:rPr>
          <w:rFonts w:ascii="Times New Roman" w:hAnsi="Times New Roman" w:cs="Times New Roman"/>
          <w:sz w:val="24"/>
          <w:szCs w:val="24"/>
        </w:rPr>
        <w:t>. Transition from the industrial to the less-energy intensive sectors based on service and</w:t>
      </w:r>
      <w:r w:rsidR="00DF620D">
        <w:rPr>
          <w:rFonts w:ascii="Times New Roman" w:hAnsi="Times New Roman" w:cs="Times New Roman"/>
          <w:sz w:val="24"/>
          <w:szCs w:val="24"/>
        </w:rPr>
        <w:t xml:space="preserve"> the</w:t>
      </w:r>
      <w:r>
        <w:rPr>
          <w:rFonts w:ascii="Times New Roman" w:hAnsi="Times New Roman" w:cs="Times New Roman"/>
          <w:sz w:val="24"/>
          <w:szCs w:val="24"/>
        </w:rPr>
        <w:t xml:space="preserve"> rising importance of the information technologies as drivers of economic growth are considered as some of the most important factor for the developed areas</w:t>
      </w:r>
      <w:r w:rsidR="001C36BC">
        <w:rPr>
          <w:rFonts w:ascii="Times New Roman" w:hAnsi="Times New Roman" w:cs="Times New Roman"/>
          <w:sz w:val="24"/>
          <w:szCs w:val="24"/>
        </w:rPr>
        <w:t xml:space="preserve"> </w:t>
      </w:r>
      <w:r w:rsidR="002D6AD5">
        <w:rPr>
          <w:rFonts w:ascii="Times New Roman" w:hAnsi="Times New Roman" w:cs="Times New Roman"/>
          <w:sz w:val="24"/>
          <w:szCs w:val="24"/>
        </w:rPr>
        <w:t>[63-65</w:t>
      </w:r>
      <w:r w:rsidR="00CE1271">
        <w:rPr>
          <w:rFonts w:ascii="Times New Roman" w:hAnsi="Times New Roman" w:cs="Times New Roman"/>
          <w:sz w:val="24"/>
          <w:szCs w:val="24"/>
        </w:rPr>
        <w:t>, 17</w:t>
      </w:r>
      <w:r w:rsidR="00443C30">
        <w:rPr>
          <w:rFonts w:ascii="Times New Roman" w:hAnsi="Times New Roman" w:cs="Times New Roman"/>
          <w:sz w:val="24"/>
          <w:szCs w:val="24"/>
        </w:rPr>
        <w:t>]</w:t>
      </w:r>
      <w:r>
        <w:rPr>
          <w:rFonts w:ascii="Times New Roman" w:hAnsi="Times New Roman" w:cs="Times New Roman"/>
          <w:sz w:val="24"/>
          <w:szCs w:val="24"/>
        </w:rPr>
        <w:t>.</w:t>
      </w:r>
    </w:p>
    <w:p w14:paraId="2BB94444" w14:textId="77777777" w:rsidR="00CE1271" w:rsidRDefault="00CE1271" w:rsidP="00803ABC">
      <w:pPr>
        <w:spacing w:after="0" w:line="360" w:lineRule="auto"/>
        <w:jc w:val="both"/>
        <w:rPr>
          <w:rFonts w:ascii="Times New Roman" w:hAnsi="Times New Roman" w:cs="Times New Roman"/>
          <w:b/>
          <w:sz w:val="24"/>
          <w:szCs w:val="24"/>
        </w:rPr>
      </w:pPr>
    </w:p>
    <w:p w14:paraId="7D7CAFC7" w14:textId="77777777" w:rsidR="005C084C" w:rsidRDefault="001C36BC" w:rsidP="00803ABC">
      <w:pPr>
        <w:spacing w:after="0" w:line="360" w:lineRule="auto"/>
        <w:jc w:val="both"/>
        <w:rPr>
          <w:rFonts w:ascii="Times New Roman" w:hAnsi="Times New Roman" w:cs="Times New Roman"/>
          <w:b/>
          <w:noProof/>
          <w:sz w:val="24"/>
          <w:szCs w:val="24"/>
          <w:lang w:val="en-US" w:eastAsia="it-IT"/>
        </w:rPr>
      </w:pPr>
      <w:r>
        <w:rPr>
          <w:rFonts w:ascii="Times New Roman" w:hAnsi="Times New Roman" w:cs="Times New Roman"/>
          <w:b/>
          <w:sz w:val="24"/>
          <w:szCs w:val="24"/>
        </w:rPr>
        <w:t>Figure 6</w:t>
      </w:r>
      <w:r w:rsidR="00791873">
        <w:rPr>
          <w:rFonts w:ascii="Times New Roman" w:hAnsi="Times New Roman" w:cs="Times New Roman"/>
          <w:b/>
          <w:sz w:val="24"/>
          <w:szCs w:val="24"/>
        </w:rPr>
        <w:t>a</w:t>
      </w:r>
      <w:r w:rsidR="00803ABC" w:rsidRPr="00803ABC">
        <w:rPr>
          <w:rFonts w:ascii="Times New Roman" w:hAnsi="Times New Roman" w:cs="Times New Roman"/>
          <w:b/>
          <w:sz w:val="24"/>
          <w:szCs w:val="24"/>
        </w:rPr>
        <w:t>. Driving forces of CO</w:t>
      </w:r>
      <w:r w:rsidR="00803ABC" w:rsidRPr="00803ABC">
        <w:rPr>
          <w:rFonts w:ascii="Times New Roman" w:hAnsi="Times New Roman" w:cs="Times New Roman"/>
          <w:b/>
          <w:sz w:val="24"/>
          <w:szCs w:val="24"/>
          <w:vertAlign w:val="subscript"/>
        </w:rPr>
        <w:t>2</w:t>
      </w:r>
      <w:r w:rsidR="00803ABC" w:rsidRPr="00803ABC">
        <w:rPr>
          <w:rFonts w:ascii="Times New Roman" w:hAnsi="Times New Roman" w:cs="Times New Roman"/>
          <w:b/>
          <w:sz w:val="24"/>
          <w:szCs w:val="24"/>
        </w:rPr>
        <w:t xml:space="preserve"> emissions</w:t>
      </w:r>
      <w:r w:rsidR="000F1BD6">
        <w:rPr>
          <w:rFonts w:ascii="Times New Roman" w:hAnsi="Times New Roman" w:cs="Times New Roman"/>
          <w:b/>
          <w:sz w:val="24"/>
          <w:szCs w:val="24"/>
        </w:rPr>
        <w:t xml:space="preserve"> </w:t>
      </w:r>
      <w:r w:rsidR="003E3171">
        <w:rPr>
          <w:rFonts w:ascii="Times New Roman" w:hAnsi="Times New Roman" w:cs="Times New Roman"/>
          <w:b/>
          <w:sz w:val="24"/>
          <w:szCs w:val="24"/>
        </w:rPr>
        <w:t>(Kilotons CO</w:t>
      </w:r>
      <w:r w:rsidR="003E3171" w:rsidRPr="003E3171">
        <w:rPr>
          <w:rFonts w:ascii="Times New Roman" w:hAnsi="Times New Roman" w:cs="Times New Roman"/>
          <w:b/>
          <w:sz w:val="24"/>
          <w:szCs w:val="24"/>
          <w:vertAlign w:val="subscript"/>
        </w:rPr>
        <w:t>2</w:t>
      </w:r>
      <w:r w:rsidR="003E3171">
        <w:rPr>
          <w:rFonts w:ascii="Times New Roman" w:hAnsi="Times New Roman" w:cs="Times New Roman"/>
          <w:b/>
          <w:sz w:val="24"/>
          <w:szCs w:val="24"/>
        </w:rPr>
        <w:t xml:space="preserve"> emissions)</w:t>
      </w:r>
      <w:r w:rsidR="003E3171" w:rsidRPr="003E3171">
        <w:rPr>
          <w:rFonts w:ascii="Times New Roman" w:hAnsi="Times New Roman" w:cs="Times New Roman"/>
          <w:b/>
          <w:noProof/>
          <w:sz w:val="24"/>
          <w:szCs w:val="24"/>
          <w:lang w:val="en-US" w:eastAsia="it-IT"/>
        </w:rPr>
        <w:t xml:space="preserve"> </w:t>
      </w:r>
    </w:p>
    <w:p w14:paraId="337065A5" w14:textId="77777777" w:rsidR="00803ABC" w:rsidRPr="00803ABC" w:rsidRDefault="00DC00CA" w:rsidP="00803ABC">
      <w:pPr>
        <w:spacing w:after="0" w:line="360" w:lineRule="auto"/>
        <w:jc w:val="both"/>
        <w:rPr>
          <w:rFonts w:ascii="Times New Roman" w:hAnsi="Times New Roman" w:cs="Times New Roman"/>
          <w:b/>
          <w:sz w:val="24"/>
          <w:szCs w:val="24"/>
        </w:rPr>
      </w:pPr>
      <w:r>
        <w:rPr>
          <w:noProof/>
          <w:lang w:val="it-IT" w:eastAsia="it-IT"/>
        </w:rPr>
        <w:drawing>
          <wp:inline distT="0" distB="0" distL="0" distR="0" wp14:anchorId="75DDECF7" wp14:editId="5DD8BD4F">
            <wp:extent cx="4572000" cy="3528204"/>
            <wp:effectExtent l="0" t="0" r="0" b="0"/>
            <wp:docPr id="2"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9F84A9F" w14:textId="77777777" w:rsidR="006371EC" w:rsidRDefault="001C36BC" w:rsidP="00803ABC">
      <w:pPr>
        <w:spacing w:after="0" w:line="360" w:lineRule="auto"/>
        <w:jc w:val="both"/>
        <w:rPr>
          <w:rFonts w:ascii="Times New Roman" w:hAnsi="Times New Roman" w:cs="Times New Roman"/>
          <w:sz w:val="20"/>
          <w:szCs w:val="20"/>
        </w:rPr>
      </w:pPr>
      <w:r>
        <w:rPr>
          <w:rFonts w:ascii="Times New Roman" w:hAnsi="Times New Roman" w:cs="Times New Roman"/>
          <w:sz w:val="20"/>
          <w:szCs w:val="20"/>
        </w:rPr>
        <w:t>Source: o</w:t>
      </w:r>
      <w:r w:rsidRPr="001C36BC">
        <w:rPr>
          <w:rFonts w:ascii="Times New Roman" w:hAnsi="Times New Roman" w:cs="Times New Roman"/>
          <w:sz w:val="20"/>
          <w:szCs w:val="20"/>
        </w:rPr>
        <w:t>ur elaboration</w:t>
      </w:r>
    </w:p>
    <w:p w14:paraId="4553B43E" w14:textId="77777777" w:rsidR="001C36BC" w:rsidRDefault="001C36BC" w:rsidP="00803ABC">
      <w:pPr>
        <w:spacing w:after="0" w:line="360" w:lineRule="auto"/>
        <w:jc w:val="both"/>
        <w:rPr>
          <w:rFonts w:ascii="Times New Roman" w:hAnsi="Times New Roman" w:cs="Times New Roman"/>
          <w:sz w:val="20"/>
          <w:szCs w:val="20"/>
        </w:rPr>
      </w:pPr>
    </w:p>
    <w:p w14:paraId="2272C565" w14:textId="77777777" w:rsidR="008B681D" w:rsidRDefault="008B681D" w:rsidP="00803ABC">
      <w:pPr>
        <w:spacing w:after="0" w:line="360" w:lineRule="auto"/>
        <w:jc w:val="both"/>
        <w:rPr>
          <w:rFonts w:ascii="Times New Roman" w:hAnsi="Times New Roman" w:cs="Times New Roman"/>
          <w:b/>
          <w:sz w:val="24"/>
          <w:szCs w:val="24"/>
        </w:rPr>
      </w:pPr>
    </w:p>
    <w:p w14:paraId="280B78C7" w14:textId="77777777" w:rsidR="008B681D" w:rsidRDefault="008B681D" w:rsidP="00803ABC">
      <w:pPr>
        <w:spacing w:after="0" w:line="360" w:lineRule="auto"/>
        <w:jc w:val="both"/>
        <w:rPr>
          <w:rFonts w:ascii="Times New Roman" w:hAnsi="Times New Roman" w:cs="Times New Roman"/>
          <w:b/>
          <w:sz w:val="24"/>
          <w:szCs w:val="24"/>
        </w:rPr>
      </w:pPr>
    </w:p>
    <w:p w14:paraId="5B252FE6" w14:textId="77777777" w:rsidR="008B681D" w:rsidRDefault="008B681D" w:rsidP="00803ABC">
      <w:pPr>
        <w:spacing w:after="0" w:line="360" w:lineRule="auto"/>
        <w:jc w:val="both"/>
        <w:rPr>
          <w:rFonts w:ascii="Times New Roman" w:hAnsi="Times New Roman" w:cs="Times New Roman"/>
          <w:b/>
          <w:sz w:val="24"/>
          <w:szCs w:val="24"/>
        </w:rPr>
      </w:pPr>
    </w:p>
    <w:p w14:paraId="3CAB80F1" w14:textId="77777777" w:rsidR="008B681D" w:rsidRDefault="008B681D" w:rsidP="00803ABC">
      <w:pPr>
        <w:spacing w:after="0" w:line="360" w:lineRule="auto"/>
        <w:jc w:val="both"/>
        <w:rPr>
          <w:rFonts w:ascii="Times New Roman" w:hAnsi="Times New Roman" w:cs="Times New Roman"/>
          <w:b/>
          <w:sz w:val="24"/>
          <w:szCs w:val="24"/>
        </w:rPr>
      </w:pPr>
    </w:p>
    <w:p w14:paraId="37367961" w14:textId="5F0596B4" w:rsidR="00DC00CA" w:rsidRPr="00803ABC" w:rsidRDefault="001C36BC" w:rsidP="00803AB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Figure 6</w:t>
      </w:r>
      <w:r w:rsidR="00791873">
        <w:rPr>
          <w:rFonts w:ascii="Times New Roman" w:hAnsi="Times New Roman" w:cs="Times New Roman"/>
          <w:b/>
          <w:sz w:val="24"/>
          <w:szCs w:val="24"/>
        </w:rPr>
        <w:t>b</w:t>
      </w:r>
      <w:r w:rsidR="00803ABC" w:rsidRPr="00803ABC">
        <w:rPr>
          <w:rFonts w:ascii="Times New Roman" w:hAnsi="Times New Roman" w:cs="Times New Roman"/>
          <w:b/>
          <w:sz w:val="24"/>
          <w:szCs w:val="24"/>
        </w:rPr>
        <w:t>. Driving forces of CO</w:t>
      </w:r>
      <w:r w:rsidR="00803ABC" w:rsidRPr="00803ABC">
        <w:rPr>
          <w:rFonts w:ascii="Times New Roman" w:hAnsi="Times New Roman" w:cs="Times New Roman"/>
          <w:b/>
          <w:sz w:val="24"/>
          <w:szCs w:val="24"/>
          <w:vertAlign w:val="subscript"/>
        </w:rPr>
        <w:t>2</w:t>
      </w:r>
      <w:r w:rsidR="00803ABC" w:rsidRPr="00803ABC">
        <w:rPr>
          <w:rFonts w:ascii="Times New Roman" w:hAnsi="Times New Roman" w:cs="Times New Roman"/>
          <w:b/>
          <w:sz w:val="24"/>
          <w:szCs w:val="24"/>
        </w:rPr>
        <w:t xml:space="preserve"> emissions</w:t>
      </w:r>
      <w:r w:rsidR="003E3171">
        <w:rPr>
          <w:rFonts w:ascii="Times New Roman" w:hAnsi="Times New Roman" w:cs="Times New Roman"/>
          <w:b/>
          <w:sz w:val="24"/>
          <w:szCs w:val="24"/>
        </w:rPr>
        <w:t xml:space="preserve"> (Kilotons CO</w:t>
      </w:r>
      <w:r w:rsidR="003E3171" w:rsidRPr="003E3171">
        <w:rPr>
          <w:rFonts w:ascii="Times New Roman" w:hAnsi="Times New Roman" w:cs="Times New Roman"/>
          <w:b/>
          <w:sz w:val="24"/>
          <w:szCs w:val="24"/>
          <w:vertAlign w:val="subscript"/>
        </w:rPr>
        <w:t>2</w:t>
      </w:r>
      <w:r w:rsidR="003E3171">
        <w:rPr>
          <w:rFonts w:ascii="Times New Roman" w:hAnsi="Times New Roman" w:cs="Times New Roman"/>
          <w:b/>
          <w:sz w:val="24"/>
          <w:szCs w:val="24"/>
        </w:rPr>
        <w:t xml:space="preserve"> emissions)</w:t>
      </w:r>
    </w:p>
    <w:p w14:paraId="3FDB4353" w14:textId="77777777" w:rsidR="00803ABC" w:rsidRPr="00803ABC" w:rsidRDefault="007251B5" w:rsidP="00803ABC">
      <w:pPr>
        <w:spacing w:after="0" w:line="360" w:lineRule="auto"/>
        <w:jc w:val="both"/>
        <w:rPr>
          <w:rFonts w:ascii="Times New Roman" w:hAnsi="Times New Roman" w:cs="Times New Roman"/>
          <w:b/>
          <w:sz w:val="24"/>
          <w:szCs w:val="24"/>
        </w:rPr>
      </w:pPr>
      <w:r>
        <w:rPr>
          <w:noProof/>
          <w:lang w:val="it-IT" w:eastAsia="it-IT"/>
        </w:rPr>
        <w:drawing>
          <wp:inline distT="0" distB="0" distL="0" distR="0" wp14:anchorId="5EE36A05" wp14:editId="5567385A">
            <wp:extent cx="4572000" cy="3228975"/>
            <wp:effectExtent l="0" t="0" r="0" b="0"/>
            <wp:docPr id="12" name="Gra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9B28CC2" w14:textId="77777777" w:rsidR="001C36BC" w:rsidRDefault="001C36BC" w:rsidP="001C36BC">
      <w:pPr>
        <w:spacing w:after="0" w:line="360" w:lineRule="auto"/>
        <w:jc w:val="both"/>
        <w:rPr>
          <w:rFonts w:ascii="Times New Roman" w:hAnsi="Times New Roman" w:cs="Times New Roman"/>
          <w:sz w:val="20"/>
          <w:szCs w:val="20"/>
        </w:rPr>
      </w:pPr>
      <w:r>
        <w:rPr>
          <w:rFonts w:ascii="Times New Roman" w:hAnsi="Times New Roman" w:cs="Times New Roman"/>
          <w:sz w:val="20"/>
          <w:szCs w:val="20"/>
        </w:rPr>
        <w:t>Source: o</w:t>
      </w:r>
      <w:r w:rsidRPr="001C36BC">
        <w:rPr>
          <w:rFonts w:ascii="Times New Roman" w:hAnsi="Times New Roman" w:cs="Times New Roman"/>
          <w:sz w:val="20"/>
          <w:szCs w:val="20"/>
        </w:rPr>
        <w:t>ur elaboration</w:t>
      </w:r>
    </w:p>
    <w:p w14:paraId="31CEE4DD" w14:textId="77777777" w:rsidR="00803ABC" w:rsidRDefault="00803ABC" w:rsidP="00803ABC">
      <w:pPr>
        <w:spacing w:after="0" w:line="360" w:lineRule="auto"/>
        <w:jc w:val="both"/>
        <w:rPr>
          <w:rFonts w:ascii="Times New Roman" w:hAnsi="Times New Roman" w:cs="Times New Roman"/>
          <w:b/>
          <w:sz w:val="24"/>
          <w:szCs w:val="24"/>
        </w:rPr>
      </w:pPr>
    </w:p>
    <w:p w14:paraId="692ECBD3" w14:textId="77777777" w:rsidR="00CE1271" w:rsidRPr="00803ABC" w:rsidRDefault="00CE1271" w:rsidP="00803ABC">
      <w:pPr>
        <w:spacing w:after="0" w:line="360" w:lineRule="auto"/>
        <w:jc w:val="both"/>
        <w:rPr>
          <w:rFonts w:ascii="Times New Roman" w:hAnsi="Times New Roman" w:cs="Times New Roman"/>
          <w:b/>
          <w:sz w:val="24"/>
          <w:szCs w:val="24"/>
        </w:rPr>
      </w:pPr>
    </w:p>
    <w:p w14:paraId="434E39D0" w14:textId="74736FA6" w:rsidR="00803ABC" w:rsidRDefault="001C36BC" w:rsidP="00803AB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Figure 6</w:t>
      </w:r>
      <w:r w:rsidR="00791873">
        <w:rPr>
          <w:rFonts w:ascii="Times New Roman" w:hAnsi="Times New Roman" w:cs="Times New Roman"/>
          <w:b/>
          <w:sz w:val="24"/>
          <w:szCs w:val="24"/>
        </w:rPr>
        <w:t>c</w:t>
      </w:r>
      <w:r w:rsidR="00803ABC" w:rsidRPr="00803ABC">
        <w:rPr>
          <w:rFonts w:ascii="Times New Roman" w:hAnsi="Times New Roman" w:cs="Times New Roman"/>
          <w:b/>
          <w:sz w:val="24"/>
          <w:szCs w:val="24"/>
        </w:rPr>
        <w:t>. Driving forces of CO</w:t>
      </w:r>
      <w:r w:rsidR="00803ABC" w:rsidRPr="00803ABC">
        <w:rPr>
          <w:rFonts w:ascii="Times New Roman" w:hAnsi="Times New Roman" w:cs="Times New Roman"/>
          <w:b/>
          <w:sz w:val="24"/>
          <w:szCs w:val="24"/>
          <w:vertAlign w:val="subscript"/>
        </w:rPr>
        <w:t>2</w:t>
      </w:r>
      <w:r w:rsidR="00803ABC" w:rsidRPr="00803ABC">
        <w:rPr>
          <w:rFonts w:ascii="Times New Roman" w:hAnsi="Times New Roman" w:cs="Times New Roman"/>
          <w:b/>
          <w:sz w:val="24"/>
          <w:szCs w:val="24"/>
        </w:rPr>
        <w:t xml:space="preserve"> emissions</w:t>
      </w:r>
      <w:r w:rsidR="003E3171">
        <w:rPr>
          <w:rFonts w:ascii="Times New Roman" w:hAnsi="Times New Roman" w:cs="Times New Roman"/>
          <w:b/>
          <w:sz w:val="24"/>
          <w:szCs w:val="24"/>
        </w:rPr>
        <w:t xml:space="preserve"> (Kilotons CO</w:t>
      </w:r>
      <w:r w:rsidR="003E3171" w:rsidRPr="003E3171">
        <w:rPr>
          <w:rFonts w:ascii="Times New Roman" w:hAnsi="Times New Roman" w:cs="Times New Roman"/>
          <w:b/>
          <w:sz w:val="24"/>
          <w:szCs w:val="24"/>
          <w:vertAlign w:val="subscript"/>
        </w:rPr>
        <w:t>2</w:t>
      </w:r>
      <w:r w:rsidR="003E3171">
        <w:rPr>
          <w:rFonts w:ascii="Times New Roman" w:hAnsi="Times New Roman" w:cs="Times New Roman"/>
          <w:b/>
          <w:sz w:val="24"/>
          <w:szCs w:val="24"/>
        </w:rPr>
        <w:t xml:space="preserve"> emissions)</w:t>
      </w:r>
    </w:p>
    <w:p w14:paraId="2B0CCA70" w14:textId="77777777" w:rsidR="00DC00CA" w:rsidRPr="00803ABC" w:rsidRDefault="00DC00CA" w:rsidP="00803ABC">
      <w:pPr>
        <w:spacing w:after="0" w:line="360" w:lineRule="auto"/>
        <w:jc w:val="both"/>
        <w:rPr>
          <w:rFonts w:ascii="Times New Roman" w:hAnsi="Times New Roman" w:cs="Times New Roman"/>
          <w:b/>
          <w:sz w:val="24"/>
          <w:szCs w:val="24"/>
        </w:rPr>
      </w:pPr>
      <w:r>
        <w:rPr>
          <w:noProof/>
          <w:lang w:val="it-IT" w:eastAsia="it-IT"/>
        </w:rPr>
        <w:drawing>
          <wp:inline distT="0" distB="0" distL="0" distR="0" wp14:anchorId="73E9BC2B" wp14:editId="68E4B7E7">
            <wp:extent cx="4572000" cy="2486024"/>
            <wp:effectExtent l="0" t="0" r="0" b="0"/>
            <wp:docPr id="8" name="Gra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4BEF76B" w14:textId="77777777" w:rsidR="001C36BC" w:rsidRDefault="001C36BC" w:rsidP="001C36BC">
      <w:pPr>
        <w:spacing w:after="0" w:line="360" w:lineRule="auto"/>
        <w:jc w:val="both"/>
        <w:rPr>
          <w:rFonts w:ascii="Times New Roman" w:hAnsi="Times New Roman" w:cs="Times New Roman"/>
          <w:sz w:val="20"/>
          <w:szCs w:val="20"/>
        </w:rPr>
      </w:pPr>
      <w:r>
        <w:rPr>
          <w:rFonts w:ascii="Times New Roman" w:hAnsi="Times New Roman" w:cs="Times New Roman"/>
          <w:sz w:val="20"/>
          <w:szCs w:val="20"/>
        </w:rPr>
        <w:t>Source: o</w:t>
      </w:r>
      <w:r w:rsidRPr="001C36BC">
        <w:rPr>
          <w:rFonts w:ascii="Times New Roman" w:hAnsi="Times New Roman" w:cs="Times New Roman"/>
          <w:sz w:val="20"/>
          <w:szCs w:val="20"/>
        </w:rPr>
        <w:t>ur elaboration</w:t>
      </w:r>
    </w:p>
    <w:p w14:paraId="1A7E7718" w14:textId="77777777" w:rsidR="008B681D" w:rsidRDefault="008B681D" w:rsidP="00791873">
      <w:pPr>
        <w:spacing w:after="0" w:line="360" w:lineRule="auto"/>
        <w:jc w:val="both"/>
        <w:rPr>
          <w:rFonts w:ascii="Times New Roman" w:hAnsi="Times New Roman" w:cs="Times New Roman"/>
          <w:b/>
          <w:sz w:val="24"/>
          <w:szCs w:val="24"/>
        </w:rPr>
      </w:pPr>
    </w:p>
    <w:p w14:paraId="00AB8985" w14:textId="77777777" w:rsidR="008B681D" w:rsidRDefault="008B681D" w:rsidP="00791873">
      <w:pPr>
        <w:spacing w:after="0" w:line="360" w:lineRule="auto"/>
        <w:jc w:val="both"/>
        <w:rPr>
          <w:rFonts w:ascii="Times New Roman" w:hAnsi="Times New Roman" w:cs="Times New Roman"/>
          <w:b/>
          <w:sz w:val="24"/>
          <w:szCs w:val="24"/>
        </w:rPr>
      </w:pPr>
    </w:p>
    <w:p w14:paraId="4FC776D3" w14:textId="77777777" w:rsidR="008B681D" w:rsidRDefault="008B681D" w:rsidP="00791873">
      <w:pPr>
        <w:spacing w:after="0" w:line="360" w:lineRule="auto"/>
        <w:jc w:val="both"/>
        <w:rPr>
          <w:rFonts w:ascii="Times New Roman" w:hAnsi="Times New Roman" w:cs="Times New Roman"/>
          <w:b/>
          <w:sz w:val="24"/>
          <w:szCs w:val="24"/>
        </w:rPr>
      </w:pPr>
    </w:p>
    <w:p w14:paraId="0799B155" w14:textId="77777777" w:rsidR="008B681D" w:rsidRDefault="008B681D" w:rsidP="00791873">
      <w:pPr>
        <w:spacing w:after="0" w:line="360" w:lineRule="auto"/>
        <w:jc w:val="both"/>
        <w:rPr>
          <w:rFonts w:ascii="Times New Roman" w:hAnsi="Times New Roman" w:cs="Times New Roman"/>
          <w:b/>
          <w:sz w:val="24"/>
          <w:szCs w:val="24"/>
        </w:rPr>
      </w:pPr>
    </w:p>
    <w:p w14:paraId="4D267759" w14:textId="32266FBF" w:rsidR="00791873" w:rsidRDefault="00791873" w:rsidP="0079187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Figure 6d.</w:t>
      </w:r>
      <w:r w:rsidRPr="00791873">
        <w:rPr>
          <w:rFonts w:ascii="Times New Roman" w:hAnsi="Times New Roman" w:cs="Times New Roman"/>
          <w:b/>
          <w:sz w:val="24"/>
          <w:szCs w:val="24"/>
        </w:rPr>
        <w:t xml:space="preserve"> </w:t>
      </w:r>
      <w:r w:rsidRPr="00803ABC">
        <w:rPr>
          <w:rFonts w:ascii="Times New Roman" w:hAnsi="Times New Roman" w:cs="Times New Roman"/>
          <w:b/>
          <w:sz w:val="24"/>
          <w:szCs w:val="24"/>
        </w:rPr>
        <w:t>Driving forces of CO</w:t>
      </w:r>
      <w:r w:rsidRPr="00803ABC">
        <w:rPr>
          <w:rFonts w:ascii="Times New Roman" w:hAnsi="Times New Roman" w:cs="Times New Roman"/>
          <w:b/>
          <w:sz w:val="24"/>
          <w:szCs w:val="24"/>
          <w:vertAlign w:val="subscript"/>
        </w:rPr>
        <w:t>2</w:t>
      </w:r>
      <w:r w:rsidRPr="00803ABC">
        <w:rPr>
          <w:rFonts w:ascii="Times New Roman" w:hAnsi="Times New Roman" w:cs="Times New Roman"/>
          <w:b/>
          <w:sz w:val="24"/>
          <w:szCs w:val="24"/>
        </w:rPr>
        <w:t xml:space="preserve"> emissions</w:t>
      </w:r>
      <w:r>
        <w:rPr>
          <w:rFonts w:ascii="Times New Roman" w:hAnsi="Times New Roman" w:cs="Times New Roman"/>
          <w:b/>
          <w:sz w:val="24"/>
          <w:szCs w:val="24"/>
        </w:rPr>
        <w:t xml:space="preserve"> (Kilotons CO</w:t>
      </w:r>
      <w:r w:rsidRPr="003E3171">
        <w:rPr>
          <w:rFonts w:ascii="Times New Roman" w:hAnsi="Times New Roman" w:cs="Times New Roman"/>
          <w:b/>
          <w:sz w:val="24"/>
          <w:szCs w:val="24"/>
          <w:vertAlign w:val="subscript"/>
        </w:rPr>
        <w:t>2</w:t>
      </w:r>
      <w:r>
        <w:rPr>
          <w:rFonts w:ascii="Times New Roman" w:hAnsi="Times New Roman" w:cs="Times New Roman"/>
          <w:b/>
          <w:sz w:val="24"/>
          <w:szCs w:val="24"/>
        </w:rPr>
        <w:t xml:space="preserve"> emissions) (2000-2008 for Brazil and 2004-2008 for India)</w:t>
      </w:r>
    </w:p>
    <w:p w14:paraId="57BD6301" w14:textId="77777777" w:rsidR="006371EC" w:rsidRDefault="003B23DD" w:rsidP="00803ABC">
      <w:pPr>
        <w:spacing w:line="360" w:lineRule="auto"/>
        <w:jc w:val="both"/>
        <w:rPr>
          <w:rFonts w:ascii="Times New Roman" w:hAnsi="Times New Roman" w:cs="Times New Roman"/>
          <w:b/>
          <w:sz w:val="24"/>
          <w:szCs w:val="24"/>
        </w:rPr>
      </w:pPr>
      <w:r>
        <w:rPr>
          <w:noProof/>
          <w:lang w:val="it-IT" w:eastAsia="it-IT"/>
        </w:rPr>
        <w:drawing>
          <wp:inline distT="0" distB="0" distL="0" distR="0" wp14:anchorId="2970038B" wp14:editId="4944B12E">
            <wp:extent cx="4667250" cy="2466975"/>
            <wp:effectExtent l="0" t="0" r="0" b="0"/>
            <wp:docPr id="5" name="Gra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78BF6C1" w14:textId="77777777" w:rsidR="003B23DD" w:rsidRDefault="003B23DD" w:rsidP="00803ABC">
      <w:pPr>
        <w:spacing w:line="360" w:lineRule="auto"/>
        <w:jc w:val="both"/>
        <w:rPr>
          <w:rFonts w:ascii="Times New Roman" w:hAnsi="Times New Roman" w:cs="Times New Roman"/>
          <w:b/>
          <w:sz w:val="24"/>
          <w:szCs w:val="24"/>
        </w:rPr>
      </w:pPr>
    </w:p>
    <w:p w14:paraId="6F861856" w14:textId="77777777" w:rsidR="00803ABC" w:rsidRPr="002A02DA" w:rsidRDefault="00AA2690" w:rsidP="00D04448">
      <w:pPr>
        <w:pStyle w:val="Paragrafoelenco"/>
        <w:numPr>
          <w:ilvl w:val="0"/>
          <w:numId w:val="6"/>
        </w:numPr>
        <w:spacing w:line="360" w:lineRule="auto"/>
        <w:jc w:val="both"/>
        <w:rPr>
          <w:rFonts w:ascii="Times New Roman" w:hAnsi="Times New Roman" w:cs="Times New Roman"/>
          <w:b/>
          <w:sz w:val="24"/>
          <w:szCs w:val="24"/>
        </w:rPr>
      </w:pPr>
      <w:r w:rsidRPr="002A02DA">
        <w:rPr>
          <w:rFonts w:ascii="Times New Roman" w:hAnsi="Times New Roman" w:cs="Times New Roman"/>
          <w:b/>
          <w:sz w:val="24"/>
          <w:szCs w:val="24"/>
        </w:rPr>
        <w:t>Limitations and future development:</w:t>
      </w:r>
    </w:p>
    <w:p w14:paraId="06608D5D" w14:textId="3CDF14C9" w:rsidR="004A776E" w:rsidRPr="004A776E" w:rsidRDefault="002A02DA" w:rsidP="004A776E">
      <w:pPr>
        <w:spacing w:line="360" w:lineRule="auto"/>
        <w:jc w:val="both"/>
        <w:rPr>
          <w:rFonts w:ascii="Arial Unicode MS" w:eastAsia="Arial Unicode MS" w:hAnsi="Arial Unicode MS" w:cs="Arial Unicode MS"/>
          <w:color w:val="2E2E2E"/>
          <w:sz w:val="20"/>
          <w:szCs w:val="20"/>
          <w:lang w:eastAsia="en-GB"/>
        </w:rPr>
      </w:pPr>
      <w:r w:rsidRPr="002A02DA">
        <w:rPr>
          <w:rFonts w:ascii="Times New Roman" w:hAnsi="Times New Roman" w:cs="Times New Roman"/>
          <w:sz w:val="24"/>
          <w:szCs w:val="24"/>
          <w:lang w:val="en-US"/>
        </w:rPr>
        <w:t xml:space="preserve">The analysis presented </w:t>
      </w:r>
      <w:r w:rsidR="00B6392C">
        <w:rPr>
          <w:rFonts w:ascii="Times New Roman" w:hAnsi="Times New Roman" w:cs="Times New Roman"/>
          <w:sz w:val="24"/>
          <w:szCs w:val="24"/>
          <w:lang w:val="en-US"/>
        </w:rPr>
        <w:t>in this paper</w:t>
      </w:r>
      <w:r w:rsidR="00975AF8">
        <w:rPr>
          <w:rFonts w:ascii="Times New Roman" w:hAnsi="Times New Roman" w:cs="Times New Roman"/>
          <w:sz w:val="24"/>
          <w:szCs w:val="24"/>
          <w:lang w:val="en-US"/>
        </w:rPr>
        <w:t xml:space="preserve"> investigate</w:t>
      </w:r>
      <w:r w:rsidR="00B6392C">
        <w:rPr>
          <w:rFonts w:ascii="Times New Roman" w:hAnsi="Times New Roman" w:cs="Times New Roman"/>
          <w:sz w:val="24"/>
          <w:szCs w:val="24"/>
          <w:lang w:val="en-US"/>
        </w:rPr>
        <w:t>s</w:t>
      </w:r>
      <w:r w:rsidR="00975AF8">
        <w:rPr>
          <w:rFonts w:ascii="Times New Roman" w:hAnsi="Times New Roman" w:cs="Times New Roman"/>
          <w:sz w:val="24"/>
          <w:szCs w:val="24"/>
          <w:lang w:val="en-US"/>
        </w:rPr>
        <w:t xml:space="preserve"> the main factors influencing the carbon dioxide emission variations </w:t>
      </w:r>
      <w:r w:rsidRPr="002A02DA">
        <w:rPr>
          <w:rFonts w:ascii="Times New Roman" w:hAnsi="Times New Roman" w:cs="Times New Roman"/>
          <w:sz w:val="24"/>
          <w:szCs w:val="24"/>
          <w:lang w:val="en-US"/>
        </w:rPr>
        <w:t>that</w:t>
      </w:r>
      <w:r w:rsidR="00975AF8">
        <w:rPr>
          <w:rFonts w:ascii="Times New Roman" w:hAnsi="Times New Roman" w:cs="Times New Roman"/>
          <w:sz w:val="24"/>
          <w:szCs w:val="24"/>
          <w:lang w:val="en-US"/>
        </w:rPr>
        <w:t xml:space="preserve"> took place in 31 world countries between 1995 and 2007.</w:t>
      </w:r>
      <w:r w:rsidR="00B6392C">
        <w:rPr>
          <w:rFonts w:ascii="Times New Roman" w:hAnsi="Times New Roman" w:cs="Times New Roman"/>
          <w:sz w:val="24"/>
          <w:szCs w:val="24"/>
          <w:lang w:val="en-US"/>
        </w:rPr>
        <w:t xml:space="preserve"> The main results show that GDP growth has been the main element responsible for CO</w:t>
      </w:r>
      <w:r w:rsidR="00B6392C" w:rsidRPr="00B6392C">
        <w:rPr>
          <w:rFonts w:ascii="Times New Roman" w:hAnsi="Times New Roman" w:cs="Times New Roman"/>
          <w:sz w:val="24"/>
          <w:szCs w:val="24"/>
          <w:vertAlign w:val="subscript"/>
          <w:lang w:val="en-US"/>
        </w:rPr>
        <w:t>2</w:t>
      </w:r>
      <w:r w:rsidR="00B6392C">
        <w:rPr>
          <w:rFonts w:ascii="Times New Roman" w:hAnsi="Times New Roman" w:cs="Times New Roman"/>
          <w:sz w:val="24"/>
          <w:szCs w:val="24"/>
          <w:lang w:val="en-US"/>
        </w:rPr>
        <w:t xml:space="preserve"> emissions increase in all the countries considered in this paper.</w:t>
      </w:r>
      <w:r w:rsidR="00975AF8">
        <w:rPr>
          <w:rFonts w:ascii="Times New Roman" w:hAnsi="Times New Roman" w:cs="Times New Roman"/>
          <w:sz w:val="24"/>
          <w:szCs w:val="24"/>
          <w:lang w:val="en-US"/>
        </w:rPr>
        <w:t xml:space="preserve"> </w:t>
      </w:r>
      <w:r w:rsidRPr="002A02DA">
        <w:rPr>
          <w:rFonts w:ascii="Times New Roman" w:hAnsi="Times New Roman" w:cs="Times New Roman"/>
          <w:sz w:val="24"/>
          <w:szCs w:val="24"/>
          <w:lang w:val="en-US"/>
        </w:rPr>
        <w:t xml:space="preserve"> </w:t>
      </w:r>
      <w:r w:rsidR="00B6392C">
        <w:rPr>
          <w:rFonts w:ascii="Times New Roman" w:hAnsi="Times New Roman" w:cs="Times New Roman"/>
          <w:sz w:val="24"/>
          <w:szCs w:val="24"/>
          <w:lang w:val="en-US"/>
        </w:rPr>
        <w:t>That is because the</w:t>
      </w:r>
      <w:r w:rsidR="00975AF8">
        <w:rPr>
          <w:rFonts w:ascii="Times New Roman" w:hAnsi="Times New Roman" w:cs="Times New Roman"/>
          <w:sz w:val="24"/>
          <w:szCs w:val="24"/>
          <w:lang w:val="en-US"/>
        </w:rPr>
        <w:t xml:space="preserve"> </w:t>
      </w:r>
      <w:r w:rsidR="00B6392C">
        <w:rPr>
          <w:rFonts w:ascii="Times New Roman" w:hAnsi="Times New Roman" w:cs="Times New Roman"/>
          <w:sz w:val="24"/>
          <w:szCs w:val="24"/>
          <w:lang w:val="en-US"/>
        </w:rPr>
        <w:t xml:space="preserve">twelve years of analysis have </w:t>
      </w:r>
      <w:r w:rsidR="00975AF8">
        <w:rPr>
          <w:rFonts w:ascii="Times New Roman" w:hAnsi="Times New Roman" w:cs="Times New Roman"/>
          <w:sz w:val="24"/>
          <w:szCs w:val="24"/>
          <w:lang w:val="en-US"/>
        </w:rPr>
        <w:t>been mainly characterized by a positive economic growth trend with some exceptional economic boom i</w:t>
      </w:r>
      <w:r w:rsidR="00B6392C">
        <w:rPr>
          <w:rFonts w:ascii="Times New Roman" w:hAnsi="Times New Roman" w:cs="Times New Roman"/>
          <w:sz w:val="24"/>
          <w:szCs w:val="24"/>
          <w:lang w:val="en-US"/>
        </w:rPr>
        <w:t>n countries as China, Estonia and Ireland. For</w:t>
      </w:r>
      <w:r w:rsidR="001023A5">
        <w:rPr>
          <w:rFonts w:ascii="Times New Roman" w:hAnsi="Times New Roman" w:cs="Times New Roman"/>
          <w:sz w:val="24"/>
          <w:szCs w:val="24"/>
          <w:lang w:val="en-US"/>
        </w:rPr>
        <w:t xml:space="preserve"> these countries the ES effect, that summarizes</w:t>
      </w:r>
      <w:r w:rsidR="00B6392C">
        <w:rPr>
          <w:rFonts w:ascii="Times New Roman" w:hAnsi="Times New Roman" w:cs="Times New Roman"/>
          <w:sz w:val="24"/>
          <w:szCs w:val="24"/>
          <w:lang w:val="en-US"/>
        </w:rPr>
        <w:t xml:space="preserve"> the </w:t>
      </w:r>
      <w:r w:rsidR="001023A5">
        <w:rPr>
          <w:rFonts w:ascii="Times New Roman" w:hAnsi="Times New Roman" w:cs="Times New Roman"/>
          <w:sz w:val="24"/>
          <w:szCs w:val="24"/>
          <w:lang w:val="en-US"/>
        </w:rPr>
        <w:t xml:space="preserve">relative position of a country to the </w:t>
      </w:r>
      <w:r w:rsidR="001D2FC5">
        <w:rPr>
          <w:rFonts w:ascii="Times New Roman" w:hAnsi="Times New Roman" w:cs="Times New Roman"/>
          <w:sz w:val="24"/>
          <w:szCs w:val="24"/>
          <w:lang w:val="en-US"/>
        </w:rPr>
        <w:t>g</w:t>
      </w:r>
      <w:r w:rsidR="00F34A78">
        <w:rPr>
          <w:rFonts w:ascii="Times New Roman" w:hAnsi="Times New Roman" w:cs="Times New Roman"/>
          <w:sz w:val="24"/>
          <w:szCs w:val="24"/>
          <w:lang w:val="en-US"/>
        </w:rPr>
        <w:t>l</w:t>
      </w:r>
      <w:r w:rsidR="001D2FC5">
        <w:rPr>
          <w:rFonts w:ascii="Times New Roman" w:hAnsi="Times New Roman" w:cs="Times New Roman"/>
          <w:sz w:val="24"/>
          <w:szCs w:val="24"/>
          <w:lang w:val="en-US"/>
        </w:rPr>
        <w:t xml:space="preserve">obal </w:t>
      </w:r>
      <w:r w:rsidR="001023A5">
        <w:rPr>
          <w:rFonts w:ascii="Times New Roman" w:hAnsi="Times New Roman" w:cs="Times New Roman"/>
          <w:sz w:val="24"/>
          <w:szCs w:val="24"/>
          <w:lang w:val="en-US"/>
        </w:rPr>
        <w:t>GDP generation, has been the largest contributors to the CO</w:t>
      </w:r>
      <w:r w:rsidR="001023A5" w:rsidRPr="001023A5">
        <w:rPr>
          <w:rFonts w:ascii="Times New Roman" w:hAnsi="Times New Roman" w:cs="Times New Roman"/>
          <w:sz w:val="24"/>
          <w:szCs w:val="24"/>
          <w:vertAlign w:val="subscript"/>
          <w:lang w:val="en-US"/>
        </w:rPr>
        <w:t>2</w:t>
      </w:r>
      <w:r w:rsidR="001023A5">
        <w:rPr>
          <w:rFonts w:ascii="Times New Roman" w:hAnsi="Times New Roman" w:cs="Times New Roman"/>
          <w:sz w:val="24"/>
          <w:szCs w:val="24"/>
          <w:lang w:val="en-US"/>
        </w:rPr>
        <w:t xml:space="preserve"> emission increase. To further investigate the role play</w:t>
      </w:r>
      <w:r w:rsidR="00530BE6">
        <w:rPr>
          <w:rFonts w:ascii="Times New Roman" w:hAnsi="Times New Roman" w:cs="Times New Roman"/>
          <w:sz w:val="24"/>
          <w:szCs w:val="24"/>
          <w:lang w:val="en-US"/>
        </w:rPr>
        <w:t>ed</w:t>
      </w:r>
      <w:r w:rsidR="001023A5">
        <w:rPr>
          <w:rFonts w:ascii="Times New Roman" w:hAnsi="Times New Roman" w:cs="Times New Roman"/>
          <w:sz w:val="24"/>
          <w:szCs w:val="24"/>
          <w:lang w:val="en-US"/>
        </w:rPr>
        <w:t xml:space="preserve"> by GDP production, an interesting development of this study could be to perform a decomposition analysis for the period beyond 2007. As soon as data will be available a similar exercise </w:t>
      </w:r>
      <w:r w:rsidR="001D2FC5">
        <w:rPr>
          <w:rFonts w:ascii="Times New Roman" w:hAnsi="Times New Roman" w:cs="Times New Roman"/>
          <w:sz w:val="24"/>
          <w:szCs w:val="24"/>
          <w:lang w:val="en-US"/>
        </w:rPr>
        <w:t xml:space="preserve">will </w:t>
      </w:r>
      <w:r w:rsidR="001023A5">
        <w:rPr>
          <w:rFonts w:ascii="Times New Roman" w:hAnsi="Times New Roman" w:cs="Times New Roman"/>
          <w:sz w:val="24"/>
          <w:szCs w:val="24"/>
          <w:lang w:val="en-US"/>
        </w:rPr>
        <w:t>be done for the years of the financial crisis and the subsequent economic recession</w:t>
      </w:r>
      <w:r w:rsidR="001C36BC">
        <w:rPr>
          <w:rFonts w:ascii="Times New Roman" w:hAnsi="Times New Roman" w:cs="Times New Roman"/>
          <w:sz w:val="24"/>
          <w:szCs w:val="24"/>
          <w:lang w:val="en-US"/>
        </w:rPr>
        <w:t xml:space="preserve">. </w:t>
      </w:r>
      <w:r w:rsidR="00975AF8" w:rsidRPr="004A776E">
        <w:rPr>
          <w:rFonts w:ascii="Times New Roman" w:hAnsi="Times New Roman" w:cs="Times New Roman"/>
          <w:sz w:val="24"/>
          <w:szCs w:val="24"/>
          <w:lang w:val="en-US"/>
        </w:rPr>
        <w:t>According to data provided by</w:t>
      </w:r>
      <w:r w:rsidR="004A776E" w:rsidRPr="004A776E">
        <w:rPr>
          <w:rFonts w:ascii="Times New Roman" w:hAnsi="Times New Roman" w:cs="Times New Roman"/>
          <w:sz w:val="24"/>
          <w:szCs w:val="24"/>
          <w:lang w:val="en-US"/>
        </w:rPr>
        <w:t xml:space="preserve"> </w:t>
      </w:r>
      <w:r w:rsidR="002D6AD5">
        <w:rPr>
          <w:rFonts w:ascii="Times New Roman" w:hAnsi="Times New Roman" w:cs="Times New Roman"/>
          <w:sz w:val="24"/>
          <w:szCs w:val="24"/>
          <w:lang w:val="en-US"/>
        </w:rPr>
        <w:t>[66</w:t>
      </w:r>
      <w:r w:rsidR="00EF105E">
        <w:rPr>
          <w:rFonts w:ascii="Times New Roman" w:hAnsi="Times New Roman" w:cs="Times New Roman"/>
          <w:sz w:val="24"/>
          <w:szCs w:val="24"/>
          <w:lang w:val="en-US"/>
        </w:rPr>
        <w:t>]</w:t>
      </w:r>
      <w:r w:rsidR="00791873">
        <w:rPr>
          <w:rFonts w:ascii="Times New Roman" w:hAnsi="Times New Roman" w:cs="Times New Roman"/>
          <w:sz w:val="24"/>
          <w:szCs w:val="24"/>
          <w:lang w:val="en-US"/>
        </w:rPr>
        <w:t>,</w:t>
      </w:r>
      <w:r w:rsidR="004A776E" w:rsidRPr="004A776E">
        <w:rPr>
          <w:rFonts w:ascii="Times New Roman" w:hAnsi="Times New Roman" w:cs="Times New Roman"/>
          <w:sz w:val="24"/>
          <w:szCs w:val="24"/>
          <w:lang w:val="en-US"/>
        </w:rPr>
        <w:t xml:space="preserve"> the total CO</w:t>
      </w:r>
      <w:r w:rsidR="004A776E" w:rsidRPr="004A776E">
        <w:rPr>
          <w:rFonts w:ascii="Times New Roman" w:hAnsi="Times New Roman" w:cs="Times New Roman"/>
          <w:sz w:val="24"/>
          <w:szCs w:val="24"/>
          <w:vertAlign w:val="subscript"/>
          <w:lang w:val="en-US"/>
        </w:rPr>
        <w:t>2</w:t>
      </w:r>
      <w:r w:rsidR="004A776E" w:rsidRPr="004A776E">
        <w:rPr>
          <w:rFonts w:ascii="Times New Roman" w:hAnsi="Times New Roman" w:cs="Times New Roman"/>
          <w:sz w:val="24"/>
          <w:szCs w:val="24"/>
          <w:lang w:val="en-US"/>
        </w:rPr>
        <w:t xml:space="preserve"> emissions from the energy sectors stalled in 2014 for the first time in 40 years.</w:t>
      </w:r>
      <w:r w:rsidR="004A776E">
        <w:rPr>
          <w:rFonts w:ascii="Times New Roman" w:hAnsi="Times New Roman" w:cs="Times New Roman"/>
          <w:sz w:val="24"/>
          <w:szCs w:val="24"/>
          <w:lang w:val="en-US"/>
        </w:rPr>
        <w:t xml:space="preserve"> The main reasons seem</w:t>
      </w:r>
      <w:r w:rsidR="004A776E" w:rsidRPr="004A776E">
        <w:rPr>
          <w:rFonts w:ascii="Times New Roman" w:hAnsi="Times New Roman" w:cs="Times New Roman"/>
          <w:sz w:val="24"/>
          <w:szCs w:val="24"/>
          <w:lang w:val="en-US"/>
        </w:rPr>
        <w:t xml:space="preserve"> to be related to the global economic downturn and </w:t>
      </w:r>
      <w:r w:rsidR="00DF620D">
        <w:rPr>
          <w:rFonts w:ascii="Times New Roman" w:hAnsi="Times New Roman" w:cs="Times New Roman"/>
          <w:sz w:val="24"/>
          <w:szCs w:val="24"/>
          <w:lang w:val="en-US"/>
        </w:rPr>
        <w:t xml:space="preserve">to the </w:t>
      </w:r>
      <w:r w:rsidR="004A776E" w:rsidRPr="004A776E">
        <w:rPr>
          <w:rFonts w:ascii="Times New Roman" w:hAnsi="Times New Roman" w:cs="Times New Roman"/>
          <w:sz w:val="24"/>
          <w:szCs w:val="24"/>
          <w:lang w:val="en-US"/>
        </w:rPr>
        <w:t>changed patterns of energy consumption in China and OECD</w:t>
      </w:r>
      <w:r w:rsidR="004A776E">
        <w:rPr>
          <w:rFonts w:ascii="Times New Roman" w:hAnsi="Times New Roman" w:cs="Times New Roman"/>
          <w:sz w:val="24"/>
          <w:szCs w:val="24"/>
          <w:lang w:val="en-US"/>
        </w:rPr>
        <w:t xml:space="preserve">. </w:t>
      </w:r>
      <w:r w:rsidRPr="002A02DA">
        <w:rPr>
          <w:rFonts w:ascii="Times New Roman" w:hAnsi="Times New Roman" w:cs="Times New Roman"/>
          <w:sz w:val="24"/>
          <w:szCs w:val="24"/>
          <w:lang w:val="en-US"/>
        </w:rPr>
        <w:t>Contrasting</w:t>
      </w:r>
      <w:r w:rsidR="00F96C93">
        <w:rPr>
          <w:rFonts w:ascii="Times New Roman" w:hAnsi="Times New Roman" w:cs="Times New Roman"/>
          <w:sz w:val="24"/>
          <w:szCs w:val="24"/>
          <w:lang w:val="en-US"/>
        </w:rPr>
        <w:t xml:space="preserve"> the</w:t>
      </w:r>
      <w:r w:rsidRPr="002A02DA">
        <w:rPr>
          <w:rFonts w:ascii="Times New Roman" w:hAnsi="Times New Roman" w:cs="Times New Roman"/>
          <w:sz w:val="24"/>
          <w:szCs w:val="24"/>
          <w:lang w:val="en-US"/>
        </w:rPr>
        <w:t xml:space="preserve"> time periods </w:t>
      </w:r>
      <w:r w:rsidR="00F96C93">
        <w:rPr>
          <w:rFonts w:ascii="Times New Roman" w:hAnsi="Times New Roman" w:cs="Times New Roman"/>
          <w:sz w:val="24"/>
          <w:szCs w:val="24"/>
          <w:lang w:val="en-US"/>
        </w:rPr>
        <w:t xml:space="preserve">before, during and after the recession </w:t>
      </w:r>
      <w:r w:rsidRPr="002A02DA">
        <w:rPr>
          <w:rFonts w:ascii="Times New Roman" w:hAnsi="Times New Roman" w:cs="Times New Roman"/>
          <w:sz w:val="24"/>
          <w:szCs w:val="24"/>
          <w:lang w:val="en-US"/>
        </w:rPr>
        <w:t>will be very revealing of the impacts</w:t>
      </w:r>
      <w:r w:rsidR="00F96C93">
        <w:rPr>
          <w:rFonts w:ascii="Times New Roman" w:hAnsi="Times New Roman" w:cs="Times New Roman"/>
          <w:sz w:val="24"/>
          <w:szCs w:val="24"/>
          <w:lang w:val="en-US"/>
        </w:rPr>
        <w:t xml:space="preserve"> of economic trends</w:t>
      </w:r>
      <w:r w:rsidRPr="002A02DA">
        <w:rPr>
          <w:rFonts w:ascii="Times New Roman" w:hAnsi="Times New Roman" w:cs="Times New Roman"/>
          <w:sz w:val="24"/>
          <w:szCs w:val="24"/>
          <w:lang w:val="en-US"/>
        </w:rPr>
        <w:t xml:space="preserve"> on CO</w:t>
      </w:r>
      <w:r w:rsidRPr="00F96C93">
        <w:rPr>
          <w:rFonts w:ascii="Times New Roman" w:hAnsi="Times New Roman" w:cs="Times New Roman"/>
          <w:sz w:val="24"/>
          <w:szCs w:val="24"/>
          <w:vertAlign w:val="subscript"/>
          <w:lang w:val="en-US"/>
        </w:rPr>
        <w:t>2</w:t>
      </w:r>
      <w:r w:rsidRPr="002A02DA">
        <w:rPr>
          <w:rFonts w:ascii="Times New Roman" w:hAnsi="Times New Roman" w:cs="Times New Roman"/>
          <w:sz w:val="24"/>
          <w:szCs w:val="24"/>
          <w:lang w:val="en-US"/>
        </w:rPr>
        <w:t xml:space="preserve"> emissions</w:t>
      </w:r>
      <w:r w:rsidR="00F96C93">
        <w:rPr>
          <w:rFonts w:ascii="Times New Roman" w:hAnsi="Times New Roman" w:cs="Times New Roman"/>
          <w:sz w:val="24"/>
          <w:szCs w:val="24"/>
          <w:lang w:val="en-US"/>
        </w:rPr>
        <w:t xml:space="preserve"> generation</w:t>
      </w:r>
      <w:r w:rsidRPr="002A02DA">
        <w:rPr>
          <w:rFonts w:ascii="Times New Roman" w:hAnsi="Times New Roman" w:cs="Times New Roman"/>
          <w:sz w:val="24"/>
          <w:szCs w:val="24"/>
          <w:lang w:val="en-US"/>
        </w:rPr>
        <w:t xml:space="preserve">. </w:t>
      </w:r>
      <w:r w:rsidR="00F96C93" w:rsidRPr="002A02DA">
        <w:rPr>
          <w:rFonts w:ascii="Times New Roman" w:hAnsi="Times New Roman" w:cs="Times New Roman"/>
          <w:sz w:val="24"/>
          <w:szCs w:val="24"/>
          <w:lang w:val="en-US"/>
        </w:rPr>
        <w:t>Further</w:t>
      </w:r>
      <w:r w:rsidR="0098080A">
        <w:rPr>
          <w:rFonts w:ascii="Times New Roman" w:hAnsi="Times New Roman" w:cs="Times New Roman"/>
          <w:sz w:val="24"/>
          <w:szCs w:val="24"/>
          <w:lang w:val="en-US"/>
        </w:rPr>
        <w:t xml:space="preserve"> to that, the analysis</w:t>
      </w:r>
      <w:r w:rsidRPr="002A02DA">
        <w:rPr>
          <w:rFonts w:ascii="Times New Roman" w:hAnsi="Times New Roman" w:cs="Times New Roman"/>
          <w:sz w:val="24"/>
          <w:szCs w:val="24"/>
          <w:lang w:val="en-US"/>
        </w:rPr>
        <w:t xml:space="preserve"> should be disa</w:t>
      </w:r>
      <w:r w:rsidR="00F96C93">
        <w:rPr>
          <w:rFonts w:ascii="Times New Roman" w:hAnsi="Times New Roman" w:cs="Times New Roman"/>
          <w:sz w:val="24"/>
          <w:szCs w:val="24"/>
          <w:lang w:val="en-US"/>
        </w:rPr>
        <w:t>ggregated into different economic</w:t>
      </w:r>
      <w:r w:rsidRPr="002A02DA">
        <w:rPr>
          <w:rFonts w:ascii="Times New Roman" w:hAnsi="Times New Roman" w:cs="Times New Roman"/>
          <w:sz w:val="24"/>
          <w:szCs w:val="24"/>
          <w:lang w:val="en-US"/>
        </w:rPr>
        <w:t xml:space="preserve"> sectors or into those groups of sectors for which the implementation of emission reductions </w:t>
      </w:r>
      <w:r w:rsidRPr="002A02DA">
        <w:rPr>
          <w:rFonts w:ascii="Times New Roman" w:hAnsi="Times New Roman" w:cs="Times New Roman"/>
          <w:sz w:val="24"/>
          <w:szCs w:val="24"/>
          <w:lang w:val="en-US"/>
        </w:rPr>
        <w:lastRenderedPageBreak/>
        <w:t>policies</w:t>
      </w:r>
      <w:r w:rsidR="00F96C93">
        <w:rPr>
          <w:rFonts w:ascii="Times New Roman" w:hAnsi="Times New Roman" w:cs="Times New Roman"/>
          <w:sz w:val="24"/>
          <w:szCs w:val="24"/>
          <w:lang w:val="en-US"/>
        </w:rPr>
        <w:t xml:space="preserve"> are likely to produce the most effective</w:t>
      </w:r>
      <w:r w:rsidRPr="002A02DA">
        <w:rPr>
          <w:rFonts w:ascii="Times New Roman" w:hAnsi="Times New Roman" w:cs="Times New Roman"/>
          <w:sz w:val="24"/>
          <w:szCs w:val="24"/>
          <w:lang w:val="en-US"/>
        </w:rPr>
        <w:t xml:space="preserve"> results.</w:t>
      </w:r>
      <w:r w:rsidR="001C36BC">
        <w:rPr>
          <w:rFonts w:ascii="Times New Roman" w:hAnsi="Times New Roman" w:cs="Times New Roman"/>
          <w:sz w:val="24"/>
          <w:szCs w:val="24"/>
          <w:lang w:val="en-US"/>
        </w:rPr>
        <w:t xml:space="preserve"> </w:t>
      </w:r>
      <w:r w:rsidRPr="002A02DA">
        <w:rPr>
          <w:rFonts w:ascii="Times New Roman" w:hAnsi="Times New Roman" w:cs="Times New Roman"/>
          <w:sz w:val="24"/>
          <w:szCs w:val="24"/>
          <w:lang w:val="en-US"/>
        </w:rPr>
        <w:t>Other interesting aspects</w:t>
      </w:r>
      <w:r w:rsidR="00F96C93">
        <w:rPr>
          <w:rFonts w:ascii="Times New Roman" w:hAnsi="Times New Roman" w:cs="Times New Roman"/>
          <w:sz w:val="24"/>
          <w:szCs w:val="24"/>
          <w:lang w:val="en-US"/>
        </w:rPr>
        <w:t xml:space="preserve"> of development could be related to the analysis of</w:t>
      </w:r>
      <w:r w:rsidRPr="002A02DA">
        <w:rPr>
          <w:rFonts w:ascii="Times New Roman" w:hAnsi="Times New Roman" w:cs="Times New Roman"/>
          <w:sz w:val="24"/>
          <w:szCs w:val="24"/>
          <w:lang w:val="en-US"/>
        </w:rPr>
        <w:t xml:space="preserve"> consumer related emissions, which considers rather than the energy used</w:t>
      </w:r>
      <w:r w:rsidR="00F96C93">
        <w:rPr>
          <w:rFonts w:ascii="Times New Roman" w:hAnsi="Times New Roman" w:cs="Times New Roman"/>
          <w:sz w:val="24"/>
          <w:szCs w:val="24"/>
          <w:lang w:val="en-US"/>
        </w:rPr>
        <w:t xml:space="preserve"> for production, the energy related to individual consumption. In this case</w:t>
      </w:r>
      <w:r w:rsidR="001C36BC">
        <w:rPr>
          <w:rFonts w:ascii="Times New Roman" w:hAnsi="Times New Roman" w:cs="Times New Roman"/>
          <w:sz w:val="24"/>
          <w:szCs w:val="24"/>
          <w:lang w:val="en-US"/>
        </w:rPr>
        <w:t>,</w:t>
      </w:r>
      <w:r w:rsidR="00F96C93">
        <w:rPr>
          <w:rFonts w:ascii="Times New Roman" w:hAnsi="Times New Roman" w:cs="Times New Roman"/>
          <w:sz w:val="24"/>
          <w:szCs w:val="24"/>
          <w:lang w:val="en-US"/>
        </w:rPr>
        <w:t xml:space="preserve"> other decomposing factors, </w:t>
      </w:r>
      <w:r w:rsidR="000236FF">
        <w:rPr>
          <w:rFonts w:ascii="Times New Roman" w:hAnsi="Times New Roman" w:cs="Times New Roman"/>
          <w:sz w:val="24"/>
          <w:szCs w:val="24"/>
          <w:lang w:val="en-US"/>
        </w:rPr>
        <w:t xml:space="preserve">like </w:t>
      </w:r>
      <w:r w:rsidR="00F96C93">
        <w:rPr>
          <w:rFonts w:ascii="Times New Roman" w:hAnsi="Times New Roman" w:cs="Times New Roman"/>
          <w:sz w:val="24"/>
          <w:szCs w:val="24"/>
          <w:lang w:val="en-US"/>
        </w:rPr>
        <w:t>income or preferences could be used to investigate the role that consumer responsibility</w:t>
      </w:r>
      <w:r w:rsidRPr="002A02DA">
        <w:rPr>
          <w:rFonts w:ascii="Times New Roman" w:hAnsi="Times New Roman" w:cs="Times New Roman"/>
          <w:sz w:val="24"/>
          <w:szCs w:val="24"/>
          <w:lang w:val="en-US"/>
        </w:rPr>
        <w:t xml:space="preserve"> </w:t>
      </w:r>
      <w:r w:rsidR="00F96C93">
        <w:rPr>
          <w:rFonts w:ascii="Times New Roman" w:hAnsi="Times New Roman" w:cs="Times New Roman"/>
          <w:sz w:val="24"/>
          <w:szCs w:val="24"/>
          <w:lang w:val="en-US"/>
        </w:rPr>
        <w:t>can play in the generation of carbon dioxide emissions. In this respect the trade</w:t>
      </w:r>
      <w:r w:rsidRPr="002A02DA">
        <w:rPr>
          <w:rFonts w:ascii="Times New Roman" w:hAnsi="Times New Roman" w:cs="Times New Roman"/>
          <w:sz w:val="24"/>
          <w:szCs w:val="24"/>
          <w:lang w:val="en-US"/>
        </w:rPr>
        <w:t xml:space="preserve"> links between </w:t>
      </w:r>
      <w:r w:rsidR="00F96C93" w:rsidRPr="002A02DA">
        <w:rPr>
          <w:rFonts w:ascii="Times New Roman" w:hAnsi="Times New Roman" w:cs="Times New Roman"/>
          <w:sz w:val="24"/>
          <w:szCs w:val="24"/>
          <w:lang w:val="en-US"/>
        </w:rPr>
        <w:t>countries</w:t>
      </w:r>
      <w:r w:rsidRPr="002A02DA">
        <w:rPr>
          <w:rFonts w:ascii="Times New Roman" w:hAnsi="Times New Roman" w:cs="Times New Roman"/>
          <w:sz w:val="24"/>
          <w:szCs w:val="24"/>
          <w:lang w:val="en-US"/>
        </w:rPr>
        <w:t xml:space="preserve"> and the allocation of CO</w:t>
      </w:r>
      <w:r w:rsidRPr="00F96C93">
        <w:rPr>
          <w:rFonts w:ascii="Times New Roman" w:hAnsi="Times New Roman" w:cs="Times New Roman"/>
          <w:sz w:val="24"/>
          <w:szCs w:val="24"/>
          <w:vertAlign w:val="subscript"/>
          <w:lang w:val="en-US"/>
        </w:rPr>
        <w:t>2</w:t>
      </w:r>
      <w:r w:rsidR="00F96C93">
        <w:rPr>
          <w:rFonts w:ascii="Times New Roman" w:hAnsi="Times New Roman" w:cs="Times New Roman"/>
          <w:sz w:val="24"/>
          <w:szCs w:val="24"/>
          <w:lang w:val="en-US"/>
        </w:rPr>
        <w:t xml:space="preserve"> based on </w:t>
      </w:r>
      <w:r w:rsidRPr="002A02DA">
        <w:rPr>
          <w:rFonts w:ascii="Times New Roman" w:hAnsi="Times New Roman" w:cs="Times New Roman"/>
          <w:sz w:val="24"/>
          <w:szCs w:val="24"/>
          <w:lang w:val="en-US"/>
        </w:rPr>
        <w:t>consumer activity would be relevant in identifying t</w:t>
      </w:r>
      <w:r w:rsidR="0098080A">
        <w:rPr>
          <w:rFonts w:ascii="Times New Roman" w:hAnsi="Times New Roman" w:cs="Times New Roman"/>
          <w:sz w:val="24"/>
          <w:szCs w:val="24"/>
          <w:lang w:val="en-US"/>
        </w:rPr>
        <w:t>he non-local effects that</w:t>
      </w:r>
      <w:r w:rsidRPr="002A02DA">
        <w:rPr>
          <w:rFonts w:ascii="Times New Roman" w:hAnsi="Times New Roman" w:cs="Times New Roman"/>
          <w:sz w:val="24"/>
          <w:szCs w:val="24"/>
          <w:lang w:val="en-US"/>
        </w:rPr>
        <w:t xml:space="preserve"> </w:t>
      </w:r>
      <w:r w:rsidR="00F96C93">
        <w:rPr>
          <w:rFonts w:ascii="Times New Roman" w:hAnsi="Times New Roman" w:cs="Times New Roman"/>
          <w:sz w:val="24"/>
          <w:szCs w:val="24"/>
          <w:lang w:val="en-US"/>
        </w:rPr>
        <w:t xml:space="preserve">consumer choices can generate in the production of </w:t>
      </w:r>
      <w:r w:rsidRPr="002A02DA">
        <w:rPr>
          <w:rFonts w:ascii="Times New Roman" w:hAnsi="Times New Roman" w:cs="Times New Roman"/>
          <w:sz w:val="24"/>
          <w:szCs w:val="24"/>
          <w:lang w:val="en-US"/>
        </w:rPr>
        <w:t>CO</w:t>
      </w:r>
      <w:r w:rsidRPr="00F96C93">
        <w:rPr>
          <w:rFonts w:ascii="Times New Roman" w:hAnsi="Times New Roman" w:cs="Times New Roman"/>
          <w:sz w:val="24"/>
          <w:szCs w:val="24"/>
          <w:vertAlign w:val="subscript"/>
          <w:lang w:val="en-US"/>
        </w:rPr>
        <w:t>2</w:t>
      </w:r>
      <w:r w:rsidR="00F96C93">
        <w:rPr>
          <w:rFonts w:ascii="Times New Roman" w:hAnsi="Times New Roman" w:cs="Times New Roman"/>
          <w:sz w:val="24"/>
          <w:szCs w:val="24"/>
          <w:lang w:val="en-US"/>
        </w:rPr>
        <w:t xml:space="preserve"> emissions in other world areas</w:t>
      </w:r>
      <w:r w:rsidR="001C36BC">
        <w:rPr>
          <w:rFonts w:ascii="Times New Roman" w:hAnsi="Times New Roman" w:cs="Times New Roman"/>
          <w:sz w:val="24"/>
          <w:szCs w:val="24"/>
          <w:lang w:val="en-US"/>
        </w:rPr>
        <w:t xml:space="preserve"> </w:t>
      </w:r>
      <w:r w:rsidR="00EF105E">
        <w:rPr>
          <w:rFonts w:ascii="Times New Roman" w:hAnsi="Times New Roman" w:cs="Times New Roman"/>
          <w:sz w:val="24"/>
          <w:szCs w:val="24"/>
          <w:lang w:val="en-US"/>
        </w:rPr>
        <w:t>[49]</w:t>
      </w:r>
      <w:r w:rsidR="004A776E">
        <w:rPr>
          <w:rFonts w:ascii="Times New Roman" w:hAnsi="Times New Roman" w:cs="Times New Roman"/>
          <w:sz w:val="24"/>
          <w:szCs w:val="24"/>
          <w:lang w:val="en-US"/>
        </w:rPr>
        <w:t>.</w:t>
      </w:r>
      <w:r w:rsidR="00D17EAA">
        <w:rPr>
          <w:rFonts w:ascii="Times New Roman" w:hAnsi="Times New Roman" w:cs="Times New Roman"/>
          <w:sz w:val="24"/>
          <w:szCs w:val="24"/>
          <w:lang w:val="en-US"/>
        </w:rPr>
        <w:t xml:space="preserve"> Additional analysis can also be related to the application of different CO</w:t>
      </w:r>
      <w:r w:rsidR="00D17EAA" w:rsidRPr="00785DFE">
        <w:rPr>
          <w:rFonts w:ascii="Times New Roman" w:hAnsi="Times New Roman" w:cs="Times New Roman"/>
          <w:sz w:val="24"/>
          <w:szCs w:val="24"/>
          <w:vertAlign w:val="subscript"/>
          <w:lang w:val="en-US"/>
        </w:rPr>
        <w:t>2</w:t>
      </w:r>
      <w:r w:rsidR="00D17EAA">
        <w:rPr>
          <w:rFonts w:ascii="Times New Roman" w:hAnsi="Times New Roman" w:cs="Times New Roman"/>
          <w:sz w:val="24"/>
          <w:szCs w:val="24"/>
          <w:lang w:val="en-US"/>
        </w:rPr>
        <w:t xml:space="preserve"> emissions evaluation approaches, as for example</w:t>
      </w:r>
      <w:r w:rsidR="00785DFE">
        <w:rPr>
          <w:rFonts w:ascii="Times New Roman" w:hAnsi="Times New Roman" w:cs="Times New Roman"/>
          <w:sz w:val="24"/>
          <w:szCs w:val="24"/>
          <w:lang w:val="en-US"/>
        </w:rPr>
        <w:t xml:space="preserve"> Index or Structural Decomposition analysis and related extensions</w:t>
      </w:r>
      <w:r w:rsidR="00D17EAA">
        <w:rPr>
          <w:rFonts w:ascii="Times New Roman" w:hAnsi="Times New Roman" w:cs="Times New Roman"/>
          <w:sz w:val="24"/>
          <w:szCs w:val="24"/>
          <w:lang w:val="en-US"/>
        </w:rPr>
        <w:t>. In particular</w:t>
      </w:r>
      <w:r w:rsidR="00785DFE">
        <w:rPr>
          <w:rFonts w:ascii="Times New Roman" w:hAnsi="Times New Roman" w:cs="Times New Roman"/>
          <w:sz w:val="24"/>
          <w:szCs w:val="24"/>
          <w:lang w:val="en-US"/>
        </w:rPr>
        <w:t>,</w:t>
      </w:r>
      <w:r w:rsidR="00D17EAA">
        <w:rPr>
          <w:rFonts w:ascii="Times New Roman" w:hAnsi="Times New Roman" w:cs="Times New Roman"/>
          <w:sz w:val="24"/>
          <w:szCs w:val="24"/>
          <w:lang w:val="en-US"/>
        </w:rPr>
        <w:t xml:space="preserve"> it would be interesting to investigate how different decomposition techniques could generate different results and how the use of </w:t>
      </w:r>
      <w:r w:rsidR="00785DFE">
        <w:rPr>
          <w:rFonts w:ascii="Times New Roman" w:hAnsi="Times New Roman" w:cs="Times New Roman"/>
          <w:sz w:val="24"/>
          <w:szCs w:val="24"/>
          <w:lang w:val="en-US"/>
        </w:rPr>
        <w:t xml:space="preserve">different </w:t>
      </w:r>
      <w:r w:rsidR="00D17EAA">
        <w:rPr>
          <w:rFonts w:ascii="Times New Roman" w:hAnsi="Times New Roman" w:cs="Times New Roman"/>
          <w:sz w:val="24"/>
          <w:szCs w:val="24"/>
          <w:lang w:val="en-US"/>
        </w:rPr>
        <w:t>data based on different CO</w:t>
      </w:r>
      <w:r w:rsidR="00D17EAA" w:rsidRPr="00785DFE">
        <w:rPr>
          <w:rFonts w:ascii="Times New Roman" w:hAnsi="Times New Roman" w:cs="Times New Roman"/>
          <w:sz w:val="24"/>
          <w:szCs w:val="24"/>
          <w:vertAlign w:val="subscript"/>
          <w:lang w:val="en-US"/>
        </w:rPr>
        <w:t>2</w:t>
      </w:r>
      <w:r w:rsidR="00D17EAA">
        <w:rPr>
          <w:rFonts w:ascii="Times New Roman" w:hAnsi="Times New Roman" w:cs="Times New Roman"/>
          <w:sz w:val="24"/>
          <w:szCs w:val="24"/>
          <w:lang w:val="en-US"/>
        </w:rPr>
        <w:t xml:space="preserve"> estimations</w:t>
      </w:r>
      <w:r w:rsidR="00785DFE">
        <w:rPr>
          <w:rFonts w:ascii="Times New Roman" w:hAnsi="Times New Roman" w:cs="Times New Roman"/>
          <w:sz w:val="24"/>
          <w:szCs w:val="24"/>
          <w:lang w:val="en-US"/>
        </w:rPr>
        <w:t xml:space="preserve"> approaches</w:t>
      </w:r>
      <w:r w:rsidR="00D17EAA">
        <w:rPr>
          <w:rFonts w:ascii="Times New Roman" w:hAnsi="Times New Roman" w:cs="Times New Roman"/>
          <w:sz w:val="24"/>
          <w:szCs w:val="24"/>
          <w:lang w:val="en-US"/>
        </w:rPr>
        <w:t xml:space="preserve"> can influence the overall conclusion of the analysis</w:t>
      </w:r>
      <w:r w:rsidR="00785DFE">
        <w:rPr>
          <w:rFonts w:ascii="Times New Roman" w:hAnsi="Times New Roman" w:cs="Times New Roman"/>
          <w:sz w:val="24"/>
          <w:szCs w:val="24"/>
          <w:lang w:val="en-US"/>
        </w:rPr>
        <w:t>.</w:t>
      </w:r>
    </w:p>
    <w:p w14:paraId="411BCE79" w14:textId="77777777" w:rsidR="004A776E" w:rsidRPr="004A776E" w:rsidRDefault="004A776E" w:rsidP="004A776E">
      <w:pPr>
        <w:shd w:val="clear" w:color="auto" w:fill="FFFFFF"/>
        <w:spacing w:after="0" w:line="300" w:lineRule="atLeast"/>
        <w:textAlignment w:val="baseline"/>
        <w:rPr>
          <w:rFonts w:ascii="Arial Unicode MS" w:eastAsia="Arial Unicode MS" w:hAnsi="Arial Unicode MS" w:cs="Arial Unicode MS"/>
          <w:color w:val="2E2E2E"/>
          <w:sz w:val="20"/>
          <w:szCs w:val="20"/>
          <w:lang w:eastAsia="en-GB"/>
        </w:rPr>
      </w:pPr>
    </w:p>
    <w:p w14:paraId="62CCDFCE" w14:textId="77777777" w:rsidR="00F07092" w:rsidRPr="002A02DA" w:rsidRDefault="00F07092" w:rsidP="00DB569A">
      <w:pPr>
        <w:pStyle w:val="Paragrafoelenco"/>
        <w:numPr>
          <w:ilvl w:val="0"/>
          <w:numId w:val="6"/>
        </w:numPr>
        <w:spacing w:line="360" w:lineRule="auto"/>
        <w:jc w:val="both"/>
        <w:rPr>
          <w:rFonts w:ascii="Times New Roman" w:hAnsi="Times New Roman" w:cs="Times New Roman"/>
          <w:b/>
          <w:sz w:val="24"/>
          <w:szCs w:val="24"/>
        </w:rPr>
      </w:pPr>
      <w:r w:rsidRPr="002A02DA">
        <w:rPr>
          <w:rFonts w:ascii="Times New Roman" w:hAnsi="Times New Roman" w:cs="Times New Roman"/>
          <w:b/>
          <w:sz w:val="24"/>
          <w:szCs w:val="24"/>
        </w:rPr>
        <w:t>Conclusion</w:t>
      </w:r>
    </w:p>
    <w:p w14:paraId="68B2D898" w14:textId="058C91D7" w:rsidR="00CF0F0E" w:rsidRDefault="00385916" w:rsidP="00CF0F0E">
      <w:pPr>
        <w:spacing w:line="360" w:lineRule="auto"/>
        <w:jc w:val="both"/>
        <w:rPr>
          <w:rFonts w:ascii="Times New Roman" w:hAnsi="Times New Roman" w:cs="Times New Roman"/>
          <w:sz w:val="24"/>
          <w:szCs w:val="24"/>
        </w:rPr>
      </w:pPr>
      <w:r w:rsidRPr="00385916">
        <w:rPr>
          <w:rFonts w:ascii="Times New Roman" w:hAnsi="Times New Roman" w:cs="Times New Roman"/>
          <w:sz w:val="24"/>
          <w:szCs w:val="24"/>
          <w:lang w:val="en-US"/>
        </w:rPr>
        <w:t>Although there exists well</w:t>
      </w:r>
      <w:r w:rsidR="00791873">
        <w:rPr>
          <w:rFonts w:ascii="Times New Roman" w:hAnsi="Times New Roman" w:cs="Times New Roman"/>
          <w:sz w:val="24"/>
          <w:szCs w:val="24"/>
          <w:lang w:val="en-US"/>
        </w:rPr>
        <w:t>-</w:t>
      </w:r>
      <w:r w:rsidRPr="00385916">
        <w:rPr>
          <w:rFonts w:ascii="Times New Roman" w:hAnsi="Times New Roman" w:cs="Times New Roman"/>
          <w:sz w:val="24"/>
          <w:szCs w:val="24"/>
          <w:lang w:val="en-US"/>
        </w:rPr>
        <w:t>known limitations in decomposit</w:t>
      </w:r>
      <w:r w:rsidR="00CF0F0E">
        <w:rPr>
          <w:rFonts w:ascii="Times New Roman" w:hAnsi="Times New Roman" w:cs="Times New Roman"/>
          <w:sz w:val="24"/>
          <w:szCs w:val="24"/>
          <w:lang w:val="en-US"/>
        </w:rPr>
        <w:t>i</w:t>
      </w:r>
      <w:r w:rsidRPr="00385916">
        <w:rPr>
          <w:rFonts w:ascii="Times New Roman" w:hAnsi="Times New Roman" w:cs="Times New Roman"/>
          <w:sz w:val="24"/>
          <w:szCs w:val="24"/>
          <w:lang w:val="en-US"/>
        </w:rPr>
        <w:t xml:space="preserve">on analysis </w:t>
      </w:r>
      <w:r w:rsidR="002D6AD5">
        <w:rPr>
          <w:rFonts w:ascii="Times New Roman" w:hAnsi="Times New Roman" w:cs="Times New Roman"/>
          <w:sz w:val="24"/>
          <w:szCs w:val="24"/>
          <w:lang w:val="en-US"/>
        </w:rPr>
        <w:t>[67, 68</w:t>
      </w:r>
      <w:r w:rsidR="00EF105E">
        <w:rPr>
          <w:rFonts w:ascii="Times New Roman" w:hAnsi="Times New Roman" w:cs="Times New Roman"/>
          <w:sz w:val="24"/>
          <w:szCs w:val="24"/>
          <w:lang w:val="en-US"/>
        </w:rPr>
        <w:t>]</w:t>
      </w:r>
      <w:r w:rsidRPr="00385916">
        <w:rPr>
          <w:rFonts w:ascii="Times New Roman" w:hAnsi="Times New Roman" w:cs="Times New Roman"/>
          <w:sz w:val="24"/>
          <w:szCs w:val="24"/>
          <w:lang w:val="en-US"/>
        </w:rPr>
        <w:t xml:space="preserve"> the </w:t>
      </w:r>
      <w:r w:rsidR="00DF620D">
        <w:rPr>
          <w:rFonts w:ascii="Times New Roman" w:hAnsi="Times New Roman" w:cs="Times New Roman"/>
          <w:sz w:val="24"/>
          <w:szCs w:val="24"/>
          <w:lang w:val="en-US"/>
        </w:rPr>
        <w:t xml:space="preserve">present study provides </w:t>
      </w:r>
      <w:r w:rsidRPr="00385916">
        <w:rPr>
          <w:rFonts w:ascii="Times New Roman" w:hAnsi="Times New Roman" w:cs="Times New Roman"/>
          <w:sz w:val="24"/>
          <w:szCs w:val="24"/>
          <w:lang w:val="en-US"/>
        </w:rPr>
        <w:t xml:space="preserve">a </w:t>
      </w:r>
      <w:r w:rsidR="00791873">
        <w:rPr>
          <w:rFonts w:ascii="Times New Roman" w:hAnsi="Times New Roman" w:cs="Times New Roman"/>
          <w:sz w:val="24"/>
          <w:szCs w:val="24"/>
          <w:lang w:val="en-US"/>
        </w:rPr>
        <w:t xml:space="preserve">good </w:t>
      </w:r>
      <w:r w:rsidRPr="00385916">
        <w:rPr>
          <w:rFonts w:ascii="Times New Roman" w:hAnsi="Times New Roman" w:cs="Times New Roman"/>
          <w:sz w:val="24"/>
          <w:szCs w:val="24"/>
          <w:lang w:val="en-US"/>
        </w:rPr>
        <w:t>framing of the energy-related CO</w:t>
      </w:r>
      <w:r w:rsidRPr="00CF0F0E">
        <w:rPr>
          <w:rFonts w:ascii="Times New Roman" w:hAnsi="Times New Roman" w:cs="Times New Roman"/>
          <w:sz w:val="24"/>
          <w:szCs w:val="24"/>
          <w:vertAlign w:val="subscript"/>
          <w:lang w:val="en-US"/>
        </w:rPr>
        <w:t>2</w:t>
      </w:r>
      <w:r w:rsidRPr="00385916">
        <w:rPr>
          <w:rFonts w:ascii="Times New Roman" w:hAnsi="Times New Roman" w:cs="Times New Roman"/>
          <w:sz w:val="24"/>
          <w:szCs w:val="24"/>
          <w:lang w:val="en-US"/>
        </w:rPr>
        <w:t xml:space="preserve"> emissions by </w:t>
      </w:r>
      <w:r w:rsidR="00CF0F0E">
        <w:rPr>
          <w:rFonts w:ascii="Times New Roman" w:hAnsi="Times New Roman" w:cs="Times New Roman"/>
          <w:sz w:val="24"/>
          <w:szCs w:val="24"/>
          <w:lang w:val="en-US"/>
        </w:rPr>
        <w:t xml:space="preserve">investigating the main factors of variations for </w:t>
      </w:r>
      <w:r w:rsidRPr="00385916">
        <w:rPr>
          <w:rFonts w:ascii="Times New Roman" w:hAnsi="Times New Roman" w:cs="Times New Roman"/>
          <w:sz w:val="24"/>
          <w:szCs w:val="24"/>
          <w:lang w:val="en-US"/>
        </w:rPr>
        <w:t>3</w:t>
      </w:r>
      <w:r w:rsidR="00F34A78">
        <w:rPr>
          <w:rFonts w:ascii="Times New Roman" w:hAnsi="Times New Roman" w:cs="Times New Roman"/>
          <w:sz w:val="24"/>
          <w:szCs w:val="24"/>
          <w:lang w:val="en-US"/>
        </w:rPr>
        <w:t>3</w:t>
      </w:r>
      <w:r w:rsidRPr="00385916">
        <w:rPr>
          <w:rFonts w:ascii="Times New Roman" w:hAnsi="Times New Roman" w:cs="Times New Roman"/>
          <w:sz w:val="24"/>
          <w:szCs w:val="24"/>
          <w:lang w:val="en-US"/>
        </w:rPr>
        <w:t xml:space="preserve"> </w:t>
      </w:r>
      <w:r w:rsidR="00CF0F0E">
        <w:rPr>
          <w:rFonts w:ascii="Times New Roman" w:hAnsi="Times New Roman" w:cs="Times New Roman"/>
          <w:sz w:val="24"/>
          <w:szCs w:val="24"/>
          <w:lang w:val="en-US"/>
        </w:rPr>
        <w:t>world countries</w:t>
      </w:r>
      <w:r w:rsidRPr="00385916">
        <w:rPr>
          <w:rFonts w:ascii="Times New Roman" w:hAnsi="Times New Roman" w:cs="Times New Roman"/>
          <w:sz w:val="24"/>
          <w:szCs w:val="24"/>
          <w:lang w:val="en-US"/>
        </w:rPr>
        <w:t>. The period chosen 1995-2007 is important as it falls right within the Kyoto protocol definition and the</w:t>
      </w:r>
      <w:r w:rsidR="00CF0F0E">
        <w:rPr>
          <w:rFonts w:ascii="Times New Roman" w:hAnsi="Times New Roman" w:cs="Times New Roman"/>
          <w:sz w:val="24"/>
          <w:szCs w:val="24"/>
          <w:lang w:val="en-US"/>
        </w:rPr>
        <w:t xml:space="preserve"> financial</w:t>
      </w:r>
      <w:r w:rsidRPr="00385916">
        <w:rPr>
          <w:rFonts w:ascii="Times New Roman" w:hAnsi="Times New Roman" w:cs="Times New Roman"/>
          <w:sz w:val="24"/>
          <w:szCs w:val="24"/>
          <w:lang w:val="en-US"/>
        </w:rPr>
        <w:t xml:space="preserve"> crises thus setting a good reference case for the analysis of the effects of the latter on CO</w:t>
      </w:r>
      <w:r w:rsidRPr="00CF0F0E">
        <w:rPr>
          <w:rFonts w:ascii="Times New Roman" w:hAnsi="Times New Roman" w:cs="Times New Roman"/>
          <w:sz w:val="24"/>
          <w:szCs w:val="24"/>
          <w:vertAlign w:val="subscript"/>
          <w:lang w:val="en-US"/>
        </w:rPr>
        <w:t>2</w:t>
      </w:r>
      <w:r w:rsidRPr="00385916">
        <w:rPr>
          <w:rFonts w:ascii="Times New Roman" w:hAnsi="Times New Roman" w:cs="Times New Roman"/>
          <w:sz w:val="24"/>
          <w:szCs w:val="24"/>
          <w:lang w:val="en-US"/>
        </w:rPr>
        <w:t xml:space="preserve"> emissions. </w:t>
      </w:r>
      <w:r w:rsidRPr="00803ABC">
        <w:rPr>
          <w:rFonts w:ascii="Times New Roman" w:hAnsi="Times New Roman" w:cs="Times New Roman"/>
          <w:sz w:val="24"/>
          <w:szCs w:val="24"/>
        </w:rPr>
        <w:t>The data</w:t>
      </w:r>
      <w:r>
        <w:rPr>
          <w:rFonts w:ascii="Times New Roman" w:hAnsi="Times New Roman" w:cs="Times New Roman"/>
          <w:sz w:val="24"/>
          <w:szCs w:val="24"/>
        </w:rPr>
        <w:t xml:space="preserve"> used have been taken from OECD and from the World Input-Output Database (WIOD). </w:t>
      </w:r>
      <w:r w:rsidR="00CF0F0E">
        <w:rPr>
          <w:rFonts w:ascii="Times New Roman" w:hAnsi="Times New Roman" w:cs="Times New Roman"/>
          <w:sz w:val="24"/>
          <w:szCs w:val="24"/>
        </w:rPr>
        <w:t>The main results provided in this paper show that:</w:t>
      </w:r>
    </w:p>
    <w:p w14:paraId="302C3B9A" w14:textId="77777777" w:rsidR="0032655D" w:rsidRPr="00CF0F0E" w:rsidRDefault="0032655D" w:rsidP="008B681D">
      <w:pPr>
        <w:pStyle w:val="Paragrafoelenco"/>
        <w:numPr>
          <w:ilvl w:val="0"/>
          <w:numId w:val="5"/>
        </w:numPr>
        <w:spacing w:line="360" w:lineRule="auto"/>
        <w:ind w:left="714" w:hanging="357"/>
        <w:jc w:val="both"/>
        <w:rPr>
          <w:rFonts w:ascii="Times New Roman" w:hAnsi="Times New Roman" w:cs="Times New Roman"/>
          <w:sz w:val="24"/>
          <w:szCs w:val="24"/>
        </w:rPr>
      </w:pPr>
      <w:r w:rsidRPr="00CF0F0E">
        <w:rPr>
          <w:rFonts w:ascii="Times New Roman" w:hAnsi="Times New Roman" w:cs="Times New Roman"/>
          <w:sz w:val="24"/>
          <w:szCs w:val="24"/>
        </w:rPr>
        <w:t>F</w:t>
      </w:r>
      <w:r>
        <w:rPr>
          <w:rFonts w:ascii="Times New Roman" w:hAnsi="Times New Roman" w:cs="Times New Roman"/>
          <w:sz w:val="24"/>
          <w:szCs w:val="24"/>
        </w:rPr>
        <w:t xml:space="preserve">or all the countries considered </w:t>
      </w:r>
      <w:r w:rsidRPr="00CF0F0E">
        <w:rPr>
          <w:rFonts w:ascii="Times New Roman" w:hAnsi="Times New Roman" w:cs="Times New Roman"/>
          <w:sz w:val="24"/>
          <w:szCs w:val="24"/>
        </w:rPr>
        <w:t>economic growth (G effects) contributed to increase the quantity of energy-related CO</w:t>
      </w:r>
      <w:r w:rsidRPr="00CF0F0E">
        <w:rPr>
          <w:rFonts w:ascii="Times New Roman" w:hAnsi="Times New Roman" w:cs="Times New Roman"/>
          <w:sz w:val="24"/>
          <w:szCs w:val="24"/>
          <w:vertAlign w:val="subscript"/>
        </w:rPr>
        <w:t>2</w:t>
      </w:r>
      <w:r w:rsidRPr="00CF0F0E">
        <w:rPr>
          <w:rFonts w:ascii="Times New Roman" w:hAnsi="Times New Roman" w:cs="Times New Roman"/>
          <w:sz w:val="24"/>
          <w:szCs w:val="24"/>
        </w:rPr>
        <w:t xml:space="preserve"> emissions</w:t>
      </w:r>
      <w:r>
        <w:rPr>
          <w:rFonts w:ascii="Times New Roman" w:hAnsi="Times New Roman" w:cs="Times New Roman"/>
          <w:sz w:val="24"/>
          <w:szCs w:val="24"/>
        </w:rPr>
        <w:t xml:space="preserve">. </w:t>
      </w:r>
      <w:r w:rsidRPr="00CF0F0E">
        <w:rPr>
          <w:rFonts w:ascii="Times New Roman" w:hAnsi="Times New Roman" w:cs="Times New Roman"/>
          <w:sz w:val="24"/>
          <w:szCs w:val="24"/>
        </w:rPr>
        <w:t xml:space="preserve"> </w:t>
      </w:r>
    </w:p>
    <w:p w14:paraId="2BF74A81" w14:textId="5A8BA69F" w:rsidR="006A2FD9" w:rsidRDefault="006A2FD9" w:rsidP="008B681D">
      <w:pPr>
        <w:pStyle w:val="Paragrafoelenco"/>
        <w:numPr>
          <w:ilvl w:val="0"/>
          <w:numId w:val="4"/>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The increasing contribution to the global economic production provided by India China, Russia, South Korea, Turkey, Ireland and the recently EU added eastern Europe Member States, </w:t>
      </w:r>
      <w:r w:rsidR="00F34A78">
        <w:rPr>
          <w:rFonts w:ascii="Times New Roman" w:hAnsi="Times New Roman" w:cs="Times New Roman"/>
          <w:sz w:val="24"/>
          <w:szCs w:val="24"/>
        </w:rPr>
        <w:t>resulted to be the</w:t>
      </w:r>
      <w:r>
        <w:rPr>
          <w:rFonts w:ascii="Times New Roman" w:hAnsi="Times New Roman" w:cs="Times New Roman"/>
          <w:sz w:val="24"/>
          <w:szCs w:val="24"/>
        </w:rPr>
        <w:t xml:space="preserve"> </w:t>
      </w:r>
      <w:r w:rsidRPr="00F34A78">
        <w:rPr>
          <w:rFonts w:ascii="Times New Roman" w:hAnsi="Times New Roman" w:cs="Times New Roman"/>
          <w:sz w:val="24"/>
          <w:szCs w:val="24"/>
        </w:rPr>
        <w:t>second</w:t>
      </w:r>
      <w:r>
        <w:rPr>
          <w:rFonts w:ascii="Times New Roman" w:hAnsi="Times New Roman" w:cs="Times New Roman"/>
          <w:sz w:val="24"/>
          <w:szCs w:val="24"/>
        </w:rPr>
        <w:t xml:space="preserve"> most important factor of carbon dioxide emission increase</w:t>
      </w:r>
      <w:r w:rsidR="00F34A78">
        <w:rPr>
          <w:rFonts w:ascii="Times New Roman" w:hAnsi="Times New Roman" w:cs="Times New Roman"/>
          <w:sz w:val="24"/>
          <w:szCs w:val="24"/>
        </w:rPr>
        <w:t xml:space="preserve"> for those countries</w:t>
      </w:r>
      <w:r>
        <w:rPr>
          <w:rFonts w:ascii="Times New Roman" w:hAnsi="Times New Roman" w:cs="Times New Roman"/>
          <w:sz w:val="24"/>
          <w:szCs w:val="24"/>
        </w:rPr>
        <w:t>.</w:t>
      </w:r>
      <w:r w:rsidRPr="00410A6E">
        <w:rPr>
          <w:rFonts w:ascii="Times New Roman" w:hAnsi="Times New Roman" w:cs="Times New Roman"/>
          <w:sz w:val="24"/>
          <w:szCs w:val="24"/>
        </w:rPr>
        <w:t xml:space="preserve"> </w:t>
      </w:r>
      <w:r>
        <w:rPr>
          <w:rFonts w:ascii="Times New Roman" w:hAnsi="Times New Roman" w:cs="Times New Roman"/>
          <w:sz w:val="24"/>
          <w:szCs w:val="24"/>
        </w:rPr>
        <w:t xml:space="preserve">For </w:t>
      </w:r>
      <w:r w:rsidR="00F34A78">
        <w:rPr>
          <w:rFonts w:ascii="Times New Roman" w:hAnsi="Times New Roman" w:cs="Times New Roman"/>
          <w:sz w:val="24"/>
          <w:szCs w:val="24"/>
        </w:rPr>
        <w:t>t</w:t>
      </w:r>
      <w:r w:rsidR="000236FF">
        <w:rPr>
          <w:rFonts w:ascii="Times New Roman" w:hAnsi="Times New Roman" w:cs="Times New Roman"/>
          <w:sz w:val="24"/>
          <w:szCs w:val="24"/>
        </w:rPr>
        <w:t xml:space="preserve">his group of countries, </w:t>
      </w:r>
      <w:r>
        <w:rPr>
          <w:rFonts w:ascii="Times New Roman" w:hAnsi="Times New Roman" w:cs="Times New Roman"/>
          <w:sz w:val="24"/>
          <w:szCs w:val="24"/>
        </w:rPr>
        <w:t>the role played by the structural change effect (ES effect) is almost comparable to the contribution that the GDP generation provided to the overall CO</w:t>
      </w:r>
      <w:r w:rsidRPr="00307D71">
        <w:rPr>
          <w:rFonts w:ascii="Times New Roman" w:hAnsi="Times New Roman" w:cs="Times New Roman"/>
          <w:sz w:val="24"/>
          <w:szCs w:val="24"/>
          <w:vertAlign w:val="subscript"/>
        </w:rPr>
        <w:t>2</w:t>
      </w:r>
      <w:r>
        <w:rPr>
          <w:rFonts w:ascii="Times New Roman" w:hAnsi="Times New Roman" w:cs="Times New Roman"/>
          <w:sz w:val="24"/>
          <w:szCs w:val="24"/>
        </w:rPr>
        <w:t xml:space="preserve"> emission increase. On the contrary, for developed economies as Japan, United States and some of the </w:t>
      </w:r>
      <w:r>
        <w:rPr>
          <w:rFonts w:ascii="Times New Roman" w:hAnsi="Times New Roman" w:cs="Times New Roman"/>
          <w:sz w:val="24"/>
          <w:szCs w:val="24"/>
        </w:rPr>
        <w:lastRenderedPageBreak/>
        <w:t>most developed European countries</w:t>
      </w:r>
      <w:r w:rsidR="000236FF">
        <w:rPr>
          <w:rFonts w:ascii="Times New Roman" w:hAnsi="Times New Roman" w:cs="Times New Roman"/>
          <w:sz w:val="24"/>
          <w:szCs w:val="24"/>
        </w:rPr>
        <w:t>,</w:t>
      </w:r>
      <w:r>
        <w:rPr>
          <w:rFonts w:ascii="Times New Roman" w:hAnsi="Times New Roman" w:cs="Times New Roman"/>
          <w:sz w:val="24"/>
          <w:szCs w:val="24"/>
        </w:rPr>
        <w:t xml:space="preserve"> </w:t>
      </w:r>
      <w:r w:rsidRPr="00FF64AC">
        <w:rPr>
          <w:rFonts w:ascii="Times New Roman" w:hAnsi="Times New Roman" w:cs="Times New Roman"/>
          <w:sz w:val="24"/>
          <w:szCs w:val="24"/>
        </w:rPr>
        <w:t>the</w:t>
      </w:r>
      <w:r>
        <w:rPr>
          <w:rFonts w:ascii="Times New Roman" w:hAnsi="Times New Roman" w:cs="Times New Roman"/>
          <w:sz w:val="24"/>
          <w:szCs w:val="24"/>
        </w:rPr>
        <w:t xml:space="preserve"> decline</w:t>
      </w:r>
      <w:r w:rsidRPr="00FF64AC">
        <w:rPr>
          <w:rFonts w:ascii="Times New Roman" w:hAnsi="Times New Roman" w:cs="Times New Roman"/>
          <w:sz w:val="24"/>
          <w:szCs w:val="24"/>
        </w:rPr>
        <w:t xml:space="preserve"> </w:t>
      </w:r>
      <w:r>
        <w:rPr>
          <w:rFonts w:ascii="Times New Roman" w:hAnsi="Times New Roman" w:cs="Times New Roman"/>
          <w:sz w:val="24"/>
          <w:szCs w:val="24"/>
        </w:rPr>
        <w:t xml:space="preserve">in the global economic production </w:t>
      </w:r>
      <w:r w:rsidRPr="00FF64AC">
        <w:rPr>
          <w:rFonts w:ascii="Times New Roman" w:hAnsi="Times New Roman" w:cs="Times New Roman"/>
          <w:sz w:val="24"/>
          <w:szCs w:val="24"/>
        </w:rPr>
        <w:t>reduce</w:t>
      </w:r>
      <w:r>
        <w:rPr>
          <w:rFonts w:ascii="Times New Roman" w:hAnsi="Times New Roman" w:cs="Times New Roman"/>
          <w:sz w:val="24"/>
          <w:szCs w:val="24"/>
        </w:rPr>
        <w:t>d</w:t>
      </w:r>
      <w:r w:rsidRPr="00FF64AC">
        <w:rPr>
          <w:rFonts w:ascii="Times New Roman" w:hAnsi="Times New Roman" w:cs="Times New Roman"/>
          <w:sz w:val="24"/>
          <w:szCs w:val="24"/>
        </w:rPr>
        <w:t xml:space="preserve"> the overall CO</w:t>
      </w:r>
      <w:r w:rsidRPr="00FF64AC">
        <w:rPr>
          <w:rFonts w:ascii="Times New Roman" w:hAnsi="Times New Roman" w:cs="Times New Roman"/>
          <w:sz w:val="24"/>
          <w:szCs w:val="24"/>
          <w:vertAlign w:val="subscript"/>
        </w:rPr>
        <w:t>2</w:t>
      </w:r>
      <w:r w:rsidRPr="00FF64AC">
        <w:rPr>
          <w:rFonts w:ascii="Times New Roman" w:hAnsi="Times New Roman" w:cs="Times New Roman"/>
          <w:sz w:val="24"/>
          <w:szCs w:val="24"/>
        </w:rPr>
        <w:t xml:space="preserve"> emissions increase.</w:t>
      </w:r>
      <w:r w:rsidRPr="00387E7A">
        <w:rPr>
          <w:rFonts w:ascii="Times New Roman" w:hAnsi="Times New Roman" w:cs="Times New Roman"/>
          <w:sz w:val="24"/>
          <w:szCs w:val="24"/>
        </w:rPr>
        <w:t xml:space="preserve"> </w:t>
      </w:r>
    </w:p>
    <w:p w14:paraId="48F1FC3F" w14:textId="77777777" w:rsidR="00B472AF" w:rsidRPr="0071595F" w:rsidRDefault="00B472AF" w:rsidP="008B681D">
      <w:pPr>
        <w:numPr>
          <w:ilvl w:val="0"/>
          <w:numId w:val="4"/>
        </w:numPr>
        <w:spacing w:after="0" w:line="360" w:lineRule="auto"/>
        <w:contextualSpacing/>
        <w:jc w:val="both"/>
        <w:rPr>
          <w:rFonts w:ascii="Times New Roman" w:hAnsi="Times New Roman" w:cs="Times New Roman"/>
          <w:sz w:val="24"/>
          <w:szCs w:val="24"/>
        </w:rPr>
      </w:pPr>
      <w:r w:rsidRPr="00B472AF">
        <w:rPr>
          <w:rFonts w:ascii="Times New Roman" w:hAnsi="Times New Roman" w:cs="Times New Roman"/>
          <w:sz w:val="24"/>
          <w:szCs w:val="24"/>
        </w:rPr>
        <w:t>With the exceptions of Luxembourg, Finland and Ireland, the other countries that show a positive ES factor are the rapidly growing countries. The contribution to the global economy raises the questions on whether CO</w:t>
      </w:r>
      <w:r w:rsidRPr="00B472AF">
        <w:rPr>
          <w:rFonts w:ascii="Times New Roman" w:hAnsi="Times New Roman" w:cs="Times New Roman"/>
          <w:sz w:val="24"/>
          <w:szCs w:val="24"/>
          <w:vertAlign w:val="subscript"/>
        </w:rPr>
        <w:t>2</w:t>
      </w:r>
      <w:r w:rsidRPr="00B472AF">
        <w:rPr>
          <w:rFonts w:ascii="Times New Roman" w:hAnsi="Times New Roman" w:cs="Times New Roman"/>
          <w:sz w:val="24"/>
          <w:szCs w:val="24"/>
        </w:rPr>
        <w:t xml:space="preserve"> production should be effectively allocated to the production country or to the countries from which the demand is generated. This question should be addressed by considering a different decomposition approach oriented to include consumption and income into the decomposition </w:t>
      </w:r>
      <w:r w:rsidRPr="0071595F">
        <w:rPr>
          <w:rFonts w:ascii="Times New Roman" w:hAnsi="Times New Roman" w:cs="Times New Roman"/>
          <w:sz w:val="24"/>
          <w:szCs w:val="24"/>
        </w:rPr>
        <w:t>factors [</w:t>
      </w:r>
      <w:r w:rsidR="002D6AD5" w:rsidRPr="0071595F">
        <w:rPr>
          <w:rFonts w:ascii="Times New Roman" w:hAnsi="Times New Roman" w:cs="Times New Roman"/>
          <w:sz w:val="24"/>
          <w:szCs w:val="24"/>
        </w:rPr>
        <w:t>69</w:t>
      </w:r>
      <w:r w:rsidRPr="0071595F">
        <w:rPr>
          <w:rFonts w:ascii="Times New Roman" w:hAnsi="Times New Roman" w:cs="Times New Roman"/>
          <w:sz w:val="24"/>
          <w:szCs w:val="24"/>
        </w:rPr>
        <w:t>].</w:t>
      </w:r>
    </w:p>
    <w:p w14:paraId="08844172" w14:textId="0B8F219A" w:rsidR="00655FDD" w:rsidRDefault="008F13C9" w:rsidP="008B681D">
      <w:pPr>
        <w:pStyle w:val="Paragrafoelenco"/>
        <w:numPr>
          <w:ilvl w:val="0"/>
          <w:numId w:val="4"/>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I</w:t>
      </w:r>
      <w:r w:rsidR="00385916" w:rsidRPr="00FF64AC">
        <w:rPr>
          <w:rFonts w:ascii="Times New Roman" w:hAnsi="Times New Roman" w:cs="Times New Roman"/>
          <w:sz w:val="24"/>
          <w:szCs w:val="24"/>
        </w:rPr>
        <w:t xml:space="preserve">n terms of carbon dioxide emission intensity (CI effect) all the countries considered in this paper, exception made for </w:t>
      </w:r>
      <w:r w:rsidR="00655FDD" w:rsidRPr="00803ABC">
        <w:rPr>
          <w:rFonts w:ascii="Times New Roman" w:hAnsi="Times New Roman" w:cs="Times New Roman"/>
          <w:sz w:val="24"/>
          <w:szCs w:val="24"/>
        </w:rPr>
        <w:t xml:space="preserve">Canada, </w:t>
      </w:r>
      <w:r w:rsidR="00655FDD">
        <w:rPr>
          <w:rFonts w:ascii="Times New Roman" w:hAnsi="Times New Roman" w:cs="Times New Roman"/>
          <w:sz w:val="24"/>
          <w:szCs w:val="24"/>
        </w:rPr>
        <w:t xml:space="preserve">China, </w:t>
      </w:r>
      <w:r w:rsidR="00655FDD" w:rsidRPr="00B909A3">
        <w:rPr>
          <w:rFonts w:ascii="Times New Roman" w:hAnsi="Times New Roman" w:cs="Times New Roman"/>
          <w:sz w:val="24"/>
          <w:szCs w:val="24"/>
        </w:rPr>
        <w:t>Japan, Netherlands, Denmark</w:t>
      </w:r>
      <w:r w:rsidR="00655FDD">
        <w:rPr>
          <w:rFonts w:ascii="Times New Roman" w:hAnsi="Times New Roman" w:cs="Times New Roman"/>
          <w:sz w:val="24"/>
          <w:szCs w:val="24"/>
        </w:rPr>
        <w:t xml:space="preserve">, Russia, Slovenia </w:t>
      </w:r>
      <w:r w:rsidR="00655FDD" w:rsidRPr="00B909A3">
        <w:rPr>
          <w:rFonts w:ascii="Times New Roman" w:hAnsi="Times New Roman" w:cs="Times New Roman"/>
          <w:sz w:val="24"/>
          <w:szCs w:val="24"/>
        </w:rPr>
        <w:t>and Indonesia</w:t>
      </w:r>
      <w:r w:rsidR="00655FDD" w:rsidRPr="00FF64AC">
        <w:rPr>
          <w:rFonts w:ascii="Times New Roman" w:hAnsi="Times New Roman" w:cs="Times New Roman"/>
          <w:sz w:val="24"/>
          <w:szCs w:val="24"/>
        </w:rPr>
        <w:t xml:space="preserve"> </w:t>
      </w:r>
      <w:r w:rsidR="00385916" w:rsidRPr="00FF64AC">
        <w:rPr>
          <w:rFonts w:ascii="Times New Roman" w:hAnsi="Times New Roman" w:cs="Times New Roman"/>
          <w:sz w:val="24"/>
          <w:szCs w:val="24"/>
        </w:rPr>
        <w:t>reduced the quantity of CO</w:t>
      </w:r>
      <w:r w:rsidR="00385916" w:rsidRPr="00FF64AC">
        <w:rPr>
          <w:rFonts w:ascii="Times New Roman" w:hAnsi="Times New Roman" w:cs="Times New Roman"/>
          <w:sz w:val="24"/>
          <w:szCs w:val="24"/>
          <w:vertAlign w:val="subscript"/>
        </w:rPr>
        <w:t xml:space="preserve">2 </w:t>
      </w:r>
      <w:r w:rsidR="00385916" w:rsidRPr="00FF64AC">
        <w:rPr>
          <w:rFonts w:ascii="Times New Roman" w:hAnsi="Times New Roman" w:cs="Times New Roman"/>
          <w:sz w:val="24"/>
          <w:szCs w:val="24"/>
        </w:rPr>
        <w:t>generated per unit of energy use.</w:t>
      </w:r>
      <w:r w:rsidR="006A2FD9" w:rsidRPr="006A2FD9">
        <w:rPr>
          <w:rFonts w:ascii="Times New Roman" w:hAnsi="Times New Roman" w:cs="Times New Roman"/>
          <w:sz w:val="24"/>
          <w:szCs w:val="24"/>
        </w:rPr>
        <w:t xml:space="preserve"> The instability of energy markets and the increasing number of conflicts in areas traditionally devoted to export energy sources could influence, in the near future, the decision on the energy investments and, as a consequence, the reduction of the CI effect. The Renewable Energy Directive of European Union, the development of hydroelectric power in Brazil or the large investments in renewable energy taking place in United States and China are example of </w:t>
      </w:r>
      <w:r w:rsidR="006A2FD9" w:rsidRPr="0071595F">
        <w:rPr>
          <w:rFonts w:ascii="Times New Roman" w:hAnsi="Times New Roman" w:cs="Times New Roman"/>
          <w:sz w:val="24"/>
          <w:szCs w:val="24"/>
        </w:rPr>
        <w:t>that [</w:t>
      </w:r>
      <w:r w:rsidR="0071595F" w:rsidRPr="0071595F">
        <w:rPr>
          <w:rFonts w:ascii="Times New Roman" w:hAnsi="Times New Roman" w:cs="Times New Roman"/>
          <w:sz w:val="24"/>
          <w:szCs w:val="24"/>
        </w:rPr>
        <w:t>70</w:t>
      </w:r>
      <w:r w:rsidR="006A2FD9" w:rsidRPr="0071595F">
        <w:rPr>
          <w:rFonts w:ascii="Times New Roman" w:hAnsi="Times New Roman" w:cs="Times New Roman"/>
          <w:sz w:val="24"/>
          <w:szCs w:val="24"/>
        </w:rPr>
        <w:t>].</w:t>
      </w:r>
    </w:p>
    <w:p w14:paraId="336DA20D" w14:textId="0D08D2D0" w:rsidR="00B472AF" w:rsidRPr="00655FDD" w:rsidRDefault="00385916" w:rsidP="008B681D">
      <w:pPr>
        <w:pStyle w:val="Paragrafoelenco"/>
        <w:numPr>
          <w:ilvl w:val="0"/>
          <w:numId w:val="4"/>
        </w:numPr>
        <w:spacing w:line="360" w:lineRule="auto"/>
        <w:ind w:left="714" w:hanging="357"/>
        <w:jc w:val="both"/>
        <w:rPr>
          <w:rFonts w:ascii="Times New Roman" w:hAnsi="Times New Roman" w:cs="Times New Roman"/>
          <w:sz w:val="24"/>
          <w:szCs w:val="24"/>
        </w:rPr>
      </w:pPr>
      <w:r w:rsidRPr="00655FDD">
        <w:rPr>
          <w:rFonts w:ascii="Times New Roman" w:hAnsi="Times New Roman" w:cs="Times New Roman"/>
          <w:sz w:val="24"/>
          <w:szCs w:val="24"/>
        </w:rPr>
        <w:t>Denmark and Indonesia, together with Greece</w:t>
      </w:r>
      <w:r w:rsidR="006A2FD9" w:rsidRPr="00655FDD">
        <w:rPr>
          <w:rFonts w:ascii="Times New Roman" w:hAnsi="Times New Roman" w:cs="Times New Roman"/>
          <w:sz w:val="24"/>
          <w:szCs w:val="24"/>
        </w:rPr>
        <w:t xml:space="preserve">, </w:t>
      </w:r>
      <w:r w:rsidRPr="00655FDD">
        <w:rPr>
          <w:rFonts w:ascii="Times New Roman" w:hAnsi="Times New Roman" w:cs="Times New Roman"/>
          <w:sz w:val="24"/>
          <w:szCs w:val="24"/>
        </w:rPr>
        <w:t>Turkey</w:t>
      </w:r>
      <w:r w:rsidR="006A2FD9" w:rsidRPr="00655FDD">
        <w:rPr>
          <w:rFonts w:ascii="Times New Roman" w:hAnsi="Times New Roman" w:cs="Times New Roman"/>
          <w:sz w:val="24"/>
          <w:szCs w:val="24"/>
        </w:rPr>
        <w:t xml:space="preserve"> and Brazil </w:t>
      </w:r>
      <w:r w:rsidRPr="00655FDD">
        <w:rPr>
          <w:rFonts w:ascii="Times New Roman" w:hAnsi="Times New Roman" w:cs="Times New Roman"/>
          <w:sz w:val="24"/>
          <w:szCs w:val="24"/>
        </w:rPr>
        <w:t>are also the only countries for which the energy intensity (EI effect) of the overall economic system increased during the considered period. This means that for every unit of GDP production a larger quantity of energy was needed in 2007 compared to quantity used in 1995.</w:t>
      </w:r>
      <w:r w:rsidR="00B472AF" w:rsidRPr="00655FDD">
        <w:rPr>
          <w:rFonts w:ascii="Times New Roman" w:hAnsi="Times New Roman" w:cs="Times New Roman"/>
          <w:sz w:val="24"/>
          <w:szCs w:val="24"/>
        </w:rPr>
        <w:t xml:space="preserve"> Policies for energy efficiency, adoption of best available technologies and consumers responsibilities have been some of the main factors contributing to reduce the energy intensity of developed and developing countries [</w:t>
      </w:r>
      <w:r w:rsidR="0071595F" w:rsidRPr="00655FDD">
        <w:rPr>
          <w:rFonts w:ascii="Times New Roman" w:hAnsi="Times New Roman" w:cs="Times New Roman"/>
          <w:sz w:val="24"/>
          <w:szCs w:val="24"/>
        </w:rPr>
        <w:t>71</w:t>
      </w:r>
      <w:r w:rsidR="00B472AF" w:rsidRPr="00655FDD">
        <w:rPr>
          <w:rFonts w:ascii="Times New Roman" w:hAnsi="Times New Roman" w:cs="Times New Roman"/>
          <w:sz w:val="24"/>
          <w:szCs w:val="24"/>
        </w:rPr>
        <w:t>].</w:t>
      </w:r>
    </w:p>
    <w:p w14:paraId="0FEEA7C4" w14:textId="77777777" w:rsidR="00B472AF" w:rsidRDefault="00B472AF" w:rsidP="00CE1271">
      <w:pPr>
        <w:spacing w:after="0" w:line="360" w:lineRule="auto"/>
        <w:jc w:val="both"/>
        <w:rPr>
          <w:rFonts w:ascii="Times New Roman" w:hAnsi="Times New Roman" w:cs="Times New Roman"/>
          <w:sz w:val="24"/>
          <w:szCs w:val="24"/>
        </w:rPr>
      </w:pPr>
    </w:p>
    <w:p w14:paraId="56BA6620" w14:textId="77777777" w:rsidR="008B681D" w:rsidRDefault="00385916" w:rsidP="00CF7E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In our view the current study sets a good benchmarking case for the assessment of energy related CO2 emissions. It will be interesting to contrast these results to the post Kyoto period 2005-2020 and especially to the effects of the crises not only on the emission but also on how an externally driven G factor can modify the emission trend and whether technological improvements have taken place in such a low economy regime.</w:t>
      </w:r>
      <w:r w:rsidRPr="00F01827">
        <w:rPr>
          <w:rFonts w:ascii="Times New Roman" w:hAnsi="Times New Roman" w:cs="Times New Roman"/>
          <w:sz w:val="24"/>
          <w:szCs w:val="24"/>
        </w:rPr>
        <w:t xml:space="preserve"> </w:t>
      </w:r>
    </w:p>
    <w:p w14:paraId="7F71374A" w14:textId="77777777" w:rsidR="00E570F6" w:rsidRDefault="00E570F6" w:rsidP="00CF7E4E">
      <w:pPr>
        <w:spacing w:after="0" w:line="360" w:lineRule="auto"/>
        <w:jc w:val="both"/>
        <w:rPr>
          <w:rFonts w:ascii="Times New Roman" w:eastAsia="Calibri" w:hAnsi="Times New Roman" w:cs="Times New Roman"/>
          <w:b/>
          <w:sz w:val="24"/>
          <w:szCs w:val="24"/>
        </w:rPr>
      </w:pPr>
    </w:p>
    <w:p w14:paraId="3562FFA7" w14:textId="77777777" w:rsidR="00E570F6" w:rsidRDefault="00E570F6" w:rsidP="00CF7E4E">
      <w:pPr>
        <w:spacing w:after="0" w:line="360" w:lineRule="auto"/>
        <w:jc w:val="both"/>
        <w:rPr>
          <w:rFonts w:ascii="Times New Roman" w:eastAsia="Calibri" w:hAnsi="Times New Roman" w:cs="Times New Roman"/>
          <w:b/>
          <w:sz w:val="24"/>
          <w:szCs w:val="24"/>
        </w:rPr>
      </w:pPr>
    </w:p>
    <w:p w14:paraId="2B3BB02B" w14:textId="47ECCC1E" w:rsidR="00CF7E4E" w:rsidRPr="008B681D" w:rsidRDefault="00CF7E4E" w:rsidP="00CF7E4E">
      <w:pPr>
        <w:spacing w:after="0" w:line="360" w:lineRule="auto"/>
        <w:jc w:val="both"/>
        <w:rPr>
          <w:rFonts w:ascii="Times New Roman" w:hAnsi="Times New Roman" w:cs="Times New Roman"/>
          <w:sz w:val="24"/>
          <w:szCs w:val="24"/>
        </w:rPr>
      </w:pPr>
      <w:bookmarkStart w:id="0" w:name="_GoBack"/>
      <w:bookmarkEnd w:id="0"/>
      <w:r w:rsidRPr="00CF7E4E">
        <w:rPr>
          <w:rFonts w:ascii="Times New Roman" w:eastAsia="Calibri" w:hAnsi="Times New Roman" w:cs="Times New Roman"/>
          <w:b/>
          <w:sz w:val="24"/>
          <w:szCs w:val="24"/>
        </w:rPr>
        <w:lastRenderedPageBreak/>
        <w:t>Disclaimer</w:t>
      </w:r>
    </w:p>
    <w:p w14:paraId="2BE22DD3" w14:textId="77777777" w:rsidR="00CF7E4E" w:rsidRPr="00CF7E4E" w:rsidRDefault="00CF7E4E" w:rsidP="00CF7E4E">
      <w:pPr>
        <w:spacing w:after="0" w:line="360" w:lineRule="auto"/>
        <w:jc w:val="both"/>
        <w:rPr>
          <w:rFonts w:ascii="Times New Roman" w:eastAsia="Calibri" w:hAnsi="Times New Roman" w:cs="Times New Roman"/>
          <w:sz w:val="24"/>
          <w:szCs w:val="24"/>
        </w:rPr>
      </w:pPr>
      <w:r w:rsidRPr="00CF7E4E">
        <w:rPr>
          <w:rFonts w:ascii="Times New Roman" w:eastAsia="Calibri" w:hAnsi="Times New Roman" w:cs="Times New Roman"/>
          <w:sz w:val="24"/>
          <w:szCs w:val="24"/>
        </w:rPr>
        <w:t>The views expressed are purely those of the authors and may not in any circumstances be regarded as stating an official position of the European Commission.</w:t>
      </w:r>
    </w:p>
    <w:p w14:paraId="1F04C714" w14:textId="77777777" w:rsidR="005A104C" w:rsidRDefault="005A104C" w:rsidP="00194964">
      <w:pPr>
        <w:spacing w:before="240"/>
        <w:jc w:val="both"/>
        <w:rPr>
          <w:rFonts w:ascii="Times New Roman" w:hAnsi="Times New Roman" w:cs="Times New Roman"/>
          <w:b/>
          <w:sz w:val="24"/>
          <w:szCs w:val="24"/>
        </w:rPr>
      </w:pPr>
    </w:p>
    <w:p w14:paraId="1556126D" w14:textId="77777777" w:rsidR="0096060F" w:rsidRDefault="00803ABC" w:rsidP="00194964">
      <w:pPr>
        <w:spacing w:before="240"/>
        <w:jc w:val="both"/>
        <w:rPr>
          <w:rFonts w:ascii="Times New Roman" w:eastAsia="Arial Unicode MS" w:hAnsi="Times New Roman" w:cs="Times New Roman"/>
          <w:color w:val="2E2E2E"/>
          <w:sz w:val="20"/>
          <w:szCs w:val="20"/>
          <w:lang w:eastAsia="en-GB"/>
        </w:rPr>
      </w:pPr>
      <w:r w:rsidRPr="009C6C91">
        <w:rPr>
          <w:rFonts w:ascii="Times New Roman" w:hAnsi="Times New Roman" w:cs="Times New Roman"/>
          <w:b/>
          <w:sz w:val="24"/>
          <w:szCs w:val="24"/>
        </w:rPr>
        <w:t>References</w:t>
      </w:r>
    </w:p>
    <w:p w14:paraId="220D9001" w14:textId="77777777" w:rsidR="00194964" w:rsidRDefault="00EF105E" w:rsidP="00194964">
      <w:pPr>
        <w:spacing w:after="0" w:line="360" w:lineRule="auto"/>
        <w:ind w:left="426" w:hanging="426"/>
        <w:jc w:val="both"/>
        <w:rPr>
          <w:rFonts w:ascii="Times New Roman" w:hAnsi="Times New Roman" w:cs="Times New Roman"/>
          <w:sz w:val="24"/>
          <w:szCs w:val="24"/>
        </w:rPr>
      </w:pPr>
      <w:r>
        <w:rPr>
          <w:rFonts w:ascii="Times New Roman" w:hAnsi="Times New Roman" w:cs="Times New Roman"/>
        </w:rPr>
        <w:t>[1</w:t>
      </w:r>
      <w:r w:rsidRPr="00194964">
        <w:rPr>
          <w:rFonts w:ascii="Times New Roman" w:hAnsi="Times New Roman" w:cs="Times New Roman"/>
          <w:sz w:val="24"/>
          <w:szCs w:val="24"/>
        </w:rPr>
        <w:t>] NOAA - National Oceanic &amp; Atmospheric Administration, U.S. Department of Commerce e NOAA</w:t>
      </w:r>
      <w:r w:rsidR="00194964">
        <w:rPr>
          <w:rFonts w:ascii="Times New Roman" w:hAnsi="Times New Roman" w:cs="Times New Roman"/>
          <w:sz w:val="24"/>
          <w:szCs w:val="24"/>
        </w:rPr>
        <w:t>.</w:t>
      </w:r>
      <w:r w:rsidRPr="00194964">
        <w:rPr>
          <w:rFonts w:ascii="Times New Roman" w:hAnsi="Times New Roman" w:cs="Times New Roman"/>
          <w:sz w:val="24"/>
          <w:szCs w:val="24"/>
        </w:rPr>
        <w:t xml:space="preserve"> Trends in atmospheric carbon dioxide.</w:t>
      </w:r>
      <w:r w:rsidR="00194964">
        <w:rPr>
          <w:rFonts w:ascii="Times New Roman" w:hAnsi="Times New Roman" w:cs="Times New Roman"/>
          <w:sz w:val="24"/>
          <w:szCs w:val="24"/>
        </w:rPr>
        <w:t xml:space="preserve"> 2009</w:t>
      </w:r>
      <w:r w:rsidRPr="00194964">
        <w:rPr>
          <w:rFonts w:ascii="Times New Roman" w:hAnsi="Times New Roman" w:cs="Times New Roman"/>
          <w:sz w:val="24"/>
          <w:szCs w:val="24"/>
        </w:rPr>
        <w:t xml:space="preserve"> Available at: </w:t>
      </w:r>
      <w:hyperlink r:id="rId31" w:history="1">
        <w:r w:rsidR="00194964" w:rsidRPr="00261D74">
          <w:rPr>
            <w:rStyle w:val="Collegamentoipertestuale"/>
            <w:rFonts w:ascii="Times New Roman" w:hAnsi="Times New Roman" w:cs="Times New Roman"/>
            <w:sz w:val="24"/>
            <w:szCs w:val="24"/>
          </w:rPr>
          <w:t>www.esrl.noaa.gov/gmd/ccgg/trends/</w:t>
        </w:r>
      </w:hyperlink>
    </w:p>
    <w:p w14:paraId="7D5A36E0" w14:textId="77777777" w:rsidR="00194964" w:rsidRDefault="00EF105E" w:rsidP="00194964">
      <w:pPr>
        <w:spacing w:after="0" w:line="360" w:lineRule="auto"/>
        <w:ind w:left="426" w:hanging="426"/>
        <w:jc w:val="both"/>
        <w:rPr>
          <w:rFonts w:ascii="Times New Roman" w:hAnsi="Times New Roman" w:cs="Times New Roman"/>
          <w:sz w:val="24"/>
          <w:szCs w:val="24"/>
        </w:rPr>
      </w:pPr>
      <w:r w:rsidRPr="00194964">
        <w:rPr>
          <w:rFonts w:ascii="Times New Roman" w:hAnsi="Times New Roman" w:cs="Times New Roman"/>
          <w:sz w:val="24"/>
          <w:szCs w:val="24"/>
        </w:rPr>
        <w:t>[2] Lüthi D</w:t>
      </w:r>
      <w:r w:rsidR="00194964">
        <w:rPr>
          <w:rFonts w:ascii="Times New Roman" w:hAnsi="Times New Roman" w:cs="Times New Roman"/>
          <w:sz w:val="24"/>
          <w:szCs w:val="24"/>
        </w:rPr>
        <w:t>,</w:t>
      </w:r>
      <w:r w:rsidRPr="00194964">
        <w:rPr>
          <w:rFonts w:ascii="Times New Roman" w:hAnsi="Times New Roman" w:cs="Times New Roman"/>
          <w:sz w:val="24"/>
          <w:szCs w:val="24"/>
        </w:rPr>
        <w:t xml:space="preserve"> Le Floch M, Bereiter B, Blunier T, Barnola JM, Siegenthaler U, et al. High-resolution carbon dioxi</w:t>
      </w:r>
      <w:r w:rsidR="00194964">
        <w:rPr>
          <w:rFonts w:ascii="Times New Roman" w:hAnsi="Times New Roman" w:cs="Times New Roman"/>
          <w:sz w:val="24"/>
          <w:szCs w:val="24"/>
        </w:rPr>
        <w:t>de concentration record 650,000-</w:t>
      </w:r>
      <w:r w:rsidRPr="00194964">
        <w:rPr>
          <w:rFonts w:ascii="Times New Roman" w:hAnsi="Times New Roman" w:cs="Times New Roman"/>
          <w:sz w:val="24"/>
          <w:szCs w:val="24"/>
        </w:rPr>
        <w:t>800,000 years before present. Nature</w:t>
      </w:r>
      <w:r w:rsidR="00194964">
        <w:rPr>
          <w:rFonts w:ascii="Times New Roman" w:hAnsi="Times New Roman" w:cs="Times New Roman"/>
          <w:sz w:val="24"/>
          <w:szCs w:val="24"/>
        </w:rPr>
        <w:t xml:space="preserve"> 2008;</w:t>
      </w:r>
      <w:r w:rsidRPr="00194964">
        <w:rPr>
          <w:rFonts w:ascii="Times New Roman" w:hAnsi="Times New Roman" w:cs="Times New Roman"/>
          <w:sz w:val="24"/>
          <w:szCs w:val="24"/>
        </w:rPr>
        <w:t xml:space="preserve">453:379-82. </w:t>
      </w:r>
    </w:p>
    <w:p w14:paraId="08F81847" w14:textId="77777777" w:rsidR="00194964" w:rsidRDefault="00EF105E" w:rsidP="00194964">
      <w:pPr>
        <w:spacing w:after="0" w:line="360" w:lineRule="auto"/>
        <w:ind w:left="426" w:hanging="426"/>
        <w:jc w:val="both"/>
        <w:rPr>
          <w:rFonts w:ascii="Times New Roman" w:hAnsi="Times New Roman" w:cs="Times New Roman"/>
          <w:sz w:val="24"/>
          <w:szCs w:val="24"/>
        </w:rPr>
      </w:pPr>
      <w:r w:rsidRPr="00194964">
        <w:rPr>
          <w:rFonts w:ascii="Times New Roman" w:hAnsi="Times New Roman" w:cs="Times New Roman"/>
          <w:sz w:val="24"/>
          <w:szCs w:val="24"/>
        </w:rPr>
        <w:t xml:space="preserve">[3] </w:t>
      </w:r>
      <w:r w:rsidR="00194964">
        <w:rPr>
          <w:rFonts w:ascii="Times New Roman" w:hAnsi="Times New Roman" w:cs="Times New Roman"/>
          <w:sz w:val="24"/>
          <w:szCs w:val="24"/>
        </w:rPr>
        <w:t>IPCC</w:t>
      </w:r>
      <w:r w:rsidRPr="00194964">
        <w:rPr>
          <w:rFonts w:ascii="Times New Roman" w:hAnsi="Times New Roman" w:cs="Times New Roman"/>
          <w:sz w:val="24"/>
          <w:szCs w:val="24"/>
        </w:rPr>
        <w:t>. Greenhouse gas inventory: IPCC guidelines for national greenhouse gas inventories. Bracknell, England: United Kingdom Meteorological Office.</w:t>
      </w:r>
      <w:r w:rsidR="00194964">
        <w:rPr>
          <w:rFonts w:ascii="Times New Roman" w:hAnsi="Times New Roman" w:cs="Times New Roman"/>
          <w:sz w:val="24"/>
          <w:szCs w:val="24"/>
        </w:rPr>
        <w:t xml:space="preserve"> 1995</w:t>
      </w:r>
    </w:p>
    <w:p w14:paraId="30C81AA9" w14:textId="77777777" w:rsidR="00194964" w:rsidRDefault="00EF105E" w:rsidP="00194964">
      <w:pPr>
        <w:spacing w:after="0" w:line="360" w:lineRule="auto"/>
        <w:ind w:left="426" w:hanging="426"/>
        <w:jc w:val="both"/>
        <w:rPr>
          <w:rFonts w:ascii="Times New Roman" w:hAnsi="Times New Roman" w:cs="Times New Roman"/>
          <w:sz w:val="24"/>
          <w:szCs w:val="24"/>
        </w:rPr>
      </w:pPr>
      <w:r w:rsidRPr="00194964">
        <w:rPr>
          <w:rFonts w:ascii="Times New Roman" w:hAnsi="Times New Roman" w:cs="Times New Roman"/>
          <w:sz w:val="24"/>
          <w:szCs w:val="24"/>
        </w:rPr>
        <w:t xml:space="preserve">[4] </w:t>
      </w:r>
      <w:r w:rsidR="00194964">
        <w:rPr>
          <w:rFonts w:ascii="Times New Roman" w:hAnsi="Times New Roman" w:cs="Times New Roman"/>
          <w:sz w:val="24"/>
          <w:szCs w:val="24"/>
        </w:rPr>
        <w:t>Nakicenovic N, Swart R</w:t>
      </w:r>
      <w:r w:rsidRPr="00194964">
        <w:rPr>
          <w:rFonts w:ascii="Times New Roman" w:hAnsi="Times New Roman" w:cs="Times New Roman"/>
          <w:sz w:val="24"/>
          <w:szCs w:val="24"/>
        </w:rPr>
        <w:t>. IPCC special report: emissions scenarios. UK: Cambridge University Press; 2001. p. 570</w:t>
      </w:r>
    </w:p>
    <w:p w14:paraId="07B38816" w14:textId="77777777" w:rsidR="00194964" w:rsidRDefault="00EF105E" w:rsidP="00194964">
      <w:pPr>
        <w:spacing w:after="0" w:line="360" w:lineRule="auto"/>
        <w:ind w:left="426" w:hanging="426"/>
        <w:jc w:val="both"/>
        <w:rPr>
          <w:rFonts w:ascii="Times New Roman" w:hAnsi="Times New Roman" w:cs="Times New Roman"/>
          <w:sz w:val="24"/>
          <w:szCs w:val="24"/>
        </w:rPr>
      </w:pPr>
      <w:r w:rsidRPr="00194964">
        <w:rPr>
          <w:rFonts w:ascii="Times New Roman" w:hAnsi="Times New Roman" w:cs="Times New Roman"/>
          <w:sz w:val="24"/>
          <w:szCs w:val="24"/>
          <w:lang w:val="en-US"/>
        </w:rPr>
        <w:t xml:space="preserve">[5] </w:t>
      </w:r>
      <w:r w:rsidR="00194964">
        <w:rPr>
          <w:rFonts w:ascii="Times New Roman" w:hAnsi="Times New Roman" w:cs="Times New Roman"/>
          <w:sz w:val="24"/>
          <w:szCs w:val="24"/>
          <w:lang w:val="en-US"/>
        </w:rPr>
        <w:t>OECD</w:t>
      </w:r>
      <w:r w:rsidRPr="00194964">
        <w:rPr>
          <w:rFonts w:ascii="Times New Roman" w:hAnsi="Times New Roman" w:cs="Times New Roman"/>
          <w:sz w:val="24"/>
          <w:szCs w:val="24"/>
          <w:lang w:val="en-US"/>
        </w:rPr>
        <w:t>. Indicators to measure decoupling of environmental pressure from economic growth. Paris: OECD.</w:t>
      </w:r>
      <w:r w:rsidR="00194964">
        <w:rPr>
          <w:rFonts w:ascii="Times New Roman" w:hAnsi="Times New Roman" w:cs="Times New Roman"/>
          <w:sz w:val="24"/>
          <w:szCs w:val="24"/>
          <w:lang w:val="en-US"/>
        </w:rPr>
        <w:t xml:space="preserve"> 2002.</w:t>
      </w:r>
      <w:r w:rsidRPr="00194964">
        <w:rPr>
          <w:rFonts w:ascii="Times New Roman" w:hAnsi="Times New Roman" w:cs="Times New Roman"/>
          <w:sz w:val="24"/>
          <w:szCs w:val="24"/>
          <w:lang w:val="en-US"/>
        </w:rPr>
        <w:t xml:space="preserve"> Available at: http://www.olis.oecd.org/olis/ 2002doc.nsf/LinkTo/sg-sd</w:t>
      </w:r>
    </w:p>
    <w:p w14:paraId="0D785A6F" w14:textId="77777777" w:rsidR="00194964" w:rsidRDefault="00194964" w:rsidP="00194964">
      <w:pPr>
        <w:spacing w:after="0"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00EF105E" w:rsidRPr="00194964">
        <w:rPr>
          <w:rFonts w:ascii="Times New Roman" w:hAnsi="Times New Roman" w:cs="Times New Roman"/>
          <w:sz w:val="24"/>
          <w:szCs w:val="24"/>
          <w:lang w:val="en-US"/>
        </w:rPr>
        <w:t xml:space="preserve">IEA – International Environmetnal Agency, 2015. Available at: </w:t>
      </w:r>
      <w:hyperlink r:id="rId32" w:history="1">
        <w:r w:rsidR="00EF105E" w:rsidRPr="00194964">
          <w:rPr>
            <w:rStyle w:val="Collegamentoipertestuale"/>
            <w:rFonts w:ascii="Times New Roman" w:hAnsi="Times New Roman" w:cs="Times New Roman"/>
            <w:sz w:val="24"/>
            <w:szCs w:val="24"/>
            <w:lang w:val="en-US"/>
          </w:rPr>
          <w:t>http://www.iea.org/newsroomandevents/news/2015/march/global-energy-related-emissions-of-carbon-dioxide-stalled-in-2014.html</w:t>
        </w:r>
      </w:hyperlink>
    </w:p>
    <w:p w14:paraId="5D320EC4" w14:textId="77777777" w:rsidR="00194964" w:rsidRDefault="00EF105E" w:rsidP="00194964">
      <w:pPr>
        <w:spacing w:after="0" w:line="360" w:lineRule="auto"/>
        <w:ind w:left="426" w:hanging="426"/>
        <w:jc w:val="both"/>
        <w:rPr>
          <w:rFonts w:ascii="Times New Roman" w:hAnsi="Times New Roman" w:cs="Times New Roman"/>
          <w:sz w:val="24"/>
          <w:szCs w:val="24"/>
        </w:rPr>
      </w:pPr>
      <w:r w:rsidRPr="00194964">
        <w:rPr>
          <w:rFonts w:ascii="Times New Roman" w:hAnsi="Times New Roman" w:cs="Times New Roman"/>
          <w:sz w:val="24"/>
          <w:szCs w:val="24"/>
          <w:lang w:val="it-IT"/>
        </w:rPr>
        <w:t xml:space="preserve">[7] </w:t>
      </w:r>
      <w:r w:rsidR="00194964">
        <w:rPr>
          <w:rFonts w:ascii="Times New Roman" w:hAnsi="Times New Roman" w:cs="Times New Roman"/>
          <w:sz w:val="24"/>
          <w:szCs w:val="24"/>
          <w:lang w:val="it-IT"/>
        </w:rPr>
        <w:t>Voigt S</w:t>
      </w:r>
      <w:r w:rsidRPr="00194964">
        <w:rPr>
          <w:rFonts w:ascii="Times New Roman" w:hAnsi="Times New Roman" w:cs="Times New Roman"/>
          <w:sz w:val="24"/>
          <w:szCs w:val="24"/>
          <w:lang w:val="it-IT"/>
        </w:rPr>
        <w:t>, De C</w:t>
      </w:r>
      <w:r w:rsidR="00194964">
        <w:rPr>
          <w:rFonts w:ascii="Times New Roman" w:hAnsi="Times New Roman" w:cs="Times New Roman"/>
          <w:sz w:val="24"/>
          <w:szCs w:val="24"/>
          <w:lang w:val="it-IT"/>
        </w:rPr>
        <w:t>ian E</w:t>
      </w:r>
      <w:r w:rsidRPr="00194964">
        <w:rPr>
          <w:rFonts w:ascii="Times New Roman" w:hAnsi="Times New Roman" w:cs="Times New Roman"/>
          <w:sz w:val="24"/>
          <w:szCs w:val="24"/>
          <w:lang w:val="it-IT"/>
        </w:rPr>
        <w:t>, S</w:t>
      </w:r>
      <w:r w:rsidR="00194964">
        <w:rPr>
          <w:rFonts w:ascii="Times New Roman" w:hAnsi="Times New Roman" w:cs="Times New Roman"/>
          <w:sz w:val="24"/>
          <w:szCs w:val="24"/>
          <w:lang w:val="it-IT"/>
        </w:rPr>
        <w:t>chymura M, Verdolini E.</w:t>
      </w:r>
      <w:r w:rsidRPr="00194964">
        <w:rPr>
          <w:rFonts w:ascii="Times New Roman" w:hAnsi="Times New Roman" w:cs="Times New Roman"/>
          <w:sz w:val="24"/>
          <w:szCs w:val="24"/>
          <w:lang w:val="it-IT"/>
        </w:rPr>
        <w:t xml:space="preserve"> 2014. </w:t>
      </w:r>
      <w:r w:rsidRPr="00194964">
        <w:rPr>
          <w:rFonts w:ascii="Times New Roman" w:hAnsi="Times New Roman" w:cs="Times New Roman"/>
          <w:sz w:val="24"/>
          <w:szCs w:val="24"/>
          <w:lang w:val="en-US"/>
        </w:rPr>
        <w:t xml:space="preserve">Energy intensity development in 40 major economies: structural changes or technological improvement? Energy Economics </w:t>
      </w:r>
      <w:r w:rsidR="00621213">
        <w:rPr>
          <w:rFonts w:ascii="Times New Roman" w:hAnsi="Times New Roman" w:cs="Times New Roman"/>
          <w:sz w:val="24"/>
          <w:szCs w:val="24"/>
          <w:lang w:val="en-US"/>
        </w:rPr>
        <w:t>2004;41:</w:t>
      </w:r>
      <w:r w:rsidRPr="00194964">
        <w:rPr>
          <w:rFonts w:ascii="Times New Roman" w:hAnsi="Times New Roman" w:cs="Times New Roman"/>
          <w:sz w:val="24"/>
          <w:szCs w:val="24"/>
          <w:lang w:val="en-US"/>
        </w:rPr>
        <w:t>47-62</w:t>
      </w:r>
    </w:p>
    <w:p w14:paraId="646D691E" w14:textId="77777777" w:rsidR="00194964" w:rsidRDefault="00EF105E" w:rsidP="00194964">
      <w:pPr>
        <w:spacing w:after="0" w:line="360" w:lineRule="auto"/>
        <w:ind w:left="426" w:hanging="426"/>
        <w:jc w:val="both"/>
        <w:rPr>
          <w:rFonts w:ascii="Times New Roman" w:hAnsi="Times New Roman" w:cs="Times New Roman"/>
          <w:sz w:val="24"/>
          <w:szCs w:val="24"/>
        </w:rPr>
      </w:pPr>
      <w:r w:rsidRPr="00194964">
        <w:rPr>
          <w:rFonts w:ascii="Times New Roman" w:hAnsi="Times New Roman" w:cs="Times New Roman"/>
          <w:sz w:val="24"/>
          <w:szCs w:val="24"/>
          <w:lang w:val="en-US"/>
        </w:rPr>
        <w:t xml:space="preserve">[8] </w:t>
      </w:r>
      <w:r w:rsidR="00621213">
        <w:rPr>
          <w:rFonts w:ascii="Times New Roman" w:hAnsi="Times New Roman" w:cs="Times New Roman"/>
          <w:color w:val="000000"/>
          <w:sz w:val="24"/>
          <w:szCs w:val="24"/>
          <w:shd w:val="clear" w:color="auto" w:fill="FFFFFF"/>
        </w:rPr>
        <w:t xml:space="preserve">Allcott H, </w:t>
      </w:r>
      <w:r w:rsidR="00143690" w:rsidRPr="00194964">
        <w:rPr>
          <w:rFonts w:ascii="Times New Roman" w:hAnsi="Times New Roman" w:cs="Times New Roman"/>
          <w:color w:val="000000"/>
          <w:sz w:val="24"/>
          <w:szCs w:val="24"/>
          <w:shd w:val="clear" w:color="auto" w:fill="FFFFFF"/>
        </w:rPr>
        <w:t>Greenstone</w:t>
      </w:r>
      <w:r w:rsidR="00621213">
        <w:rPr>
          <w:rFonts w:ascii="Times New Roman" w:hAnsi="Times New Roman" w:cs="Times New Roman"/>
          <w:color w:val="000000"/>
          <w:sz w:val="24"/>
          <w:szCs w:val="24"/>
          <w:shd w:val="clear" w:color="auto" w:fill="FFFFFF"/>
        </w:rPr>
        <w:t xml:space="preserve"> M. </w:t>
      </w:r>
      <w:r w:rsidR="00143690" w:rsidRPr="00194964">
        <w:rPr>
          <w:rFonts w:ascii="Times New Roman" w:hAnsi="Times New Roman" w:cs="Times New Roman"/>
          <w:color w:val="000000"/>
          <w:sz w:val="24"/>
          <w:szCs w:val="24"/>
          <w:shd w:val="clear" w:color="auto" w:fill="FFFFFF"/>
        </w:rPr>
        <w:t xml:space="preserve">Is </w:t>
      </w:r>
      <w:r w:rsidR="00621213">
        <w:rPr>
          <w:rFonts w:ascii="Times New Roman" w:hAnsi="Times New Roman" w:cs="Times New Roman"/>
          <w:color w:val="000000"/>
          <w:sz w:val="24"/>
          <w:szCs w:val="24"/>
          <w:shd w:val="clear" w:color="auto" w:fill="FFFFFF"/>
        </w:rPr>
        <w:t>There an Energy Efficiency Gap</w:t>
      </w:r>
      <w:r w:rsidR="00621213" w:rsidRPr="00621213">
        <w:rPr>
          <w:rFonts w:ascii="Times New Roman" w:hAnsi="Times New Roman" w:cs="Times New Roman"/>
          <w:color w:val="000000"/>
          <w:sz w:val="24"/>
          <w:szCs w:val="24"/>
          <w:shd w:val="clear" w:color="auto" w:fill="FFFFFF"/>
        </w:rPr>
        <w:t xml:space="preserve">?. </w:t>
      </w:r>
      <w:r w:rsidR="00143690" w:rsidRPr="00621213">
        <w:rPr>
          <w:rFonts w:ascii="Times New Roman" w:hAnsi="Times New Roman" w:cs="Times New Roman"/>
          <w:iCs/>
          <w:color w:val="000000"/>
          <w:sz w:val="24"/>
          <w:szCs w:val="24"/>
          <w:shd w:val="clear" w:color="auto" w:fill="FFFFFF"/>
        </w:rPr>
        <w:t>Journal of Economic Perspectives</w:t>
      </w:r>
      <w:r w:rsidR="00621213">
        <w:rPr>
          <w:rFonts w:ascii="Times New Roman" w:hAnsi="Times New Roman" w:cs="Times New Roman"/>
          <w:color w:val="000000"/>
          <w:sz w:val="24"/>
          <w:szCs w:val="24"/>
          <w:shd w:val="clear" w:color="auto" w:fill="FFFFFF"/>
        </w:rPr>
        <w:t xml:space="preserve"> 2012;26(1):</w:t>
      </w:r>
      <w:r w:rsidR="00143690" w:rsidRPr="00194964">
        <w:rPr>
          <w:rFonts w:ascii="Times New Roman" w:hAnsi="Times New Roman" w:cs="Times New Roman"/>
          <w:color w:val="000000"/>
          <w:sz w:val="24"/>
          <w:szCs w:val="24"/>
          <w:shd w:val="clear" w:color="auto" w:fill="FFFFFF"/>
        </w:rPr>
        <w:t>3-28.</w:t>
      </w:r>
    </w:p>
    <w:p w14:paraId="54667DA9" w14:textId="77777777" w:rsidR="00194964" w:rsidRDefault="00143690" w:rsidP="00194964">
      <w:pPr>
        <w:spacing w:after="0" w:line="360" w:lineRule="auto"/>
        <w:ind w:left="426" w:hanging="426"/>
        <w:jc w:val="both"/>
        <w:rPr>
          <w:rFonts w:ascii="Times New Roman" w:hAnsi="Times New Roman" w:cs="Times New Roman"/>
          <w:sz w:val="24"/>
          <w:szCs w:val="24"/>
        </w:rPr>
      </w:pPr>
      <w:r w:rsidRPr="00194964">
        <w:rPr>
          <w:rFonts w:ascii="Times New Roman" w:hAnsi="Times New Roman" w:cs="Times New Roman"/>
          <w:sz w:val="24"/>
          <w:szCs w:val="24"/>
        </w:rPr>
        <w:t xml:space="preserve"> </w:t>
      </w:r>
      <w:r w:rsidR="00EF105E" w:rsidRPr="00194964">
        <w:rPr>
          <w:rFonts w:ascii="Times New Roman" w:hAnsi="Times New Roman" w:cs="Times New Roman"/>
          <w:sz w:val="24"/>
          <w:szCs w:val="24"/>
        </w:rPr>
        <w:t xml:space="preserve">[9] World Input-Output Database (WIOD) : </w:t>
      </w:r>
      <w:hyperlink r:id="rId33" w:history="1">
        <w:r w:rsidR="00EF105E" w:rsidRPr="00194964">
          <w:rPr>
            <w:rFonts w:ascii="Times New Roman" w:hAnsi="Times New Roman" w:cs="Times New Roman"/>
            <w:color w:val="0000FF"/>
            <w:sz w:val="24"/>
            <w:szCs w:val="24"/>
            <w:u w:val="single"/>
          </w:rPr>
          <w:t>www.wiod.org</w:t>
        </w:r>
      </w:hyperlink>
    </w:p>
    <w:p w14:paraId="7AEFAD75" w14:textId="77777777" w:rsidR="00194964" w:rsidRDefault="00EF105E" w:rsidP="00194964">
      <w:pPr>
        <w:spacing w:after="0" w:line="360" w:lineRule="auto"/>
        <w:ind w:left="426" w:hanging="426"/>
        <w:jc w:val="both"/>
        <w:rPr>
          <w:rFonts w:ascii="Times New Roman" w:hAnsi="Times New Roman" w:cs="Times New Roman"/>
          <w:sz w:val="24"/>
          <w:szCs w:val="24"/>
        </w:rPr>
      </w:pPr>
      <w:r w:rsidRPr="00194964">
        <w:rPr>
          <w:rFonts w:ascii="Times New Roman" w:hAnsi="Times New Roman" w:cs="Times New Roman"/>
          <w:sz w:val="24"/>
          <w:szCs w:val="24"/>
          <w:lang w:val="en-US"/>
        </w:rPr>
        <w:t xml:space="preserve">[10] </w:t>
      </w:r>
      <w:r w:rsidR="00621213">
        <w:rPr>
          <w:rFonts w:ascii="Times New Roman" w:hAnsi="Times New Roman" w:cs="Times New Roman"/>
          <w:sz w:val="24"/>
          <w:szCs w:val="24"/>
        </w:rPr>
        <w:t>Sue Wing I.</w:t>
      </w:r>
      <w:r w:rsidRPr="00194964">
        <w:rPr>
          <w:rFonts w:ascii="Times New Roman" w:hAnsi="Times New Roman" w:cs="Times New Roman"/>
          <w:sz w:val="24"/>
          <w:szCs w:val="24"/>
        </w:rPr>
        <w:t xml:space="preserve"> Explaining the declining energy intensity of the U.S Resour.</w:t>
      </w:r>
      <w:r w:rsidR="00621213">
        <w:rPr>
          <w:rFonts w:ascii="Times New Roman" w:hAnsi="Times New Roman" w:cs="Times New Roman"/>
          <w:sz w:val="24"/>
          <w:szCs w:val="24"/>
        </w:rPr>
        <w:t xml:space="preserve"> Energy Econ. 2008;30:</w:t>
      </w:r>
      <w:r w:rsidRPr="00194964">
        <w:rPr>
          <w:rFonts w:ascii="Times New Roman" w:hAnsi="Times New Roman" w:cs="Times New Roman"/>
          <w:sz w:val="24"/>
          <w:szCs w:val="24"/>
        </w:rPr>
        <w:t>21–49</w:t>
      </w:r>
    </w:p>
    <w:p w14:paraId="57DE6560" w14:textId="77777777" w:rsidR="00194964" w:rsidRDefault="00EF105E" w:rsidP="00194964">
      <w:pPr>
        <w:spacing w:after="0" w:line="360" w:lineRule="auto"/>
        <w:ind w:left="426" w:hanging="426"/>
        <w:jc w:val="both"/>
        <w:rPr>
          <w:rFonts w:ascii="Times New Roman" w:hAnsi="Times New Roman" w:cs="Times New Roman"/>
          <w:sz w:val="24"/>
          <w:szCs w:val="24"/>
        </w:rPr>
      </w:pPr>
      <w:r w:rsidRPr="00194964">
        <w:rPr>
          <w:rFonts w:ascii="Times New Roman" w:hAnsi="Times New Roman" w:cs="Times New Roman"/>
          <w:sz w:val="24"/>
          <w:szCs w:val="24"/>
        </w:rPr>
        <w:t xml:space="preserve">[11] </w:t>
      </w:r>
      <w:r w:rsidR="00621213">
        <w:rPr>
          <w:rFonts w:ascii="Times New Roman" w:hAnsi="Times New Roman" w:cs="Times New Roman"/>
          <w:sz w:val="24"/>
          <w:szCs w:val="24"/>
        </w:rPr>
        <w:t>Huntington H.G.</w:t>
      </w:r>
      <w:r w:rsidRPr="00194964">
        <w:rPr>
          <w:rFonts w:ascii="Times New Roman" w:hAnsi="Times New Roman" w:cs="Times New Roman"/>
          <w:sz w:val="24"/>
          <w:szCs w:val="24"/>
        </w:rPr>
        <w:t xml:space="preserve"> Structural change and U.S. energy use: recent patterns </w:t>
      </w:r>
      <w:r w:rsidR="00621213">
        <w:rPr>
          <w:rFonts w:ascii="Times New Roman" w:hAnsi="Times New Roman" w:cs="Times New Roman"/>
          <w:sz w:val="24"/>
          <w:szCs w:val="24"/>
        </w:rPr>
        <w:t>Energy 2000;31:</w:t>
      </w:r>
      <w:r w:rsidRPr="00194964">
        <w:rPr>
          <w:rFonts w:ascii="Times New Roman" w:hAnsi="Times New Roman" w:cs="Times New Roman"/>
          <w:sz w:val="24"/>
          <w:szCs w:val="24"/>
        </w:rPr>
        <w:t xml:space="preserve"> 25–39</w:t>
      </w:r>
    </w:p>
    <w:p w14:paraId="09E40818" w14:textId="77777777" w:rsidR="00194964" w:rsidRDefault="00EF105E" w:rsidP="00194964">
      <w:pPr>
        <w:spacing w:after="0" w:line="360" w:lineRule="auto"/>
        <w:ind w:left="426" w:hanging="426"/>
        <w:jc w:val="both"/>
        <w:rPr>
          <w:rFonts w:ascii="Times New Roman" w:hAnsi="Times New Roman" w:cs="Times New Roman"/>
          <w:sz w:val="24"/>
          <w:szCs w:val="24"/>
        </w:rPr>
      </w:pPr>
      <w:r w:rsidRPr="00194964">
        <w:rPr>
          <w:rFonts w:ascii="Times New Roman" w:hAnsi="Times New Roman" w:cs="Times New Roman"/>
          <w:sz w:val="24"/>
          <w:szCs w:val="24"/>
        </w:rPr>
        <w:lastRenderedPageBreak/>
        <w:t xml:space="preserve">[12] Fisher-Vanden </w:t>
      </w:r>
      <w:r w:rsidR="00621213">
        <w:rPr>
          <w:rFonts w:ascii="Times New Roman" w:hAnsi="Times New Roman" w:cs="Times New Roman"/>
          <w:sz w:val="24"/>
          <w:szCs w:val="24"/>
        </w:rPr>
        <w:t>K</w:t>
      </w:r>
      <w:r w:rsidRPr="00194964">
        <w:rPr>
          <w:rFonts w:ascii="Times New Roman" w:hAnsi="Times New Roman" w:cs="Times New Roman"/>
          <w:sz w:val="24"/>
          <w:szCs w:val="24"/>
        </w:rPr>
        <w:t>,</w:t>
      </w:r>
      <w:r w:rsidR="00621213">
        <w:rPr>
          <w:rFonts w:ascii="Times New Roman" w:hAnsi="Times New Roman" w:cs="Times New Roman"/>
          <w:sz w:val="24"/>
          <w:szCs w:val="24"/>
        </w:rPr>
        <w:t xml:space="preserve"> Jefferson GH, Liu H, </w:t>
      </w:r>
      <w:r w:rsidRPr="00194964">
        <w:rPr>
          <w:rFonts w:ascii="Times New Roman" w:hAnsi="Times New Roman" w:cs="Times New Roman"/>
          <w:sz w:val="24"/>
          <w:szCs w:val="24"/>
        </w:rPr>
        <w:t>Tao</w:t>
      </w:r>
      <w:r w:rsidR="00621213">
        <w:rPr>
          <w:rFonts w:ascii="Times New Roman" w:hAnsi="Times New Roman" w:cs="Times New Roman"/>
          <w:sz w:val="24"/>
          <w:szCs w:val="24"/>
        </w:rPr>
        <w:t xml:space="preserve"> Q.</w:t>
      </w:r>
      <w:r w:rsidRPr="00194964">
        <w:rPr>
          <w:rFonts w:ascii="Times New Roman" w:hAnsi="Times New Roman" w:cs="Times New Roman"/>
          <w:sz w:val="24"/>
          <w:szCs w:val="24"/>
        </w:rPr>
        <w:t xml:space="preserve"> What is driving China's decline in energy intensity? </w:t>
      </w:r>
      <w:r w:rsidR="00621213">
        <w:rPr>
          <w:rFonts w:ascii="Times New Roman" w:hAnsi="Times New Roman" w:cs="Times New Roman"/>
          <w:sz w:val="24"/>
          <w:szCs w:val="24"/>
        </w:rPr>
        <w:t>Resour. Energy Econ. 2004;26,</w:t>
      </w:r>
      <w:r w:rsidRPr="00194964">
        <w:rPr>
          <w:rFonts w:ascii="Times New Roman" w:hAnsi="Times New Roman" w:cs="Times New Roman"/>
          <w:sz w:val="24"/>
          <w:szCs w:val="24"/>
        </w:rPr>
        <w:t>77–97</w:t>
      </w:r>
    </w:p>
    <w:p w14:paraId="0C1729A2" w14:textId="77777777" w:rsidR="00194964" w:rsidRDefault="00EF105E" w:rsidP="00194964">
      <w:pPr>
        <w:spacing w:after="0" w:line="360" w:lineRule="auto"/>
        <w:ind w:left="426" w:hanging="426"/>
        <w:jc w:val="both"/>
        <w:rPr>
          <w:rFonts w:ascii="Times New Roman" w:hAnsi="Times New Roman" w:cs="Times New Roman"/>
          <w:sz w:val="24"/>
          <w:szCs w:val="24"/>
        </w:rPr>
      </w:pPr>
      <w:r w:rsidRPr="00194964">
        <w:rPr>
          <w:rFonts w:ascii="Times New Roman" w:hAnsi="Times New Roman" w:cs="Times New Roman"/>
          <w:sz w:val="24"/>
          <w:szCs w:val="24"/>
        </w:rPr>
        <w:t xml:space="preserve">[13] </w:t>
      </w:r>
      <w:r w:rsidR="00621213">
        <w:rPr>
          <w:rFonts w:ascii="Times New Roman" w:hAnsi="Times New Roman" w:cs="Times New Roman"/>
          <w:sz w:val="24"/>
          <w:szCs w:val="24"/>
        </w:rPr>
        <w:t>Ma C</w:t>
      </w:r>
      <w:r w:rsidRPr="00194964">
        <w:rPr>
          <w:rFonts w:ascii="Times New Roman" w:hAnsi="Times New Roman" w:cs="Times New Roman"/>
          <w:sz w:val="24"/>
          <w:szCs w:val="24"/>
        </w:rPr>
        <w:t>, Stern</w:t>
      </w:r>
      <w:r w:rsidR="00621213">
        <w:rPr>
          <w:rFonts w:ascii="Times New Roman" w:hAnsi="Times New Roman" w:cs="Times New Roman"/>
          <w:sz w:val="24"/>
          <w:szCs w:val="24"/>
        </w:rPr>
        <w:t xml:space="preserve"> DI.</w:t>
      </w:r>
      <w:r w:rsidRPr="00194964">
        <w:rPr>
          <w:rFonts w:ascii="Times New Roman" w:hAnsi="Times New Roman" w:cs="Times New Roman"/>
          <w:sz w:val="24"/>
          <w:szCs w:val="24"/>
        </w:rPr>
        <w:t xml:space="preserve"> China's changing energy intensity trend: a decomposition analysis </w:t>
      </w:r>
      <w:r w:rsidR="00621213">
        <w:rPr>
          <w:rFonts w:ascii="Times New Roman" w:hAnsi="Times New Roman" w:cs="Times New Roman"/>
          <w:sz w:val="24"/>
          <w:szCs w:val="24"/>
        </w:rPr>
        <w:t>Energy Econ. 2008;30</w:t>
      </w:r>
      <w:r w:rsidRPr="00194964">
        <w:rPr>
          <w:rFonts w:ascii="Times New Roman" w:hAnsi="Times New Roman" w:cs="Times New Roman"/>
          <w:sz w:val="24"/>
          <w:szCs w:val="24"/>
        </w:rPr>
        <w:t>(3)</w:t>
      </w:r>
      <w:r w:rsidR="00621213">
        <w:rPr>
          <w:rFonts w:ascii="Times New Roman" w:hAnsi="Times New Roman" w:cs="Times New Roman"/>
          <w:sz w:val="24"/>
          <w:szCs w:val="24"/>
        </w:rPr>
        <w:t>:</w:t>
      </w:r>
      <w:r w:rsidRPr="00194964">
        <w:rPr>
          <w:rFonts w:ascii="Times New Roman" w:hAnsi="Times New Roman" w:cs="Times New Roman"/>
          <w:sz w:val="24"/>
          <w:szCs w:val="24"/>
        </w:rPr>
        <w:t>1037–1053</w:t>
      </w:r>
    </w:p>
    <w:p w14:paraId="6FA4E611" w14:textId="77777777" w:rsidR="00194964" w:rsidRDefault="00EF105E" w:rsidP="00194964">
      <w:pPr>
        <w:spacing w:after="0" w:line="360" w:lineRule="auto"/>
        <w:ind w:left="426" w:hanging="426"/>
        <w:jc w:val="both"/>
        <w:rPr>
          <w:rFonts w:ascii="Times New Roman" w:hAnsi="Times New Roman" w:cs="Times New Roman"/>
          <w:sz w:val="24"/>
          <w:szCs w:val="24"/>
        </w:rPr>
      </w:pPr>
      <w:r w:rsidRPr="00194964">
        <w:rPr>
          <w:rFonts w:ascii="Times New Roman" w:hAnsi="Times New Roman" w:cs="Times New Roman"/>
          <w:sz w:val="24"/>
          <w:szCs w:val="24"/>
        </w:rPr>
        <w:t xml:space="preserve">[14] </w:t>
      </w:r>
      <w:r w:rsidR="00621213">
        <w:rPr>
          <w:rFonts w:ascii="Times New Roman" w:hAnsi="Times New Roman" w:cs="Times New Roman"/>
          <w:sz w:val="24"/>
          <w:szCs w:val="24"/>
        </w:rPr>
        <w:t>Wu Y.</w:t>
      </w:r>
      <w:r w:rsidRPr="00194964">
        <w:rPr>
          <w:rFonts w:ascii="Times New Roman" w:hAnsi="Times New Roman" w:cs="Times New Roman"/>
          <w:sz w:val="24"/>
          <w:szCs w:val="24"/>
        </w:rPr>
        <w:t xml:space="preserve"> Energy intensity and its determinants in China's regional economies, </w:t>
      </w:r>
      <w:r w:rsidR="00621213">
        <w:rPr>
          <w:rFonts w:ascii="Times New Roman" w:hAnsi="Times New Roman" w:cs="Times New Roman"/>
          <w:sz w:val="24"/>
          <w:szCs w:val="24"/>
        </w:rPr>
        <w:t>Energy Policy 2012;</w:t>
      </w:r>
      <w:r w:rsidRPr="00194964">
        <w:rPr>
          <w:rFonts w:ascii="Times New Roman" w:hAnsi="Times New Roman" w:cs="Times New Roman"/>
          <w:sz w:val="24"/>
          <w:szCs w:val="24"/>
        </w:rPr>
        <w:t>41</w:t>
      </w:r>
      <w:r w:rsidR="00621213">
        <w:rPr>
          <w:rFonts w:ascii="Times New Roman" w:hAnsi="Times New Roman" w:cs="Times New Roman"/>
          <w:sz w:val="24"/>
          <w:szCs w:val="24"/>
        </w:rPr>
        <w:t>:</w:t>
      </w:r>
      <w:r w:rsidRPr="00194964">
        <w:rPr>
          <w:rFonts w:ascii="Times New Roman" w:hAnsi="Times New Roman" w:cs="Times New Roman"/>
          <w:sz w:val="24"/>
          <w:szCs w:val="24"/>
        </w:rPr>
        <w:t xml:space="preserve"> 703–711</w:t>
      </w:r>
    </w:p>
    <w:p w14:paraId="241B1F8D" w14:textId="77777777" w:rsidR="00194964" w:rsidRDefault="00EF105E" w:rsidP="00194964">
      <w:pPr>
        <w:spacing w:after="0" w:line="360" w:lineRule="auto"/>
        <w:ind w:left="426" w:hanging="426"/>
        <w:jc w:val="both"/>
        <w:rPr>
          <w:rFonts w:ascii="Times New Roman" w:hAnsi="Times New Roman" w:cs="Times New Roman"/>
          <w:sz w:val="24"/>
          <w:szCs w:val="24"/>
        </w:rPr>
      </w:pPr>
      <w:r w:rsidRPr="00194964">
        <w:rPr>
          <w:rFonts w:ascii="Times New Roman" w:hAnsi="Times New Roman" w:cs="Times New Roman"/>
          <w:sz w:val="24"/>
          <w:szCs w:val="24"/>
        </w:rPr>
        <w:t xml:space="preserve">[15] </w:t>
      </w:r>
      <w:r w:rsidR="00621213">
        <w:rPr>
          <w:rFonts w:ascii="Times New Roman" w:hAnsi="Times New Roman" w:cs="Times New Roman"/>
          <w:sz w:val="24"/>
          <w:szCs w:val="24"/>
        </w:rPr>
        <w:t>Zhang Z</w:t>
      </w:r>
      <w:r w:rsidRPr="00194964">
        <w:rPr>
          <w:rFonts w:ascii="Times New Roman" w:hAnsi="Times New Roman" w:cs="Times New Roman"/>
          <w:sz w:val="24"/>
          <w:szCs w:val="24"/>
        </w:rPr>
        <w:t xml:space="preserve">, Why did the energy intensity fall in China's industry sector in the 1990s? The relative importance of structural change and intensity change </w:t>
      </w:r>
      <w:r w:rsidR="00621213">
        <w:rPr>
          <w:rFonts w:ascii="Times New Roman" w:hAnsi="Times New Roman" w:cs="Times New Roman"/>
          <w:sz w:val="24"/>
          <w:szCs w:val="24"/>
        </w:rPr>
        <w:t>Energy Econ. 2003;</w:t>
      </w:r>
      <w:r w:rsidRPr="00194964">
        <w:rPr>
          <w:rFonts w:ascii="Times New Roman" w:hAnsi="Times New Roman" w:cs="Times New Roman"/>
          <w:sz w:val="24"/>
          <w:szCs w:val="24"/>
        </w:rPr>
        <w:t>25</w:t>
      </w:r>
      <w:r w:rsidR="00621213">
        <w:rPr>
          <w:rFonts w:ascii="Times New Roman" w:hAnsi="Times New Roman" w:cs="Times New Roman"/>
          <w:sz w:val="24"/>
          <w:szCs w:val="24"/>
        </w:rPr>
        <w:t>:</w:t>
      </w:r>
      <w:r w:rsidRPr="00194964">
        <w:rPr>
          <w:rFonts w:ascii="Times New Roman" w:hAnsi="Times New Roman" w:cs="Times New Roman"/>
          <w:sz w:val="24"/>
          <w:szCs w:val="24"/>
        </w:rPr>
        <w:t>625–638</w:t>
      </w:r>
    </w:p>
    <w:p w14:paraId="3F9623FD" w14:textId="77777777" w:rsidR="00194964" w:rsidRDefault="00EF105E" w:rsidP="00194964">
      <w:pPr>
        <w:spacing w:after="0" w:line="360" w:lineRule="auto"/>
        <w:ind w:left="426" w:hanging="426"/>
        <w:jc w:val="both"/>
        <w:rPr>
          <w:rFonts w:ascii="Times New Roman" w:hAnsi="Times New Roman" w:cs="Times New Roman"/>
          <w:sz w:val="24"/>
          <w:szCs w:val="24"/>
        </w:rPr>
      </w:pPr>
      <w:r w:rsidRPr="00194964">
        <w:rPr>
          <w:rFonts w:ascii="Times New Roman" w:hAnsi="Times New Roman" w:cs="Times New Roman"/>
          <w:sz w:val="24"/>
          <w:szCs w:val="24"/>
        </w:rPr>
        <w:t xml:space="preserve">[16] Sanstad </w:t>
      </w:r>
      <w:r w:rsidR="00621213">
        <w:rPr>
          <w:rFonts w:ascii="Times New Roman" w:hAnsi="Times New Roman" w:cs="Times New Roman"/>
          <w:sz w:val="24"/>
          <w:szCs w:val="24"/>
        </w:rPr>
        <w:t xml:space="preserve">AH, </w:t>
      </w:r>
      <w:r w:rsidRPr="00194964">
        <w:rPr>
          <w:rFonts w:ascii="Times New Roman" w:hAnsi="Times New Roman" w:cs="Times New Roman"/>
          <w:sz w:val="24"/>
          <w:szCs w:val="24"/>
        </w:rPr>
        <w:t>Roy</w:t>
      </w:r>
      <w:r w:rsidR="00621213">
        <w:rPr>
          <w:rFonts w:ascii="Times New Roman" w:hAnsi="Times New Roman" w:cs="Times New Roman"/>
          <w:sz w:val="24"/>
          <w:szCs w:val="24"/>
        </w:rPr>
        <w:t xml:space="preserve"> J,</w:t>
      </w:r>
      <w:r w:rsidRPr="00194964">
        <w:rPr>
          <w:rFonts w:ascii="Times New Roman" w:hAnsi="Times New Roman" w:cs="Times New Roman"/>
          <w:sz w:val="24"/>
          <w:szCs w:val="24"/>
        </w:rPr>
        <w:t xml:space="preserve"> Sathaye</w:t>
      </w:r>
      <w:r w:rsidR="00621213">
        <w:rPr>
          <w:rFonts w:ascii="Times New Roman" w:hAnsi="Times New Roman" w:cs="Times New Roman"/>
          <w:sz w:val="24"/>
          <w:szCs w:val="24"/>
        </w:rPr>
        <w:t xml:space="preserve"> JA.</w:t>
      </w:r>
      <w:r w:rsidRPr="00194964">
        <w:rPr>
          <w:rFonts w:ascii="Times New Roman" w:hAnsi="Times New Roman" w:cs="Times New Roman"/>
          <w:sz w:val="24"/>
          <w:szCs w:val="24"/>
        </w:rPr>
        <w:t xml:space="preserve"> Estimating energy-augmenting technological change in developing country industries </w:t>
      </w:r>
      <w:r w:rsidR="00621213">
        <w:rPr>
          <w:rFonts w:ascii="Times New Roman" w:hAnsi="Times New Roman" w:cs="Times New Roman"/>
          <w:sz w:val="24"/>
          <w:szCs w:val="24"/>
        </w:rPr>
        <w:t>Energy Econ. 006;</w:t>
      </w:r>
      <w:r w:rsidRPr="00194964">
        <w:rPr>
          <w:rFonts w:ascii="Times New Roman" w:hAnsi="Times New Roman" w:cs="Times New Roman"/>
          <w:sz w:val="24"/>
          <w:szCs w:val="24"/>
        </w:rPr>
        <w:t>28</w:t>
      </w:r>
      <w:r w:rsidR="00621213">
        <w:rPr>
          <w:rFonts w:ascii="Times New Roman" w:hAnsi="Times New Roman" w:cs="Times New Roman"/>
          <w:sz w:val="24"/>
          <w:szCs w:val="24"/>
        </w:rPr>
        <w:t>:</w:t>
      </w:r>
      <w:r w:rsidRPr="00194964">
        <w:rPr>
          <w:rFonts w:ascii="Times New Roman" w:hAnsi="Times New Roman" w:cs="Times New Roman"/>
          <w:sz w:val="24"/>
          <w:szCs w:val="24"/>
        </w:rPr>
        <w:t xml:space="preserve"> 720–729</w:t>
      </w:r>
    </w:p>
    <w:p w14:paraId="7DEF6A7C" w14:textId="77777777" w:rsidR="00194964" w:rsidRDefault="00EF105E" w:rsidP="00194964">
      <w:pPr>
        <w:spacing w:after="0" w:line="360" w:lineRule="auto"/>
        <w:ind w:left="426" w:hanging="426"/>
        <w:jc w:val="both"/>
        <w:rPr>
          <w:rFonts w:ascii="Times New Roman" w:hAnsi="Times New Roman" w:cs="Times New Roman"/>
          <w:sz w:val="24"/>
          <w:szCs w:val="24"/>
        </w:rPr>
      </w:pPr>
      <w:r w:rsidRPr="00194964">
        <w:rPr>
          <w:rFonts w:ascii="Times New Roman" w:hAnsi="Times New Roman" w:cs="Times New Roman"/>
          <w:sz w:val="24"/>
          <w:szCs w:val="24"/>
        </w:rPr>
        <w:t xml:space="preserve">[17] </w:t>
      </w:r>
      <w:r w:rsidR="00621213">
        <w:rPr>
          <w:rFonts w:ascii="Times New Roman" w:hAnsi="Times New Roman" w:cs="Times New Roman"/>
          <w:sz w:val="24"/>
          <w:szCs w:val="24"/>
        </w:rPr>
        <w:t>Mulder, P, De Groot HLF</w:t>
      </w:r>
      <w:r w:rsidRPr="00194964">
        <w:rPr>
          <w:rFonts w:ascii="Times New Roman" w:hAnsi="Times New Roman" w:cs="Times New Roman"/>
          <w:sz w:val="24"/>
          <w:szCs w:val="24"/>
        </w:rPr>
        <w:t xml:space="preserve">. Structural change and convergence of energy intensity across OECD countries, 1970–2005. Energy Econ. </w:t>
      </w:r>
      <w:r w:rsidR="00621213">
        <w:rPr>
          <w:rFonts w:ascii="Times New Roman" w:hAnsi="Times New Roman" w:cs="Times New Roman"/>
          <w:sz w:val="24"/>
          <w:szCs w:val="24"/>
        </w:rPr>
        <w:t>2012;34(6):</w:t>
      </w:r>
      <w:r w:rsidRPr="00194964">
        <w:rPr>
          <w:rFonts w:ascii="Times New Roman" w:hAnsi="Times New Roman" w:cs="Times New Roman"/>
          <w:sz w:val="24"/>
          <w:szCs w:val="24"/>
        </w:rPr>
        <w:t>1910–1921</w:t>
      </w:r>
    </w:p>
    <w:p w14:paraId="64D5257C" w14:textId="77777777" w:rsidR="00194964" w:rsidRDefault="00EF105E" w:rsidP="00194964">
      <w:pPr>
        <w:spacing w:after="0" w:line="360" w:lineRule="auto"/>
        <w:ind w:left="426" w:hanging="426"/>
        <w:jc w:val="both"/>
        <w:rPr>
          <w:rFonts w:ascii="Times New Roman" w:hAnsi="Times New Roman" w:cs="Times New Roman"/>
          <w:sz w:val="24"/>
          <w:szCs w:val="24"/>
        </w:rPr>
      </w:pPr>
      <w:r w:rsidRPr="00194964">
        <w:rPr>
          <w:rFonts w:ascii="Times New Roman" w:hAnsi="Times New Roman" w:cs="Times New Roman"/>
          <w:sz w:val="24"/>
          <w:szCs w:val="24"/>
        </w:rPr>
        <w:t xml:space="preserve">[18] Greening </w:t>
      </w:r>
      <w:r w:rsidR="00621213">
        <w:rPr>
          <w:rFonts w:ascii="Times New Roman" w:hAnsi="Times New Roman" w:cs="Times New Roman"/>
          <w:sz w:val="24"/>
          <w:szCs w:val="24"/>
        </w:rPr>
        <w:t>LA</w:t>
      </w:r>
      <w:r w:rsidRPr="00194964">
        <w:rPr>
          <w:rFonts w:ascii="Times New Roman" w:hAnsi="Times New Roman" w:cs="Times New Roman"/>
          <w:sz w:val="24"/>
          <w:szCs w:val="24"/>
        </w:rPr>
        <w:t>, Davis</w:t>
      </w:r>
      <w:r w:rsidR="00621213">
        <w:rPr>
          <w:rFonts w:ascii="Times New Roman" w:hAnsi="Times New Roman" w:cs="Times New Roman"/>
          <w:sz w:val="24"/>
          <w:szCs w:val="24"/>
        </w:rPr>
        <w:t xml:space="preserve"> WB</w:t>
      </w:r>
      <w:r w:rsidRPr="00194964">
        <w:rPr>
          <w:rFonts w:ascii="Times New Roman" w:hAnsi="Times New Roman" w:cs="Times New Roman"/>
          <w:sz w:val="24"/>
          <w:szCs w:val="24"/>
        </w:rPr>
        <w:t>, Schipper</w:t>
      </w:r>
      <w:r w:rsidR="00621213">
        <w:rPr>
          <w:rFonts w:ascii="Times New Roman" w:hAnsi="Times New Roman" w:cs="Times New Roman"/>
          <w:sz w:val="24"/>
          <w:szCs w:val="24"/>
        </w:rPr>
        <w:t xml:space="preserve"> L.</w:t>
      </w:r>
      <w:r w:rsidRPr="00194964">
        <w:rPr>
          <w:rFonts w:ascii="Times New Roman" w:hAnsi="Times New Roman" w:cs="Times New Roman"/>
          <w:sz w:val="24"/>
          <w:szCs w:val="24"/>
        </w:rPr>
        <w:t xml:space="preserve"> Decomposition of aggregate carbon intensity for the manufacturing sector: comparison of declining trends from 10 OECD countries for the period 1971–1991 </w:t>
      </w:r>
      <w:r w:rsidR="00621213">
        <w:rPr>
          <w:rFonts w:ascii="Times New Roman" w:hAnsi="Times New Roman" w:cs="Times New Roman"/>
          <w:sz w:val="24"/>
          <w:szCs w:val="24"/>
        </w:rPr>
        <w:t>Energy Econ. 1998;20:</w:t>
      </w:r>
      <w:r w:rsidRPr="00194964">
        <w:rPr>
          <w:rFonts w:ascii="Times New Roman" w:hAnsi="Times New Roman" w:cs="Times New Roman"/>
          <w:sz w:val="24"/>
          <w:szCs w:val="24"/>
        </w:rPr>
        <w:t>43–65</w:t>
      </w:r>
    </w:p>
    <w:p w14:paraId="600BEB6C" w14:textId="77777777" w:rsidR="00194964" w:rsidRDefault="00EF105E" w:rsidP="00194964">
      <w:pPr>
        <w:spacing w:after="0" w:line="360" w:lineRule="auto"/>
        <w:ind w:left="426" w:hanging="426"/>
        <w:jc w:val="both"/>
        <w:rPr>
          <w:rFonts w:ascii="Times New Roman" w:hAnsi="Times New Roman" w:cs="Times New Roman"/>
          <w:sz w:val="24"/>
          <w:szCs w:val="24"/>
        </w:rPr>
      </w:pPr>
      <w:r w:rsidRPr="00194964">
        <w:rPr>
          <w:rFonts w:ascii="Times New Roman" w:hAnsi="Times New Roman" w:cs="Times New Roman"/>
          <w:sz w:val="24"/>
          <w:szCs w:val="24"/>
        </w:rPr>
        <w:t xml:space="preserve">[19] </w:t>
      </w:r>
      <w:r w:rsidR="00621213">
        <w:rPr>
          <w:rFonts w:ascii="Times New Roman" w:hAnsi="Times New Roman" w:cs="Times New Roman"/>
          <w:sz w:val="24"/>
          <w:szCs w:val="24"/>
        </w:rPr>
        <w:t>Alcântara V</w:t>
      </w:r>
      <w:r w:rsidRPr="00194964">
        <w:rPr>
          <w:rFonts w:ascii="Times New Roman" w:hAnsi="Times New Roman" w:cs="Times New Roman"/>
          <w:sz w:val="24"/>
          <w:szCs w:val="24"/>
        </w:rPr>
        <w:t>, Duarte</w:t>
      </w:r>
      <w:r w:rsidR="00621213">
        <w:rPr>
          <w:rFonts w:ascii="Times New Roman" w:hAnsi="Times New Roman" w:cs="Times New Roman"/>
          <w:sz w:val="24"/>
          <w:szCs w:val="24"/>
        </w:rPr>
        <w:t xml:space="preserve"> R.</w:t>
      </w:r>
      <w:r w:rsidRPr="00194964">
        <w:rPr>
          <w:rFonts w:ascii="Times New Roman" w:hAnsi="Times New Roman" w:cs="Times New Roman"/>
          <w:sz w:val="24"/>
          <w:szCs w:val="24"/>
        </w:rPr>
        <w:t xml:space="preserve"> Comparison of energy intensities in European Union countries. Results of a structural decomposition analysis </w:t>
      </w:r>
      <w:r w:rsidR="00621213">
        <w:rPr>
          <w:rFonts w:ascii="Times New Roman" w:hAnsi="Times New Roman" w:cs="Times New Roman"/>
          <w:sz w:val="24"/>
          <w:szCs w:val="24"/>
        </w:rPr>
        <w:t>Energy Policy 204;</w:t>
      </w:r>
      <w:r w:rsidRPr="00194964">
        <w:rPr>
          <w:rFonts w:ascii="Times New Roman" w:hAnsi="Times New Roman" w:cs="Times New Roman"/>
          <w:sz w:val="24"/>
          <w:szCs w:val="24"/>
        </w:rPr>
        <w:t>32</w:t>
      </w:r>
      <w:r w:rsidR="00621213">
        <w:rPr>
          <w:rFonts w:ascii="Times New Roman" w:hAnsi="Times New Roman" w:cs="Times New Roman"/>
          <w:sz w:val="24"/>
          <w:szCs w:val="24"/>
        </w:rPr>
        <w:t>:</w:t>
      </w:r>
      <w:r w:rsidRPr="00194964">
        <w:rPr>
          <w:rFonts w:ascii="Times New Roman" w:hAnsi="Times New Roman" w:cs="Times New Roman"/>
          <w:sz w:val="24"/>
          <w:szCs w:val="24"/>
        </w:rPr>
        <w:t xml:space="preserve"> 177–189</w:t>
      </w:r>
    </w:p>
    <w:p w14:paraId="44538538" w14:textId="77777777" w:rsidR="00194964" w:rsidRDefault="00621213" w:rsidP="00194964">
      <w:p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[20] Dietzenbacher E, Los B. Stehrer R, Timmer M, Gaaitzen de V</w:t>
      </w:r>
      <w:r w:rsidR="00EF105E" w:rsidRPr="00194964">
        <w:rPr>
          <w:rFonts w:ascii="Times New Roman" w:hAnsi="Times New Roman" w:cs="Times New Roman"/>
          <w:sz w:val="24"/>
          <w:szCs w:val="24"/>
        </w:rPr>
        <w:t xml:space="preserve">. The Construction of World Input-Output Tables in the Wiod Project. Economic Systems Research </w:t>
      </w:r>
      <w:r>
        <w:rPr>
          <w:rFonts w:ascii="Times New Roman" w:hAnsi="Times New Roman" w:cs="Times New Roman"/>
          <w:sz w:val="24"/>
          <w:szCs w:val="24"/>
        </w:rPr>
        <w:t>2013;25:</w:t>
      </w:r>
      <w:r w:rsidR="00EF105E" w:rsidRPr="00194964">
        <w:rPr>
          <w:rFonts w:ascii="Times New Roman" w:hAnsi="Times New Roman" w:cs="Times New Roman"/>
          <w:sz w:val="24"/>
          <w:szCs w:val="24"/>
        </w:rPr>
        <w:t>71-89</w:t>
      </w:r>
    </w:p>
    <w:p w14:paraId="532AA044" w14:textId="77777777" w:rsidR="00194964" w:rsidRDefault="00EF105E" w:rsidP="00194964">
      <w:pPr>
        <w:spacing w:after="0" w:line="360" w:lineRule="auto"/>
        <w:ind w:left="426" w:hanging="426"/>
        <w:jc w:val="both"/>
        <w:rPr>
          <w:rFonts w:ascii="Times New Roman" w:hAnsi="Times New Roman" w:cs="Times New Roman"/>
          <w:sz w:val="24"/>
          <w:szCs w:val="24"/>
        </w:rPr>
      </w:pPr>
      <w:r w:rsidRPr="00194964">
        <w:rPr>
          <w:rFonts w:ascii="Times New Roman" w:hAnsi="Times New Roman" w:cs="Times New Roman"/>
          <w:sz w:val="24"/>
          <w:szCs w:val="24"/>
        </w:rPr>
        <w:t xml:space="preserve">[21] OECD Database: </w:t>
      </w:r>
      <w:hyperlink r:id="rId34" w:history="1">
        <w:r w:rsidRPr="00194964">
          <w:rPr>
            <w:rStyle w:val="Collegamentoipertestuale"/>
            <w:rFonts w:ascii="Times New Roman" w:hAnsi="Times New Roman" w:cs="Times New Roman"/>
            <w:sz w:val="24"/>
            <w:szCs w:val="24"/>
          </w:rPr>
          <w:t>http://stats.oecd.org/</w:t>
        </w:r>
      </w:hyperlink>
    </w:p>
    <w:p w14:paraId="25533243" w14:textId="77777777" w:rsidR="00194964" w:rsidRDefault="00EF105E" w:rsidP="00194964">
      <w:pPr>
        <w:spacing w:after="0" w:line="360" w:lineRule="auto"/>
        <w:ind w:left="426" w:hanging="426"/>
        <w:jc w:val="both"/>
        <w:rPr>
          <w:rFonts w:ascii="Times New Roman" w:hAnsi="Times New Roman" w:cs="Times New Roman"/>
          <w:sz w:val="24"/>
          <w:szCs w:val="24"/>
        </w:rPr>
      </w:pPr>
      <w:r w:rsidRPr="00194964">
        <w:rPr>
          <w:rFonts w:ascii="Times New Roman" w:hAnsi="Times New Roman" w:cs="Times New Roman"/>
          <w:sz w:val="24"/>
          <w:szCs w:val="24"/>
        </w:rPr>
        <w:t xml:space="preserve">[22] EBRD – European Bank of Reconstruction and Development, 2013. Transition Report </w:t>
      </w:r>
      <w:r w:rsidR="00621213">
        <w:rPr>
          <w:rFonts w:ascii="Times New Roman" w:hAnsi="Times New Roman" w:cs="Times New Roman"/>
          <w:sz w:val="24"/>
          <w:szCs w:val="24"/>
        </w:rPr>
        <w:t xml:space="preserve">2013. </w:t>
      </w:r>
      <w:r w:rsidRPr="00194964">
        <w:rPr>
          <w:rFonts w:ascii="Times New Roman" w:hAnsi="Times New Roman" w:cs="Times New Roman"/>
          <w:sz w:val="24"/>
          <w:szCs w:val="24"/>
        </w:rPr>
        <w:t>St</w:t>
      </w:r>
      <w:r w:rsidR="00194964">
        <w:rPr>
          <w:rFonts w:ascii="Times New Roman" w:hAnsi="Times New Roman" w:cs="Times New Roman"/>
          <w:sz w:val="24"/>
          <w:szCs w:val="24"/>
        </w:rPr>
        <w:t>uck in Transition. EBRD, London</w:t>
      </w:r>
      <w:r w:rsidR="00621213">
        <w:rPr>
          <w:rFonts w:ascii="Times New Roman" w:hAnsi="Times New Roman" w:cs="Times New Roman"/>
          <w:sz w:val="24"/>
          <w:szCs w:val="24"/>
        </w:rPr>
        <w:t>, 2013</w:t>
      </w:r>
    </w:p>
    <w:p w14:paraId="03BBFADA" w14:textId="77777777" w:rsidR="00194964" w:rsidRDefault="00EF105E" w:rsidP="00194964">
      <w:pPr>
        <w:spacing w:after="0" w:line="360" w:lineRule="auto"/>
        <w:ind w:left="426" w:hanging="426"/>
        <w:jc w:val="both"/>
        <w:rPr>
          <w:rStyle w:val="Collegamentoipertestuale"/>
          <w:rFonts w:ascii="Times New Roman" w:hAnsi="Times New Roman" w:cs="Times New Roman"/>
          <w:color w:val="auto"/>
          <w:sz w:val="24"/>
          <w:szCs w:val="24"/>
          <w:u w:val="none"/>
        </w:rPr>
      </w:pPr>
      <w:r w:rsidRPr="00194964">
        <w:rPr>
          <w:rFonts w:ascii="Times New Roman" w:hAnsi="Times New Roman" w:cs="Times New Roman"/>
          <w:sz w:val="24"/>
          <w:szCs w:val="24"/>
          <w:lang w:val="en-US"/>
        </w:rPr>
        <w:t xml:space="preserve">[23] Regional Environmental Center: </w:t>
      </w:r>
      <w:hyperlink r:id="rId35" w:history="1">
        <w:r w:rsidRPr="00194964">
          <w:rPr>
            <w:rStyle w:val="Collegamentoipertestuale"/>
            <w:rFonts w:ascii="Times New Roman" w:hAnsi="Times New Roman" w:cs="Times New Roman"/>
            <w:sz w:val="24"/>
            <w:szCs w:val="24"/>
          </w:rPr>
          <w:t>www.rec.org</w:t>
        </w:r>
      </w:hyperlink>
    </w:p>
    <w:p w14:paraId="5D932DBF" w14:textId="77777777" w:rsidR="00194964" w:rsidRDefault="00EF105E" w:rsidP="00194964">
      <w:pPr>
        <w:spacing w:after="0" w:line="360" w:lineRule="auto"/>
        <w:ind w:left="426" w:hanging="426"/>
        <w:jc w:val="both"/>
        <w:rPr>
          <w:rFonts w:ascii="Times New Roman" w:hAnsi="Times New Roman" w:cs="Times New Roman"/>
          <w:sz w:val="24"/>
          <w:szCs w:val="24"/>
        </w:rPr>
      </w:pPr>
      <w:r w:rsidRPr="00194964">
        <w:rPr>
          <w:rFonts w:ascii="Times New Roman" w:hAnsi="Times New Roman" w:cs="Times New Roman"/>
          <w:sz w:val="24"/>
          <w:szCs w:val="24"/>
          <w:lang w:val="en-US"/>
        </w:rPr>
        <w:t xml:space="preserve">[24] </w:t>
      </w:r>
      <w:r w:rsidRPr="00194964">
        <w:rPr>
          <w:rFonts w:ascii="Times New Roman" w:hAnsi="Times New Roman" w:cs="Times New Roman"/>
          <w:sz w:val="24"/>
          <w:szCs w:val="24"/>
        </w:rPr>
        <w:t>ECF – Eur</w:t>
      </w:r>
      <w:r w:rsidR="00621213">
        <w:rPr>
          <w:rFonts w:ascii="Times New Roman" w:hAnsi="Times New Roman" w:cs="Times New Roman"/>
          <w:sz w:val="24"/>
          <w:szCs w:val="24"/>
        </w:rPr>
        <w:t xml:space="preserve">opean Climate Foundation. </w:t>
      </w:r>
      <w:r w:rsidRPr="00194964">
        <w:rPr>
          <w:rFonts w:ascii="Times New Roman" w:hAnsi="Times New Roman" w:cs="Times New Roman"/>
          <w:sz w:val="24"/>
          <w:szCs w:val="24"/>
        </w:rPr>
        <w:t>Roadmap 2050. A practical guide to a prosperous, low-carbon Europe.</w:t>
      </w:r>
      <w:r w:rsidR="00621213">
        <w:rPr>
          <w:rFonts w:ascii="Times New Roman" w:hAnsi="Times New Roman" w:cs="Times New Roman"/>
          <w:sz w:val="24"/>
          <w:szCs w:val="24"/>
        </w:rPr>
        <w:t xml:space="preserve"> 2011</w:t>
      </w:r>
      <w:r w:rsidRPr="00194964">
        <w:rPr>
          <w:rFonts w:ascii="Times New Roman" w:hAnsi="Times New Roman" w:cs="Times New Roman"/>
          <w:sz w:val="24"/>
          <w:szCs w:val="24"/>
        </w:rPr>
        <w:t xml:space="preserve"> Available at: </w:t>
      </w:r>
      <w:hyperlink r:id="rId36" w:history="1">
        <w:r w:rsidRPr="00194964">
          <w:rPr>
            <w:rFonts w:ascii="Times New Roman" w:hAnsi="Times New Roman" w:cs="Times New Roman"/>
            <w:color w:val="0000FF"/>
            <w:sz w:val="24"/>
            <w:szCs w:val="24"/>
            <w:u w:val="single"/>
          </w:rPr>
          <w:t>www.roadmap2050.eu</w:t>
        </w:r>
      </w:hyperlink>
    </w:p>
    <w:p w14:paraId="724EED32" w14:textId="77777777" w:rsidR="00194964" w:rsidRDefault="00EF105E" w:rsidP="00194964">
      <w:pPr>
        <w:spacing w:after="0" w:line="360" w:lineRule="auto"/>
        <w:ind w:left="426" w:hanging="426"/>
        <w:jc w:val="both"/>
        <w:rPr>
          <w:rFonts w:ascii="Times New Roman" w:hAnsi="Times New Roman" w:cs="Times New Roman"/>
          <w:sz w:val="24"/>
          <w:szCs w:val="24"/>
        </w:rPr>
      </w:pPr>
      <w:r w:rsidRPr="00194964">
        <w:rPr>
          <w:rFonts w:ascii="Times New Roman" w:hAnsi="Times New Roman" w:cs="Times New Roman"/>
          <w:sz w:val="24"/>
          <w:szCs w:val="24"/>
          <w:lang w:val="en-US"/>
        </w:rPr>
        <w:t xml:space="preserve">[25] </w:t>
      </w:r>
      <w:r w:rsidR="00621213">
        <w:rPr>
          <w:rFonts w:ascii="Times New Roman" w:hAnsi="Times New Roman" w:cs="Times New Roman"/>
          <w:sz w:val="24"/>
          <w:szCs w:val="24"/>
        </w:rPr>
        <w:t>Budzianowski WM</w:t>
      </w:r>
      <w:r w:rsidRPr="00194964">
        <w:rPr>
          <w:rFonts w:ascii="Times New Roman" w:hAnsi="Times New Roman" w:cs="Times New Roman"/>
          <w:sz w:val="24"/>
          <w:szCs w:val="24"/>
        </w:rPr>
        <w:t xml:space="preserve">. Target for national carbon intensity of energy by 2050: A case study of Poland’s energy system. Energy </w:t>
      </w:r>
      <w:r w:rsidR="00621213">
        <w:rPr>
          <w:rFonts w:ascii="Times New Roman" w:hAnsi="Times New Roman" w:cs="Times New Roman"/>
          <w:sz w:val="24"/>
          <w:szCs w:val="24"/>
        </w:rPr>
        <w:t>2012;46:</w:t>
      </w:r>
      <w:r w:rsidRPr="00194964">
        <w:rPr>
          <w:rFonts w:ascii="Times New Roman" w:hAnsi="Times New Roman" w:cs="Times New Roman"/>
          <w:sz w:val="24"/>
          <w:szCs w:val="24"/>
        </w:rPr>
        <w:t xml:space="preserve">575-581 </w:t>
      </w:r>
    </w:p>
    <w:p w14:paraId="58EE9E2F" w14:textId="77777777" w:rsidR="00194964" w:rsidRDefault="00EF105E" w:rsidP="00194964">
      <w:pPr>
        <w:spacing w:after="0" w:line="360" w:lineRule="auto"/>
        <w:ind w:left="426" w:hanging="426"/>
        <w:jc w:val="both"/>
        <w:rPr>
          <w:rFonts w:ascii="Times New Roman" w:hAnsi="Times New Roman" w:cs="Times New Roman"/>
          <w:sz w:val="24"/>
          <w:szCs w:val="24"/>
        </w:rPr>
      </w:pPr>
      <w:r w:rsidRPr="00194964">
        <w:rPr>
          <w:rFonts w:ascii="Times New Roman" w:hAnsi="Times New Roman" w:cs="Times New Roman"/>
          <w:sz w:val="24"/>
          <w:szCs w:val="24"/>
        </w:rPr>
        <w:t xml:space="preserve">[26] </w:t>
      </w:r>
      <w:r w:rsidR="00621213">
        <w:rPr>
          <w:rFonts w:ascii="Times New Roman" w:hAnsi="Times New Roman" w:cs="Times New Roman"/>
          <w:sz w:val="24"/>
          <w:szCs w:val="24"/>
        </w:rPr>
        <w:t>Henriques ST, Borowiecki KJ</w:t>
      </w:r>
      <w:r w:rsidRPr="00194964">
        <w:rPr>
          <w:rFonts w:ascii="Times New Roman" w:hAnsi="Times New Roman" w:cs="Times New Roman"/>
          <w:sz w:val="24"/>
          <w:szCs w:val="24"/>
        </w:rPr>
        <w:t>. The drivers of long-run CO</w:t>
      </w:r>
      <w:r w:rsidRPr="00194964">
        <w:rPr>
          <w:rFonts w:ascii="Times New Roman" w:hAnsi="Times New Roman" w:cs="Times New Roman"/>
          <w:sz w:val="24"/>
          <w:szCs w:val="24"/>
          <w:vertAlign w:val="subscript"/>
        </w:rPr>
        <w:t xml:space="preserve">2 </w:t>
      </w:r>
      <w:r w:rsidRPr="00194964">
        <w:rPr>
          <w:rFonts w:ascii="Times New Roman" w:hAnsi="Times New Roman" w:cs="Times New Roman"/>
          <w:sz w:val="24"/>
          <w:szCs w:val="24"/>
        </w:rPr>
        <w:t>emissions: a global perspective since 1800. Trinity Economic Papers – Working</w:t>
      </w:r>
      <w:r w:rsidR="00194964">
        <w:rPr>
          <w:rFonts w:ascii="Times New Roman" w:hAnsi="Times New Roman" w:cs="Times New Roman"/>
          <w:sz w:val="24"/>
          <w:szCs w:val="24"/>
        </w:rPr>
        <w:t xml:space="preserve"> Paper No. 0314, September 2014</w:t>
      </w:r>
    </w:p>
    <w:p w14:paraId="55375733" w14:textId="77777777" w:rsidR="00194964" w:rsidRDefault="00EF105E" w:rsidP="00194964">
      <w:pPr>
        <w:spacing w:after="0" w:line="360" w:lineRule="auto"/>
        <w:ind w:left="426" w:hanging="426"/>
        <w:jc w:val="both"/>
        <w:rPr>
          <w:rFonts w:ascii="Times New Roman" w:hAnsi="Times New Roman" w:cs="Times New Roman"/>
          <w:sz w:val="24"/>
          <w:szCs w:val="24"/>
        </w:rPr>
      </w:pPr>
      <w:r w:rsidRPr="00621213">
        <w:rPr>
          <w:rFonts w:ascii="Times New Roman" w:hAnsi="Times New Roman" w:cs="Times New Roman"/>
          <w:sz w:val="24"/>
          <w:szCs w:val="24"/>
          <w:lang w:val="en-US"/>
        </w:rPr>
        <w:t xml:space="preserve">[27] </w:t>
      </w:r>
      <w:r w:rsidR="00621213" w:rsidRPr="00621213">
        <w:rPr>
          <w:rFonts w:ascii="Times New Roman" w:hAnsi="Times New Roman" w:cs="Times New Roman"/>
          <w:sz w:val="24"/>
          <w:szCs w:val="24"/>
          <w:lang w:val="en-US"/>
        </w:rPr>
        <w:t>Balcerowicz L, Rzonca A, Kalina L, Laszek A.</w:t>
      </w:r>
      <w:r w:rsidRPr="00621213">
        <w:rPr>
          <w:rFonts w:ascii="Times New Roman" w:hAnsi="Times New Roman" w:cs="Times New Roman"/>
          <w:sz w:val="24"/>
          <w:szCs w:val="24"/>
          <w:lang w:val="en-US"/>
        </w:rPr>
        <w:t xml:space="preserve"> </w:t>
      </w:r>
      <w:r w:rsidRPr="00194964">
        <w:rPr>
          <w:rFonts w:ascii="Times New Roman" w:hAnsi="Times New Roman" w:cs="Times New Roman"/>
          <w:sz w:val="24"/>
          <w:szCs w:val="24"/>
          <w:lang w:val="en-US"/>
        </w:rPr>
        <w:t>Economic growth in the European Union. Lisbon Council E-Book, Brussels</w:t>
      </w:r>
      <w:r w:rsidR="00621213">
        <w:rPr>
          <w:rFonts w:ascii="Times New Roman" w:hAnsi="Times New Roman" w:cs="Times New Roman"/>
          <w:sz w:val="24"/>
          <w:szCs w:val="24"/>
          <w:lang w:val="en-US"/>
        </w:rPr>
        <w:t>, 2013</w:t>
      </w:r>
    </w:p>
    <w:p w14:paraId="47192F78" w14:textId="77777777" w:rsidR="00194964" w:rsidRDefault="00EF105E" w:rsidP="00194964">
      <w:pPr>
        <w:spacing w:after="0" w:line="360" w:lineRule="auto"/>
        <w:ind w:left="426" w:hanging="426"/>
        <w:jc w:val="both"/>
        <w:rPr>
          <w:rFonts w:ascii="Times New Roman" w:hAnsi="Times New Roman" w:cs="Times New Roman"/>
          <w:sz w:val="24"/>
          <w:szCs w:val="24"/>
        </w:rPr>
      </w:pPr>
      <w:r w:rsidRPr="00194964">
        <w:rPr>
          <w:rFonts w:ascii="Times New Roman" w:hAnsi="Times New Roman" w:cs="Times New Roman"/>
          <w:sz w:val="24"/>
          <w:szCs w:val="24"/>
        </w:rPr>
        <w:lastRenderedPageBreak/>
        <w:t>[28] IMF – I</w:t>
      </w:r>
      <w:r w:rsidR="00621213">
        <w:rPr>
          <w:rFonts w:ascii="Times New Roman" w:hAnsi="Times New Roman" w:cs="Times New Roman"/>
          <w:sz w:val="24"/>
          <w:szCs w:val="24"/>
        </w:rPr>
        <w:t>nternational Monetary Fund</w:t>
      </w:r>
      <w:r w:rsidRPr="00194964">
        <w:rPr>
          <w:rFonts w:ascii="Times New Roman" w:hAnsi="Times New Roman" w:cs="Times New Roman"/>
          <w:sz w:val="24"/>
          <w:szCs w:val="24"/>
        </w:rPr>
        <w:t>. Germany: Staff Report for the Article IV Consultations with</w:t>
      </w:r>
      <w:r w:rsidR="00621213">
        <w:rPr>
          <w:rFonts w:ascii="Times New Roman" w:hAnsi="Times New Roman" w:cs="Times New Roman"/>
          <w:sz w:val="24"/>
          <w:szCs w:val="24"/>
        </w:rPr>
        <w:t xml:space="preserve"> Germany. Washington: IMF,</w:t>
      </w:r>
      <w:r w:rsidR="00194964">
        <w:rPr>
          <w:rFonts w:ascii="Times New Roman" w:hAnsi="Times New Roman" w:cs="Times New Roman"/>
          <w:sz w:val="24"/>
          <w:szCs w:val="24"/>
        </w:rPr>
        <w:t xml:space="preserve"> 2011</w:t>
      </w:r>
    </w:p>
    <w:p w14:paraId="2C3EF6AC" w14:textId="77777777" w:rsidR="00194964" w:rsidRDefault="00EF105E" w:rsidP="00194964">
      <w:pPr>
        <w:spacing w:after="0" w:line="360" w:lineRule="auto"/>
        <w:ind w:left="426" w:hanging="426"/>
        <w:jc w:val="both"/>
        <w:rPr>
          <w:rFonts w:ascii="Times New Roman" w:hAnsi="Times New Roman" w:cs="Times New Roman"/>
          <w:sz w:val="24"/>
          <w:szCs w:val="24"/>
        </w:rPr>
      </w:pPr>
      <w:r w:rsidRPr="00194964">
        <w:rPr>
          <w:rFonts w:ascii="Times New Roman" w:hAnsi="Times New Roman" w:cs="Times New Roman"/>
          <w:sz w:val="24"/>
          <w:szCs w:val="24"/>
        </w:rPr>
        <w:t xml:space="preserve">[29] </w:t>
      </w:r>
      <w:r w:rsidR="00621213">
        <w:rPr>
          <w:rFonts w:ascii="Times New Roman" w:hAnsi="Times New Roman" w:cs="Times New Roman"/>
          <w:sz w:val="24"/>
          <w:szCs w:val="24"/>
        </w:rPr>
        <w:t>Lusinyan L, Muir D</w:t>
      </w:r>
      <w:r w:rsidRPr="00194964">
        <w:rPr>
          <w:rFonts w:ascii="Times New Roman" w:hAnsi="Times New Roman" w:cs="Times New Roman"/>
          <w:sz w:val="24"/>
          <w:szCs w:val="24"/>
        </w:rPr>
        <w:t>. Assessing the Macroeconomic Impact of Structural Reforms. The Case of It</w:t>
      </w:r>
      <w:r w:rsidR="00621213">
        <w:rPr>
          <w:rFonts w:ascii="Times New Roman" w:hAnsi="Times New Roman" w:cs="Times New Roman"/>
          <w:sz w:val="24"/>
          <w:szCs w:val="24"/>
        </w:rPr>
        <w:t>aly. IMF Working Papers 13/22, 2013</w:t>
      </w:r>
    </w:p>
    <w:p w14:paraId="0689E36E" w14:textId="77777777" w:rsidR="00194964" w:rsidRDefault="00EF105E" w:rsidP="00194964">
      <w:pPr>
        <w:spacing w:after="0" w:line="360" w:lineRule="auto"/>
        <w:ind w:left="426" w:hanging="426"/>
        <w:jc w:val="both"/>
        <w:rPr>
          <w:rFonts w:ascii="Times New Roman" w:hAnsi="Times New Roman" w:cs="Times New Roman"/>
          <w:sz w:val="24"/>
          <w:szCs w:val="24"/>
        </w:rPr>
      </w:pPr>
      <w:r w:rsidRPr="00194964">
        <w:rPr>
          <w:rFonts w:ascii="Times New Roman" w:hAnsi="Times New Roman" w:cs="Times New Roman"/>
          <w:sz w:val="24"/>
          <w:szCs w:val="24"/>
        </w:rPr>
        <w:t>[30] IMF – Int</w:t>
      </w:r>
      <w:r w:rsidR="00621213">
        <w:rPr>
          <w:rFonts w:ascii="Times New Roman" w:hAnsi="Times New Roman" w:cs="Times New Roman"/>
          <w:sz w:val="24"/>
          <w:szCs w:val="24"/>
        </w:rPr>
        <w:t>ernational Monetary Fund.</w:t>
      </w:r>
      <w:r w:rsidRPr="00194964">
        <w:rPr>
          <w:rFonts w:ascii="Times New Roman" w:hAnsi="Times New Roman" w:cs="Times New Roman"/>
          <w:sz w:val="24"/>
          <w:szCs w:val="24"/>
        </w:rPr>
        <w:t xml:space="preserve"> Italy:  Staff Report for the 2011 Article IV Consultation with Italy. IMF Country Report No. 11/173</w:t>
      </w:r>
      <w:r w:rsidR="00621213">
        <w:rPr>
          <w:rFonts w:ascii="Times New Roman" w:hAnsi="Times New Roman" w:cs="Times New Roman"/>
          <w:sz w:val="24"/>
          <w:szCs w:val="24"/>
        </w:rPr>
        <w:t>, 2011</w:t>
      </w:r>
    </w:p>
    <w:p w14:paraId="72E69640" w14:textId="77777777" w:rsidR="00194964" w:rsidRDefault="00EF105E" w:rsidP="00194964">
      <w:pPr>
        <w:spacing w:after="0" w:line="360" w:lineRule="auto"/>
        <w:ind w:left="426" w:hanging="426"/>
        <w:jc w:val="both"/>
        <w:rPr>
          <w:rFonts w:ascii="Times New Roman" w:hAnsi="Times New Roman" w:cs="Times New Roman"/>
          <w:sz w:val="24"/>
          <w:szCs w:val="24"/>
        </w:rPr>
      </w:pPr>
      <w:r w:rsidRPr="00621213">
        <w:rPr>
          <w:rFonts w:ascii="Times New Roman" w:hAnsi="Times New Roman" w:cs="Times New Roman"/>
          <w:sz w:val="24"/>
          <w:szCs w:val="24"/>
          <w:lang w:val="en-US"/>
        </w:rPr>
        <w:t xml:space="preserve">[31] </w:t>
      </w:r>
      <w:r w:rsidR="00621213" w:rsidRPr="00621213">
        <w:rPr>
          <w:rFonts w:ascii="Times New Roman" w:hAnsi="Times New Roman" w:cs="Times New Roman"/>
          <w:sz w:val="24"/>
          <w:szCs w:val="24"/>
          <w:lang w:val="en-US"/>
        </w:rPr>
        <w:t>Graf B</w:t>
      </w:r>
      <w:r w:rsidRPr="00621213">
        <w:rPr>
          <w:rFonts w:ascii="Times New Roman" w:hAnsi="Times New Roman" w:cs="Times New Roman"/>
          <w:sz w:val="24"/>
          <w:szCs w:val="24"/>
          <w:lang w:val="en-US"/>
        </w:rPr>
        <w:t>,</w:t>
      </w:r>
      <w:r w:rsidR="00621213" w:rsidRPr="00621213">
        <w:rPr>
          <w:rFonts w:ascii="Times New Roman" w:hAnsi="Times New Roman" w:cs="Times New Roman"/>
          <w:sz w:val="24"/>
          <w:szCs w:val="24"/>
          <w:lang w:val="en-US"/>
        </w:rPr>
        <w:t xml:space="preserve"> Rakau O, Schneider S</w:t>
      </w:r>
      <w:r w:rsidRPr="00621213">
        <w:rPr>
          <w:rFonts w:ascii="Times New Roman" w:hAnsi="Times New Roman" w:cs="Times New Roman"/>
          <w:sz w:val="24"/>
          <w:szCs w:val="24"/>
          <w:lang w:val="en-US"/>
        </w:rPr>
        <w:t xml:space="preserve">. </w:t>
      </w:r>
      <w:r w:rsidRPr="00194964">
        <w:rPr>
          <w:rFonts w:ascii="Times New Roman" w:hAnsi="Times New Roman" w:cs="Times New Roman"/>
          <w:sz w:val="24"/>
          <w:szCs w:val="24"/>
        </w:rPr>
        <w:t>Focus on Germany, Current Issues. London: Deuts</w:t>
      </w:r>
      <w:r w:rsidR="00194964">
        <w:rPr>
          <w:rFonts w:ascii="Times New Roman" w:hAnsi="Times New Roman" w:cs="Times New Roman"/>
          <w:sz w:val="24"/>
          <w:szCs w:val="24"/>
        </w:rPr>
        <w:t>che Bank Markets Research, 2013</w:t>
      </w:r>
    </w:p>
    <w:p w14:paraId="131F044C" w14:textId="77777777" w:rsidR="00194964" w:rsidRDefault="00EF105E" w:rsidP="00194964">
      <w:pPr>
        <w:spacing w:after="0" w:line="360" w:lineRule="auto"/>
        <w:ind w:left="426" w:hanging="426"/>
        <w:jc w:val="both"/>
        <w:rPr>
          <w:rFonts w:ascii="Times New Roman" w:hAnsi="Times New Roman" w:cs="Times New Roman"/>
          <w:sz w:val="24"/>
          <w:szCs w:val="24"/>
          <w:lang w:val="en-US"/>
        </w:rPr>
      </w:pPr>
      <w:r w:rsidRPr="00194964">
        <w:rPr>
          <w:rFonts w:ascii="Times New Roman" w:hAnsi="Times New Roman" w:cs="Times New Roman"/>
          <w:sz w:val="24"/>
          <w:szCs w:val="24"/>
        </w:rPr>
        <w:t xml:space="preserve">[32] </w:t>
      </w:r>
      <w:r w:rsidR="00621213">
        <w:rPr>
          <w:rFonts w:ascii="Times New Roman" w:hAnsi="Times New Roman" w:cs="Times New Roman"/>
          <w:sz w:val="24"/>
          <w:szCs w:val="24"/>
          <w:lang w:val="en-US"/>
        </w:rPr>
        <w:t>Koo RC</w:t>
      </w:r>
      <w:r w:rsidRPr="00194964">
        <w:rPr>
          <w:rFonts w:ascii="Times New Roman" w:hAnsi="Times New Roman" w:cs="Times New Roman"/>
          <w:sz w:val="24"/>
          <w:szCs w:val="24"/>
          <w:lang w:val="en-US"/>
        </w:rPr>
        <w:t>. Balance Sheet Recession: Japan’s Struggle with Uncharted Economics and its Global Implications. Singapore: J</w:t>
      </w:r>
      <w:r w:rsidR="00621213">
        <w:rPr>
          <w:rFonts w:ascii="Times New Roman" w:hAnsi="Times New Roman" w:cs="Times New Roman"/>
          <w:sz w:val="24"/>
          <w:szCs w:val="24"/>
          <w:lang w:val="en-US"/>
        </w:rPr>
        <w:t>ohn Wiley &amp; Sons (Asia) Pte Ltd, 2003</w:t>
      </w:r>
    </w:p>
    <w:p w14:paraId="27F49294" w14:textId="77777777" w:rsidR="00194964" w:rsidRDefault="00EF105E" w:rsidP="00194964">
      <w:pPr>
        <w:spacing w:after="0" w:line="360" w:lineRule="auto"/>
        <w:ind w:left="426" w:hanging="426"/>
        <w:jc w:val="both"/>
        <w:rPr>
          <w:rFonts w:ascii="Times New Roman" w:hAnsi="Times New Roman" w:cs="Times New Roman"/>
          <w:sz w:val="24"/>
          <w:szCs w:val="24"/>
          <w:lang w:val="en-US"/>
        </w:rPr>
      </w:pPr>
      <w:r w:rsidRPr="00194964">
        <w:rPr>
          <w:rFonts w:ascii="Times New Roman" w:hAnsi="Times New Roman" w:cs="Times New Roman"/>
          <w:sz w:val="24"/>
          <w:szCs w:val="24"/>
        </w:rPr>
        <w:t xml:space="preserve">[33] </w:t>
      </w:r>
      <w:r w:rsidRPr="00194964">
        <w:rPr>
          <w:rFonts w:ascii="Times New Roman" w:hAnsi="Times New Roman" w:cs="Times New Roman"/>
          <w:sz w:val="24"/>
          <w:szCs w:val="24"/>
          <w:lang w:val="en-US"/>
        </w:rPr>
        <w:t>Hamada</w:t>
      </w:r>
      <w:r w:rsidR="00621213">
        <w:rPr>
          <w:rFonts w:ascii="Times New Roman" w:hAnsi="Times New Roman" w:cs="Times New Roman"/>
          <w:sz w:val="24"/>
          <w:szCs w:val="24"/>
          <w:lang w:val="en-US"/>
        </w:rPr>
        <w:t xml:space="preserve"> K, Horiuchi A</w:t>
      </w:r>
      <w:r w:rsidRPr="00194964">
        <w:rPr>
          <w:rFonts w:ascii="Times New Roman" w:hAnsi="Times New Roman" w:cs="Times New Roman"/>
          <w:sz w:val="24"/>
          <w:szCs w:val="24"/>
          <w:lang w:val="en-US"/>
        </w:rPr>
        <w:t>. Wrap-up Comments: Prolonged Stagnation Occ</w:t>
      </w:r>
      <w:r w:rsidR="00621213">
        <w:rPr>
          <w:rFonts w:ascii="Times New Roman" w:hAnsi="Times New Roman" w:cs="Times New Roman"/>
          <w:sz w:val="24"/>
          <w:szCs w:val="24"/>
          <w:lang w:val="en-US"/>
        </w:rPr>
        <w:t>urred. In: Hamada K, Horiuchi A,</w:t>
      </w:r>
      <w:r w:rsidRPr="00194964">
        <w:rPr>
          <w:rFonts w:ascii="Times New Roman" w:hAnsi="Times New Roman" w:cs="Times New Roman"/>
          <w:sz w:val="24"/>
          <w:szCs w:val="24"/>
          <w:lang w:val="en-US"/>
        </w:rPr>
        <w:t xml:space="preserve"> and ESRI, Cabinet Office, Eds., Discussions on Japan’s Economic Crisis: An Investigation into True Causes of Japan’s Prolonged Stagnation, Nikkei, pp. 289-340</w:t>
      </w:r>
      <w:r w:rsidR="00621213">
        <w:rPr>
          <w:rFonts w:ascii="Times New Roman" w:hAnsi="Times New Roman" w:cs="Times New Roman"/>
          <w:sz w:val="24"/>
          <w:szCs w:val="24"/>
          <w:lang w:val="en-US"/>
        </w:rPr>
        <w:t>, 2004</w:t>
      </w:r>
    </w:p>
    <w:p w14:paraId="6CA80FBB" w14:textId="77777777" w:rsidR="00194964" w:rsidRDefault="00EF105E" w:rsidP="00194964">
      <w:pPr>
        <w:spacing w:after="0" w:line="360" w:lineRule="auto"/>
        <w:ind w:left="426" w:hanging="426"/>
        <w:jc w:val="both"/>
        <w:rPr>
          <w:rFonts w:ascii="Times New Roman" w:hAnsi="Times New Roman" w:cs="Times New Roman"/>
          <w:sz w:val="24"/>
          <w:szCs w:val="24"/>
        </w:rPr>
      </w:pPr>
      <w:r w:rsidRPr="00194964">
        <w:rPr>
          <w:rFonts w:ascii="Times New Roman" w:hAnsi="Times New Roman" w:cs="Times New Roman"/>
          <w:sz w:val="24"/>
          <w:szCs w:val="24"/>
        </w:rPr>
        <w:t xml:space="preserve">[34] </w:t>
      </w:r>
      <w:r w:rsidR="00621213">
        <w:rPr>
          <w:rFonts w:ascii="Times New Roman" w:hAnsi="Times New Roman" w:cs="Times New Roman"/>
          <w:sz w:val="24"/>
          <w:szCs w:val="24"/>
        </w:rPr>
        <w:t>Caballero RJ, Tokeo JH</w:t>
      </w:r>
      <w:r w:rsidRPr="00194964">
        <w:rPr>
          <w:rFonts w:ascii="Times New Roman" w:hAnsi="Times New Roman" w:cs="Times New Roman"/>
          <w:sz w:val="24"/>
          <w:szCs w:val="24"/>
        </w:rPr>
        <w:t xml:space="preserve">, </w:t>
      </w:r>
      <w:r w:rsidR="00621213">
        <w:rPr>
          <w:rFonts w:ascii="Times New Roman" w:hAnsi="Times New Roman" w:cs="Times New Roman"/>
          <w:sz w:val="24"/>
          <w:szCs w:val="24"/>
        </w:rPr>
        <w:t>Kashyap AK</w:t>
      </w:r>
      <w:r w:rsidRPr="00194964">
        <w:rPr>
          <w:rFonts w:ascii="Times New Roman" w:hAnsi="Times New Roman" w:cs="Times New Roman"/>
          <w:sz w:val="24"/>
          <w:szCs w:val="24"/>
        </w:rPr>
        <w:t>. Zombie Lending and Depressed Restructuring in Japan. American Economic Review</w:t>
      </w:r>
      <w:r w:rsidR="00621213">
        <w:rPr>
          <w:rFonts w:ascii="Times New Roman" w:hAnsi="Times New Roman" w:cs="Times New Roman"/>
          <w:sz w:val="24"/>
          <w:szCs w:val="24"/>
        </w:rPr>
        <w:t xml:space="preserve"> 2008;98(5):</w:t>
      </w:r>
      <w:r w:rsidRPr="00194964">
        <w:rPr>
          <w:rFonts w:ascii="Times New Roman" w:hAnsi="Times New Roman" w:cs="Times New Roman"/>
          <w:sz w:val="24"/>
          <w:szCs w:val="24"/>
        </w:rPr>
        <w:t>1943-1977</w:t>
      </w:r>
    </w:p>
    <w:p w14:paraId="06705C38" w14:textId="77777777" w:rsidR="00194964" w:rsidRDefault="00EF105E" w:rsidP="00194964">
      <w:pPr>
        <w:spacing w:after="0" w:line="360" w:lineRule="auto"/>
        <w:ind w:left="426" w:hanging="426"/>
        <w:jc w:val="both"/>
        <w:rPr>
          <w:rFonts w:ascii="Times New Roman" w:hAnsi="Times New Roman" w:cs="Times New Roman"/>
          <w:sz w:val="24"/>
          <w:szCs w:val="24"/>
        </w:rPr>
      </w:pPr>
      <w:r w:rsidRPr="00194964">
        <w:rPr>
          <w:rFonts w:ascii="Times New Roman" w:hAnsi="Times New Roman" w:cs="Times New Roman"/>
          <w:sz w:val="24"/>
          <w:szCs w:val="24"/>
        </w:rPr>
        <w:t xml:space="preserve">[35] </w:t>
      </w:r>
      <w:r w:rsidR="00621213">
        <w:rPr>
          <w:rFonts w:ascii="Times New Roman" w:hAnsi="Times New Roman" w:cs="Times New Roman"/>
          <w:sz w:val="24"/>
          <w:szCs w:val="24"/>
        </w:rPr>
        <w:t>Feng K, Hubacek K, Guan D</w:t>
      </w:r>
      <w:r w:rsidRPr="00194964">
        <w:rPr>
          <w:rFonts w:ascii="Times New Roman" w:hAnsi="Times New Roman" w:cs="Times New Roman"/>
          <w:sz w:val="24"/>
          <w:szCs w:val="24"/>
        </w:rPr>
        <w:t>. Lifestyles, technology and CO</w:t>
      </w:r>
      <w:r w:rsidRPr="00194964">
        <w:rPr>
          <w:rFonts w:ascii="Times New Roman" w:hAnsi="Times New Roman" w:cs="Times New Roman"/>
          <w:sz w:val="24"/>
          <w:szCs w:val="24"/>
          <w:vertAlign w:val="subscript"/>
        </w:rPr>
        <w:t xml:space="preserve">2 </w:t>
      </w:r>
      <w:r w:rsidRPr="00194964">
        <w:rPr>
          <w:rFonts w:ascii="Times New Roman" w:hAnsi="Times New Roman" w:cs="Times New Roman"/>
          <w:sz w:val="24"/>
          <w:szCs w:val="24"/>
        </w:rPr>
        <w:t xml:space="preserve">emissions in China: A regional comparative analysis. Ecological Economics </w:t>
      </w:r>
      <w:r w:rsidR="00621213">
        <w:rPr>
          <w:rFonts w:ascii="Times New Roman" w:hAnsi="Times New Roman" w:cs="Times New Roman"/>
          <w:sz w:val="24"/>
          <w:szCs w:val="24"/>
        </w:rPr>
        <w:t>2009;69:</w:t>
      </w:r>
      <w:r w:rsidRPr="00194964">
        <w:rPr>
          <w:rFonts w:ascii="Times New Roman" w:hAnsi="Times New Roman" w:cs="Times New Roman"/>
          <w:sz w:val="24"/>
          <w:szCs w:val="24"/>
        </w:rPr>
        <w:t>145-154</w:t>
      </w:r>
    </w:p>
    <w:p w14:paraId="1F8E7762" w14:textId="77777777" w:rsidR="00194964" w:rsidRDefault="00EF105E" w:rsidP="00194964">
      <w:pPr>
        <w:spacing w:after="0" w:line="360" w:lineRule="auto"/>
        <w:ind w:left="426" w:hanging="426"/>
        <w:jc w:val="both"/>
        <w:rPr>
          <w:rFonts w:ascii="Times New Roman" w:hAnsi="Times New Roman" w:cs="Times New Roman"/>
          <w:sz w:val="24"/>
          <w:szCs w:val="24"/>
        </w:rPr>
      </w:pPr>
      <w:r w:rsidRPr="00621213">
        <w:rPr>
          <w:rFonts w:ascii="Times New Roman" w:hAnsi="Times New Roman" w:cs="Times New Roman"/>
          <w:sz w:val="24"/>
          <w:szCs w:val="24"/>
          <w:lang w:val="en-US"/>
        </w:rPr>
        <w:t xml:space="preserve">[36] </w:t>
      </w:r>
      <w:r w:rsidR="00621213" w:rsidRPr="00621213">
        <w:rPr>
          <w:rFonts w:ascii="Times New Roman" w:hAnsi="Times New Roman" w:cs="Times New Roman"/>
          <w:sz w:val="24"/>
          <w:szCs w:val="24"/>
          <w:lang w:val="en-US"/>
        </w:rPr>
        <w:t>Imansyah MH, Putranti TM, Affandi DY, Khafian N, Tambunan M</w:t>
      </w:r>
      <w:r w:rsidRPr="00621213">
        <w:rPr>
          <w:rFonts w:ascii="Times New Roman" w:hAnsi="Times New Roman" w:cs="Times New Roman"/>
          <w:sz w:val="24"/>
          <w:szCs w:val="24"/>
          <w:lang w:val="en-US"/>
        </w:rPr>
        <w:t xml:space="preserve">. </w:t>
      </w:r>
      <w:r w:rsidRPr="00194964">
        <w:rPr>
          <w:rFonts w:ascii="Times New Roman" w:hAnsi="Times New Roman" w:cs="Times New Roman"/>
          <w:sz w:val="24"/>
          <w:szCs w:val="24"/>
          <w:lang w:val="en-US"/>
        </w:rPr>
        <w:t>The Key Sectors in CO</w:t>
      </w:r>
      <w:r w:rsidRPr="00194964">
        <w:rPr>
          <w:rFonts w:ascii="Times New Roman" w:hAnsi="Times New Roman" w:cs="Times New Roman"/>
          <w:sz w:val="24"/>
          <w:szCs w:val="24"/>
          <w:vertAlign w:val="subscript"/>
          <w:lang w:val="en-US"/>
        </w:rPr>
        <w:t xml:space="preserve">2 </w:t>
      </w:r>
      <w:r w:rsidRPr="00194964">
        <w:rPr>
          <w:rFonts w:ascii="Times New Roman" w:hAnsi="Times New Roman" w:cs="Times New Roman"/>
          <w:sz w:val="24"/>
          <w:szCs w:val="24"/>
          <w:lang w:val="en-US"/>
        </w:rPr>
        <w:t xml:space="preserve">emission in Indonesia: Input-Output Analysis. International Journal of Administrative Science &amp; Organization </w:t>
      </w:r>
      <w:r w:rsidR="00621213">
        <w:rPr>
          <w:rFonts w:ascii="Times New Roman" w:hAnsi="Times New Roman" w:cs="Times New Roman"/>
          <w:sz w:val="24"/>
          <w:szCs w:val="24"/>
          <w:lang w:val="en-US"/>
        </w:rPr>
        <w:t>2013;20(1):</w:t>
      </w:r>
      <w:r w:rsidRPr="00194964">
        <w:rPr>
          <w:rFonts w:ascii="Times New Roman" w:hAnsi="Times New Roman" w:cs="Times New Roman"/>
          <w:sz w:val="24"/>
          <w:szCs w:val="24"/>
          <w:lang w:val="en-US"/>
        </w:rPr>
        <w:t>45-50</w:t>
      </w:r>
    </w:p>
    <w:p w14:paraId="3786B66E" w14:textId="77777777" w:rsidR="00194964" w:rsidRDefault="00EF105E" w:rsidP="00194964">
      <w:pPr>
        <w:spacing w:after="0" w:line="360" w:lineRule="auto"/>
        <w:ind w:left="426" w:hanging="426"/>
        <w:jc w:val="both"/>
        <w:rPr>
          <w:rFonts w:ascii="Times New Roman" w:hAnsi="Times New Roman" w:cs="Times New Roman"/>
          <w:sz w:val="24"/>
          <w:szCs w:val="24"/>
        </w:rPr>
      </w:pPr>
      <w:r w:rsidRPr="00194964">
        <w:rPr>
          <w:rFonts w:ascii="Times New Roman" w:hAnsi="Times New Roman" w:cs="Times New Roman"/>
          <w:sz w:val="24"/>
          <w:szCs w:val="24"/>
        </w:rPr>
        <w:t>[37] World Ba</w:t>
      </w:r>
      <w:r w:rsidR="00194964">
        <w:rPr>
          <w:rFonts w:ascii="Times New Roman" w:hAnsi="Times New Roman" w:cs="Times New Roman"/>
          <w:sz w:val="24"/>
          <w:szCs w:val="24"/>
        </w:rPr>
        <w:t>nk Database: data.worldbank.org</w:t>
      </w:r>
    </w:p>
    <w:p w14:paraId="46116CE8" w14:textId="77777777" w:rsidR="00194964" w:rsidRDefault="00EF105E" w:rsidP="00194964">
      <w:pPr>
        <w:spacing w:after="0" w:line="360" w:lineRule="auto"/>
        <w:ind w:left="426" w:hanging="426"/>
        <w:jc w:val="both"/>
        <w:rPr>
          <w:rFonts w:ascii="Times New Roman" w:hAnsi="Times New Roman" w:cs="Times New Roman"/>
          <w:sz w:val="24"/>
          <w:szCs w:val="24"/>
        </w:rPr>
      </w:pPr>
      <w:r w:rsidRPr="00194964">
        <w:rPr>
          <w:rFonts w:ascii="Times New Roman" w:hAnsi="Times New Roman" w:cs="Times New Roman"/>
          <w:sz w:val="24"/>
          <w:szCs w:val="24"/>
        </w:rPr>
        <w:t xml:space="preserve">[38] </w:t>
      </w:r>
      <w:r w:rsidR="00621213">
        <w:rPr>
          <w:rFonts w:ascii="Times New Roman" w:hAnsi="Times New Roman" w:cs="Times New Roman"/>
          <w:sz w:val="24"/>
          <w:szCs w:val="24"/>
          <w:lang w:val="en-US"/>
        </w:rPr>
        <w:t>Gazheli A, Antal M, van den Bergh</w:t>
      </w:r>
      <w:r w:rsidRPr="00194964">
        <w:rPr>
          <w:rFonts w:ascii="Times New Roman" w:hAnsi="Times New Roman" w:cs="Times New Roman"/>
          <w:sz w:val="24"/>
          <w:szCs w:val="24"/>
          <w:lang w:val="en-US"/>
        </w:rPr>
        <w:t xml:space="preserve"> J.. Sector-level tests of the feasibility of green growth: Carbon intensity versus economic and productivity growth indicators</w:t>
      </w:r>
      <w:r w:rsidRPr="00194964">
        <w:rPr>
          <w:rFonts w:ascii="Times New Roman" w:hAnsi="Times New Roman" w:cs="Times New Roman"/>
          <w:sz w:val="24"/>
          <w:szCs w:val="24"/>
        </w:rPr>
        <w:t>. Working Paper No.81</w:t>
      </w:r>
      <w:r w:rsidR="00621213">
        <w:rPr>
          <w:rFonts w:ascii="Times New Roman" w:hAnsi="Times New Roman" w:cs="Times New Roman"/>
          <w:sz w:val="24"/>
          <w:szCs w:val="24"/>
        </w:rPr>
        <w:t>, 2015</w:t>
      </w:r>
      <w:r w:rsidRPr="00194964">
        <w:rPr>
          <w:rFonts w:ascii="Times New Roman" w:hAnsi="Times New Roman" w:cs="Times New Roman"/>
          <w:sz w:val="24"/>
          <w:szCs w:val="24"/>
        </w:rPr>
        <w:t xml:space="preserve"> - WWWFOREUROPE Project. Available at: </w:t>
      </w:r>
      <w:hyperlink r:id="rId37" w:history="1">
        <w:r w:rsidRPr="00194964">
          <w:rPr>
            <w:rFonts w:ascii="Times New Roman" w:hAnsi="Times New Roman" w:cs="Times New Roman"/>
            <w:color w:val="0000FF"/>
            <w:sz w:val="24"/>
            <w:szCs w:val="24"/>
            <w:u w:val="single"/>
          </w:rPr>
          <w:t>http://www.foreurope.eu/fileadmin/documents/pdf/Workingpapers/WWWforEurope_WPS_no081_MS212.pdf</w:t>
        </w:r>
      </w:hyperlink>
    </w:p>
    <w:p w14:paraId="258BDD0B" w14:textId="77777777" w:rsidR="00194964" w:rsidRDefault="00EF105E" w:rsidP="00194964">
      <w:pPr>
        <w:spacing w:after="0" w:line="360" w:lineRule="auto"/>
        <w:ind w:left="426" w:hanging="426"/>
        <w:jc w:val="both"/>
        <w:rPr>
          <w:rFonts w:ascii="Times New Roman" w:hAnsi="Times New Roman" w:cs="Times New Roman"/>
          <w:sz w:val="24"/>
          <w:szCs w:val="24"/>
        </w:rPr>
      </w:pPr>
      <w:r w:rsidRPr="00194964">
        <w:rPr>
          <w:rFonts w:ascii="Times New Roman" w:hAnsi="Times New Roman" w:cs="Times New Roman"/>
          <w:sz w:val="24"/>
          <w:szCs w:val="24"/>
        </w:rPr>
        <w:t>[39] SEI – Stockholm Environmental In</w:t>
      </w:r>
      <w:r w:rsidR="00621213">
        <w:rPr>
          <w:rFonts w:ascii="Times New Roman" w:hAnsi="Times New Roman" w:cs="Times New Roman"/>
          <w:sz w:val="24"/>
          <w:szCs w:val="24"/>
        </w:rPr>
        <w:t>stitute</w:t>
      </w:r>
      <w:r w:rsidRPr="00194964">
        <w:rPr>
          <w:rFonts w:ascii="Times New Roman" w:hAnsi="Times New Roman" w:cs="Times New Roman"/>
          <w:sz w:val="24"/>
          <w:szCs w:val="24"/>
        </w:rPr>
        <w:t xml:space="preserve">. Evaluating Sweden’s emissions: at home and abroad. </w:t>
      </w:r>
      <w:r w:rsidR="00621213">
        <w:rPr>
          <w:rFonts w:ascii="Times New Roman" w:hAnsi="Times New Roman" w:cs="Times New Roman"/>
          <w:sz w:val="24"/>
          <w:szCs w:val="24"/>
        </w:rPr>
        <w:t xml:space="preserve">2008 </w:t>
      </w:r>
      <w:r w:rsidRPr="00194964">
        <w:rPr>
          <w:rFonts w:ascii="Times New Roman" w:hAnsi="Times New Roman" w:cs="Times New Roman"/>
          <w:sz w:val="24"/>
          <w:szCs w:val="24"/>
        </w:rPr>
        <w:t xml:space="preserve">Available at: </w:t>
      </w:r>
      <w:hyperlink r:id="rId38" w:history="1">
        <w:r w:rsidRPr="00194964">
          <w:rPr>
            <w:rFonts w:ascii="Times New Roman" w:hAnsi="Times New Roman" w:cs="Times New Roman"/>
            <w:color w:val="0000FF"/>
            <w:sz w:val="24"/>
            <w:szCs w:val="24"/>
            <w:u w:val="single"/>
            <w:lang w:val="en-US"/>
          </w:rPr>
          <w:t>http://www.sei-international.org/mediamanager/documents/Publications/Rethinking-development/Global_assessments/Evaluating-Swedens-emissions.pdf</w:t>
        </w:r>
      </w:hyperlink>
    </w:p>
    <w:p w14:paraId="01ABC3E5" w14:textId="77777777" w:rsidR="00194964" w:rsidRDefault="00EF105E" w:rsidP="00194964">
      <w:pPr>
        <w:spacing w:after="0" w:line="360" w:lineRule="auto"/>
        <w:ind w:left="426" w:hanging="426"/>
        <w:jc w:val="both"/>
        <w:rPr>
          <w:rFonts w:ascii="Times New Roman" w:hAnsi="Times New Roman" w:cs="Times New Roman"/>
          <w:sz w:val="24"/>
          <w:szCs w:val="24"/>
        </w:rPr>
      </w:pPr>
      <w:r w:rsidRPr="00194964">
        <w:rPr>
          <w:rFonts w:ascii="Times New Roman" w:hAnsi="Times New Roman" w:cs="Times New Roman"/>
          <w:sz w:val="24"/>
          <w:szCs w:val="24"/>
        </w:rPr>
        <w:t xml:space="preserve">[40] </w:t>
      </w:r>
      <w:r w:rsidR="00621213">
        <w:rPr>
          <w:rFonts w:ascii="Times New Roman" w:hAnsi="Times New Roman" w:cs="Times New Roman"/>
          <w:sz w:val="24"/>
          <w:szCs w:val="24"/>
        </w:rPr>
        <w:t>Petrick</w:t>
      </w:r>
      <w:r w:rsidRPr="00194964">
        <w:rPr>
          <w:rFonts w:ascii="Times New Roman" w:hAnsi="Times New Roman" w:cs="Times New Roman"/>
          <w:sz w:val="24"/>
          <w:szCs w:val="24"/>
        </w:rPr>
        <w:t xml:space="preserve"> S. Carbon Efficiency, Technology, and the Role of Innovation Patterns: Evidence from German Plant-Level Microda</w:t>
      </w:r>
      <w:r w:rsidR="00194964">
        <w:rPr>
          <w:rFonts w:ascii="Times New Roman" w:hAnsi="Times New Roman" w:cs="Times New Roman"/>
          <w:sz w:val="24"/>
          <w:szCs w:val="24"/>
        </w:rPr>
        <w:t>ta. Kiel Working Paper No. 1833</w:t>
      </w:r>
      <w:r w:rsidR="00621213">
        <w:rPr>
          <w:rFonts w:ascii="Times New Roman" w:hAnsi="Times New Roman" w:cs="Times New Roman"/>
          <w:sz w:val="24"/>
          <w:szCs w:val="24"/>
        </w:rPr>
        <w:t>, 2013</w:t>
      </w:r>
    </w:p>
    <w:p w14:paraId="3586D3F3" w14:textId="77777777" w:rsidR="00194964" w:rsidRDefault="00EF105E" w:rsidP="00194964">
      <w:pPr>
        <w:spacing w:after="0" w:line="360" w:lineRule="auto"/>
        <w:ind w:left="426" w:hanging="426"/>
        <w:jc w:val="both"/>
        <w:rPr>
          <w:rFonts w:ascii="Times New Roman" w:hAnsi="Times New Roman" w:cs="Times New Roman"/>
          <w:sz w:val="24"/>
          <w:szCs w:val="24"/>
        </w:rPr>
      </w:pPr>
      <w:r w:rsidRPr="00194964">
        <w:rPr>
          <w:rFonts w:ascii="Times New Roman" w:hAnsi="Times New Roman" w:cs="Times New Roman"/>
          <w:sz w:val="24"/>
          <w:szCs w:val="24"/>
          <w:lang w:val="en-US"/>
        </w:rPr>
        <w:lastRenderedPageBreak/>
        <w:t>[41]</w:t>
      </w:r>
      <w:r w:rsidR="00194964">
        <w:rPr>
          <w:rFonts w:ascii="Times New Roman" w:hAnsi="Times New Roman" w:cs="Times New Roman"/>
          <w:sz w:val="24"/>
          <w:szCs w:val="24"/>
          <w:lang w:val="en-US"/>
        </w:rPr>
        <w:t xml:space="preserve"> World Bank:</w:t>
      </w:r>
      <w:r w:rsidRPr="00194964">
        <w:rPr>
          <w:rFonts w:ascii="Times New Roman" w:hAnsi="Times New Roman" w:cs="Times New Roman"/>
          <w:sz w:val="24"/>
          <w:szCs w:val="24"/>
          <w:lang w:val="en-US"/>
        </w:rPr>
        <w:t xml:space="preserve"> </w:t>
      </w:r>
      <w:hyperlink r:id="rId39" w:history="1">
        <w:r w:rsidRPr="00194964">
          <w:rPr>
            <w:rStyle w:val="Collegamentoipertestuale"/>
            <w:rFonts w:ascii="Times New Roman" w:hAnsi="Times New Roman" w:cs="Times New Roman"/>
            <w:sz w:val="24"/>
            <w:szCs w:val="24"/>
          </w:rPr>
          <w:t>http://www.worldbank.org/en/news/feature/2014/06/27/bringing-chinas-energy-efficiency-experience-to-the-world-knowledge-exchange-with-asian-countries</w:t>
        </w:r>
      </w:hyperlink>
    </w:p>
    <w:p w14:paraId="107DEE1E" w14:textId="77777777" w:rsidR="00194964" w:rsidRDefault="00EF105E" w:rsidP="00194964">
      <w:pPr>
        <w:spacing w:after="0" w:line="360" w:lineRule="auto"/>
        <w:ind w:left="426" w:hanging="426"/>
        <w:jc w:val="both"/>
        <w:rPr>
          <w:rFonts w:ascii="Times New Roman" w:hAnsi="Times New Roman" w:cs="Times New Roman"/>
          <w:sz w:val="24"/>
          <w:szCs w:val="24"/>
        </w:rPr>
      </w:pPr>
      <w:r w:rsidRPr="00194964">
        <w:rPr>
          <w:rFonts w:ascii="Times New Roman" w:hAnsi="Times New Roman" w:cs="Times New Roman"/>
          <w:sz w:val="24"/>
          <w:szCs w:val="24"/>
        </w:rPr>
        <w:t xml:space="preserve">[42] Enerdata, 2011. Luxembourg: Energy Efficiency Report. Available at: </w:t>
      </w:r>
      <w:hyperlink r:id="rId40" w:history="1">
        <w:r w:rsidRPr="00194964">
          <w:rPr>
            <w:rFonts w:ascii="Times New Roman" w:hAnsi="Times New Roman" w:cs="Times New Roman"/>
            <w:color w:val="0000FF"/>
            <w:sz w:val="24"/>
            <w:szCs w:val="24"/>
            <w:u w:val="single"/>
          </w:rPr>
          <w:t>http://www05.abb.com/global/scot/scot316.nsf/veritydisplay/3abc548fff4d870ac12578dc002db3e9/$file/luxembourg.pdf</w:t>
        </w:r>
      </w:hyperlink>
    </w:p>
    <w:p w14:paraId="4A24C166" w14:textId="77777777" w:rsidR="00194964" w:rsidRDefault="00EF105E" w:rsidP="00194964">
      <w:pPr>
        <w:spacing w:after="0" w:line="360" w:lineRule="auto"/>
        <w:ind w:left="426" w:hanging="426"/>
        <w:jc w:val="both"/>
        <w:rPr>
          <w:rFonts w:ascii="Times New Roman" w:hAnsi="Times New Roman" w:cs="Times New Roman"/>
          <w:sz w:val="24"/>
          <w:szCs w:val="24"/>
        </w:rPr>
      </w:pPr>
      <w:r w:rsidRPr="00194964">
        <w:rPr>
          <w:rFonts w:ascii="Times New Roman" w:hAnsi="Times New Roman" w:cs="Times New Roman"/>
          <w:sz w:val="24"/>
          <w:szCs w:val="24"/>
        </w:rPr>
        <w:t>[43]</w:t>
      </w:r>
      <w:r w:rsidR="00621213">
        <w:rPr>
          <w:rFonts w:ascii="Times New Roman" w:hAnsi="Times New Roman" w:cs="Times New Roman"/>
          <w:sz w:val="24"/>
          <w:szCs w:val="24"/>
        </w:rPr>
        <w:t xml:space="preserve"> Hoekstra R, van den Bergh</w:t>
      </w:r>
      <w:r w:rsidRPr="00194964">
        <w:rPr>
          <w:rFonts w:ascii="Times New Roman" w:hAnsi="Times New Roman" w:cs="Times New Roman"/>
          <w:sz w:val="24"/>
          <w:szCs w:val="24"/>
        </w:rPr>
        <w:t xml:space="preserve"> JCJM. Comparing structural decomposition analysis and index. Energy Economics </w:t>
      </w:r>
      <w:r w:rsidR="00621213">
        <w:rPr>
          <w:rFonts w:ascii="Times New Roman" w:hAnsi="Times New Roman" w:cs="Times New Roman"/>
          <w:sz w:val="24"/>
          <w:szCs w:val="24"/>
        </w:rPr>
        <w:t>2003;25(1):</w:t>
      </w:r>
      <w:r w:rsidRPr="00194964">
        <w:rPr>
          <w:rFonts w:ascii="Times New Roman" w:hAnsi="Times New Roman" w:cs="Times New Roman"/>
          <w:sz w:val="24"/>
          <w:szCs w:val="24"/>
        </w:rPr>
        <w:t>39-64</w:t>
      </w:r>
    </w:p>
    <w:p w14:paraId="7F1C5159" w14:textId="77777777" w:rsidR="00194964" w:rsidRDefault="00EF105E" w:rsidP="00194964">
      <w:pPr>
        <w:spacing w:after="0" w:line="360" w:lineRule="auto"/>
        <w:ind w:left="426" w:hanging="426"/>
        <w:jc w:val="both"/>
        <w:rPr>
          <w:rFonts w:ascii="Times New Roman" w:hAnsi="Times New Roman" w:cs="Times New Roman"/>
          <w:sz w:val="24"/>
          <w:szCs w:val="24"/>
        </w:rPr>
      </w:pPr>
      <w:r w:rsidRPr="00194964">
        <w:rPr>
          <w:rFonts w:ascii="Times New Roman" w:eastAsia="Times New Roman" w:hAnsi="Times New Roman" w:cs="Times New Roman"/>
          <w:sz w:val="24"/>
          <w:szCs w:val="24"/>
          <w:lang w:val="en-US" w:eastAsia="it-IT"/>
        </w:rPr>
        <w:t xml:space="preserve">[44] </w:t>
      </w:r>
      <w:r w:rsidR="00621213">
        <w:rPr>
          <w:rFonts w:ascii="Times New Roman" w:hAnsi="Times New Roman" w:cs="Times New Roman"/>
          <w:sz w:val="24"/>
          <w:szCs w:val="24"/>
        </w:rPr>
        <w:t>Feng K, Hubacek K, Guan D</w:t>
      </w:r>
      <w:r w:rsidRPr="00194964">
        <w:rPr>
          <w:rFonts w:ascii="Times New Roman" w:hAnsi="Times New Roman" w:cs="Times New Roman"/>
          <w:sz w:val="24"/>
          <w:szCs w:val="24"/>
        </w:rPr>
        <w:t>. Lifestyles, technology and CO</w:t>
      </w:r>
      <w:r w:rsidRPr="00194964">
        <w:rPr>
          <w:rFonts w:ascii="Times New Roman" w:hAnsi="Times New Roman" w:cs="Times New Roman"/>
          <w:sz w:val="24"/>
          <w:szCs w:val="24"/>
          <w:vertAlign w:val="subscript"/>
        </w:rPr>
        <w:t xml:space="preserve">2 </w:t>
      </w:r>
      <w:r w:rsidRPr="00194964">
        <w:rPr>
          <w:rFonts w:ascii="Times New Roman" w:hAnsi="Times New Roman" w:cs="Times New Roman"/>
          <w:sz w:val="24"/>
          <w:szCs w:val="24"/>
        </w:rPr>
        <w:t>emissions in China: A regional comparative analysis. Ecological Economics</w:t>
      </w:r>
      <w:r w:rsidR="00621213">
        <w:rPr>
          <w:rFonts w:ascii="Times New Roman" w:hAnsi="Times New Roman" w:cs="Times New Roman"/>
          <w:sz w:val="24"/>
          <w:szCs w:val="24"/>
        </w:rPr>
        <w:t xml:space="preserve"> 2009;69:</w:t>
      </w:r>
      <w:r w:rsidRPr="00194964">
        <w:rPr>
          <w:rFonts w:ascii="Times New Roman" w:hAnsi="Times New Roman" w:cs="Times New Roman"/>
          <w:sz w:val="24"/>
          <w:szCs w:val="24"/>
        </w:rPr>
        <w:t xml:space="preserve">145-154 </w:t>
      </w:r>
    </w:p>
    <w:p w14:paraId="7C69C7BA" w14:textId="77777777" w:rsidR="00194964" w:rsidRDefault="00EF105E" w:rsidP="00194964">
      <w:pPr>
        <w:spacing w:after="0" w:line="360" w:lineRule="auto"/>
        <w:ind w:left="426" w:hanging="426"/>
        <w:jc w:val="both"/>
        <w:rPr>
          <w:rFonts w:ascii="Times New Roman" w:hAnsi="Times New Roman" w:cs="Times New Roman"/>
          <w:sz w:val="24"/>
          <w:szCs w:val="24"/>
        </w:rPr>
      </w:pPr>
      <w:r w:rsidRPr="00194964">
        <w:rPr>
          <w:rFonts w:ascii="Times New Roman" w:hAnsi="Times New Roman" w:cs="Times New Roman"/>
          <w:sz w:val="24"/>
          <w:szCs w:val="24"/>
        </w:rPr>
        <w:t>[45]</w:t>
      </w:r>
      <w:r w:rsidRPr="00194964">
        <w:rPr>
          <w:rFonts w:ascii="Times New Roman" w:hAnsi="Times New Roman" w:cs="Times New Roman"/>
          <w:sz w:val="24"/>
          <w:szCs w:val="24"/>
          <w:lang w:val="en-US"/>
        </w:rPr>
        <w:t xml:space="preserve"> Ang BW, Zhang FP. A survey of index decomposition analysis in energy and environmental studies. Energy 2000;25(12):1149</w:t>
      </w:r>
      <w:r w:rsidR="008C0F10">
        <w:rPr>
          <w:rFonts w:ascii="Times New Roman" w:hAnsi="Times New Roman" w:cs="Times New Roman"/>
          <w:sz w:val="24"/>
          <w:szCs w:val="24"/>
          <w:lang w:val="en-US"/>
        </w:rPr>
        <w:t>-</w:t>
      </w:r>
      <w:r w:rsidRPr="00194964">
        <w:rPr>
          <w:rFonts w:ascii="Times New Roman" w:hAnsi="Times New Roman" w:cs="Times New Roman"/>
          <w:sz w:val="24"/>
          <w:szCs w:val="24"/>
          <w:lang w:val="en-US"/>
        </w:rPr>
        <w:t>76.</w:t>
      </w:r>
    </w:p>
    <w:p w14:paraId="01202947" w14:textId="77777777" w:rsidR="00194964" w:rsidRDefault="00EF105E" w:rsidP="00194964">
      <w:pPr>
        <w:spacing w:after="0" w:line="360" w:lineRule="auto"/>
        <w:ind w:left="426" w:hanging="426"/>
        <w:jc w:val="both"/>
        <w:rPr>
          <w:rFonts w:ascii="Times New Roman" w:hAnsi="Times New Roman" w:cs="Times New Roman"/>
          <w:sz w:val="24"/>
          <w:szCs w:val="24"/>
          <w:lang w:val="en-US"/>
        </w:rPr>
      </w:pPr>
      <w:r w:rsidRPr="00194964">
        <w:rPr>
          <w:rFonts w:ascii="Times New Roman" w:hAnsi="Times New Roman" w:cs="Times New Roman"/>
          <w:sz w:val="24"/>
          <w:szCs w:val="24"/>
          <w:lang w:val="en-US"/>
        </w:rPr>
        <w:t xml:space="preserve">[46] </w:t>
      </w:r>
      <w:r w:rsidR="008C0F10">
        <w:rPr>
          <w:rFonts w:ascii="Times New Roman" w:hAnsi="Times New Roman" w:cs="Times New Roman"/>
          <w:sz w:val="24"/>
          <w:szCs w:val="24"/>
          <w:lang w:val="en-US"/>
        </w:rPr>
        <w:t>Su B, Ang</w:t>
      </w:r>
      <w:r w:rsidRPr="004D255E">
        <w:rPr>
          <w:rFonts w:ascii="Times New Roman" w:hAnsi="Times New Roman" w:cs="Times New Roman"/>
          <w:sz w:val="24"/>
          <w:szCs w:val="24"/>
          <w:lang w:val="en-US"/>
        </w:rPr>
        <w:t xml:space="preserve"> B.W. Structural decomposition analysis applied to energy and emissions: Some methodological development. Energy Economics </w:t>
      </w:r>
      <w:r w:rsidR="008C0F10">
        <w:rPr>
          <w:rFonts w:ascii="Times New Roman" w:hAnsi="Times New Roman" w:cs="Times New Roman"/>
          <w:sz w:val="24"/>
          <w:szCs w:val="24"/>
          <w:lang w:val="en-US"/>
        </w:rPr>
        <w:t>2012;34(1):</w:t>
      </w:r>
      <w:r w:rsidRPr="004D255E">
        <w:rPr>
          <w:rFonts w:ascii="Times New Roman" w:hAnsi="Times New Roman" w:cs="Times New Roman"/>
          <w:sz w:val="24"/>
          <w:szCs w:val="24"/>
          <w:lang w:val="en-US"/>
        </w:rPr>
        <w:t>177-188</w:t>
      </w:r>
    </w:p>
    <w:p w14:paraId="49DC4243" w14:textId="77777777" w:rsidR="00194964" w:rsidRDefault="00EF105E" w:rsidP="00194964">
      <w:pPr>
        <w:spacing w:after="0" w:line="360" w:lineRule="auto"/>
        <w:ind w:left="426" w:hanging="426"/>
        <w:jc w:val="both"/>
        <w:rPr>
          <w:rFonts w:ascii="Times New Roman" w:hAnsi="Times New Roman" w:cs="Times New Roman"/>
          <w:sz w:val="24"/>
          <w:szCs w:val="24"/>
        </w:rPr>
      </w:pPr>
      <w:r w:rsidRPr="00194964">
        <w:rPr>
          <w:rFonts w:ascii="Times New Roman" w:hAnsi="Times New Roman" w:cs="Times New Roman"/>
          <w:sz w:val="24"/>
          <w:szCs w:val="24"/>
          <w:lang w:val="en-US"/>
        </w:rPr>
        <w:t xml:space="preserve">[47] </w:t>
      </w:r>
      <w:r w:rsidR="008C0F10">
        <w:rPr>
          <w:rFonts w:ascii="Times New Roman" w:hAnsi="Times New Roman" w:cs="Times New Roman"/>
          <w:sz w:val="24"/>
          <w:szCs w:val="24"/>
        </w:rPr>
        <w:t>Wachsmann U, Wood R, Lenzen M, Schaefer</w:t>
      </w:r>
      <w:r w:rsidRPr="00194964">
        <w:rPr>
          <w:rFonts w:ascii="Times New Roman" w:hAnsi="Times New Roman" w:cs="Times New Roman"/>
          <w:sz w:val="24"/>
          <w:szCs w:val="24"/>
        </w:rPr>
        <w:t xml:space="preserve"> R.</w:t>
      </w:r>
      <w:r w:rsidR="008C0F10" w:rsidRPr="00194964">
        <w:rPr>
          <w:rFonts w:ascii="Times New Roman" w:hAnsi="Times New Roman" w:cs="Times New Roman"/>
          <w:sz w:val="24"/>
          <w:szCs w:val="24"/>
        </w:rPr>
        <w:t xml:space="preserve"> </w:t>
      </w:r>
      <w:r w:rsidRPr="00194964">
        <w:rPr>
          <w:rFonts w:ascii="Times New Roman" w:hAnsi="Times New Roman" w:cs="Times New Roman"/>
          <w:sz w:val="24"/>
          <w:szCs w:val="24"/>
        </w:rPr>
        <w:t>Structural decomposition of energy u</w:t>
      </w:r>
      <w:r w:rsidR="008C0F10">
        <w:rPr>
          <w:rFonts w:ascii="Times New Roman" w:hAnsi="Times New Roman" w:cs="Times New Roman"/>
          <w:sz w:val="24"/>
          <w:szCs w:val="24"/>
        </w:rPr>
        <w:t>se in Brazil from 1970 to 1996. Applied Energy 2009;8</w:t>
      </w:r>
      <w:r w:rsidRPr="00194964">
        <w:rPr>
          <w:rFonts w:ascii="Times New Roman" w:hAnsi="Times New Roman" w:cs="Times New Roman"/>
          <w:sz w:val="24"/>
          <w:szCs w:val="24"/>
        </w:rPr>
        <w:t>6</w:t>
      </w:r>
      <w:r w:rsidR="008C0F10">
        <w:rPr>
          <w:rFonts w:ascii="Times New Roman" w:hAnsi="Times New Roman" w:cs="Times New Roman"/>
          <w:sz w:val="24"/>
          <w:szCs w:val="24"/>
        </w:rPr>
        <w:t>(</w:t>
      </w:r>
      <w:r w:rsidRPr="00194964">
        <w:rPr>
          <w:rFonts w:ascii="Times New Roman" w:hAnsi="Times New Roman" w:cs="Times New Roman"/>
          <w:sz w:val="24"/>
          <w:szCs w:val="24"/>
        </w:rPr>
        <w:t>4</w:t>
      </w:r>
      <w:r w:rsidR="008C0F10">
        <w:rPr>
          <w:rFonts w:ascii="Times New Roman" w:hAnsi="Times New Roman" w:cs="Times New Roman"/>
          <w:sz w:val="24"/>
          <w:szCs w:val="24"/>
        </w:rPr>
        <w:t>):</w:t>
      </w:r>
      <w:r w:rsidRPr="00194964">
        <w:rPr>
          <w:rFonts w:ascii="Times New Roman" w:hAnsi="Times New Roman" w:cs="Times New Roman"/>
          <w:sz w:val="24"/>
          <w:szCs w:val="24"/>
        </w:rPr>
        <w:t>578-587.</w:t>
      </w:r>
    </w:p>
    <w:p w14:paraId="21E6EA65" w14:textId="77777777" w:rsidR="00194964" w:rsidRDefault="00EF105E" w:rsidP="00194964">
      <w:pPr>
        <w:spacing w:after="0" w:line="360" w:lineRule="auto"/>
        <w:ind w:left="426" w:hanging="426"/>
        <w:jc w:val="both"/>
        <w:rPr>
          <w:rFonts w:ascii="Times New Roman" w:hAnsi="Times New Roman" w:cs="Times New Roman"/>
          <w:sz w:val="24"/>
          <w:szCs w:val="24"/>
        </w:rPr>
      </w:pPr>
      <w:r w:rsidRPr="008C0F10">
        <w:rPr>
          <w:rFonts w:ascii="Times New Roman" w:hAnsi="Times New Roman" w:cs="Times New Roman"/>
          <w:sz w:val="24"/>
          <w:szCs w:val="24"/>
          <w:lang w:val="en-US"/>
        </w:rPr>
        <w:t xml:space="preserve">[48] </w:t>
      </w:r>
      <w:r w:rsidR="008C0F10" w:rsidRPr="008C0F10">
        <w:rPr>
          <w:rFonts w:ascii="Times New Roman" w:hAnsi="Times New Roman" w:cs="Times New Roman"/>
          <w:sz w:val="24"/>
          <w:szCs w:val="24"/>
          <w:lang w:val="en-US"/>
        </w:rPr>
        <w:t>Ang BW, Xu XY, Su B</w:t>
      </w:r>
      <w:r w:rsidRPr="008C0F10">
        <w:rPr>
          <w:rFonts w:ascii="Times New Roman" w:hAnsi="Times New Roman" w:cs="Times New Roman"/>
          <w:sz w:val="24"/>
          <w:szCs w:val="24"/>
          <w:lang w:val="en-US"/>
        </w:rPr>
        <w:t xml:space="preserve">. </w:t>
      </w:r>
      <w:r w:rsidRPr="00194964">
        <w:rPr>
          <w:rFonts w:ascii="Times New Roman" w:hAnsi="Times New Roman" w:cs="Times New Roman"/>
          <w:sz w:val="24"/>
          <w:szCs w:val="24"/>
          <w:lang w:val="en-US"/>
        </w:rPr>
        <w:t>Multi-country comparisons of energy performance: The index decomposition analysis approach</w:t>
      </w:r>
      <w:r w:rsidRPr="00194964">
        <w:rPr>
          <w:rFonts w:ascii="Times New Roman" w:eastAsia="Arial Unicode MS" w:hAnsi="Times New Roman" w:cs="Times New Roman"/>
          <w:color w:val="2E2E2E"/>
          <w:sz w:val="24"/>
          <w:szCs w:val="24"/>
          <w:lang w:val="en-US" w:eastAsia="it-IT"/>
        </w:rPr>
        <w:t xml:space="preserve">. Energy Economics </w:t>
      </w:r>
      <w:r w:rsidR="008C0F10">
        <w:rPr>
          <w:rFonts w:ascii="Times New Roman" w:eastAsia="Arial Unicode MS" w:hAnsi="Times New Roman" w:cs="Times New Roman"/>
          <w:color w:val="2E2E2E"/>
          <w:sz w:val="24"/>
          <w:szCs w:val="24"/>
          <w:lang w:val="en-US" w:eastAsia="it-IT"/>
        </w:rPr>
        <w:t>2015;47:</w:t>
      </w:r>
      <w:r w:rsidRPr="00194964">
        <w:rPr>
          <w:rFonts w:ascii="Times New Roman" w:eastAsia="Arial Unicode MS" w:hAnsi="Times New Roman" w:cs="Times New Roman"/>
          <w:color w:val="2E2E2E"/>
          <w:sz w:val="24"/>
          <w:szCs w:val="24"/>
          <w:lang w:val="en-US" w:eastAsia="it-IT"/>
        </w:rPr>
        <w:t>68-76</w:t>
      </w:r>
    </w:p>
    <w:p w14:paraId="32BAF2C5" w14:textId="77777777" w:rsidR="00194964" w:rsidRDefault="00EF105E" w:rsidP="00194964">
      <w:pPr>
        <w:spacing w:after="0" w:line="360" w:lineRule="auto"/>
        <w:ind w:left="426" w:hanging="426"/>
        <w:jc w:val="both"/>
        <w:rPr>
          <w:rFonts w:ascii="Times New Roman" w:hAnsi="Times New Roman" w:cs="Times New Roman"/>
          <w:sz w:val="24"/>
          <w:szCs w:val="24"/>
        </w:rPr>
      </w:pPr>
      <w:r w:rsidRPr="00194964">
        <w:rPr>
          <w:rFonts w:ascii="Times New Roman" w:hAnsi="Times New Roman" w:cs="Times New Roman"/>
          <w:sz w:val="24"/>
          <w:szCs w:val="24"/>
        </w:rPr>
        <w:t xml:space="preserve">[49] </w:t>
      </w:r>
      <w:r w:rsidR="008C0F10">
        <w:rPr>
          <w:rFonts w:ascii="Times New Roman" w:hAnsi="Times New Roman" w:cs="Times New Roman"/>
          <w:sz w:val="24"/>
          <w:szCs w:val="24"/>
        </w:rPr>
        <w:t>Xu Y, Dietzenbacher E.</w:t>
      </w:r>
      <w:r w:rsidRPr="004D255E">
        <w:rPr>
          <w:rFonts w:ascii="Times New Roman" w:hAnsi="Times New Roman" w:cs="Times New Roman"/>
          <w:sz w:val="24"/>
          <w:szCs w:val="24"/>
        </w:rPr>
        <w:t xml:space="preserve"> A structural decomposition analysis of the emissions embodied in trade</w:t>
      </w:r>
      <w:r w:rsidRPr="004D255E">
        <w:rPr>
          <w:rFonts w:ascii="Times New Roman" w:eastAsia="Arial Unicode MS" w:hAnsi="Times New Roman" w:cs="Times New Roman"/>
          <w:color w:val="2E2E2E"/>
          <w:sz w:val="24"/>
          <w:szCs w:val="24"/>
          <w:lang w:eastAsia="en-GB"/>
        </w:rPr>
        <w:t xml:space="preserve">. Ecological Economics </w:t>
      </w:r>
      <w:r w:rsidR="008C0F10">
        <w:rPr>
          <w:rFonts w:ascii="Times New Roman" w:eastAsia="Arial Unicode MS" w:hAnsi="Times New Roman" w:cs="Times New Roman"/>
          <w:color w:val="2E2E2E"/>
          <w:sz w:val="24"/>
          <w:szCs w:val="24"/>
          <w:lang w:eastAsia="en-GB"/>
        </w:rPr>
        <w:t>2014;101:</w:t>
      </w:r>
      <w:r w:rsidRPr="004D255E">
        <w:rPr>
          <w:rFonts w:ascii="Times New Roman" w:eastAsia="Arial Unicode MS" w:hAnsi="Times New Roman" w:cs="Times New Roman"/>
          <w:color w:val="2E2E2E"/>
          <w:sz w:val="24"/>
          <w:szCs w:val="24"/>
          <w:lang w:eastAsia="en-GB"/>
        </w:rPr>
        <w:t>10-20</w:t>
      </w:r>
    </w:p>
    <w:p w14:paraId="49002D62" w14:textId="77777777" w:rsidR="00194964" w:rsidRDefault="00EF105E" w:rsidP="00194964">
      <w:pPr>
        <w:spacing w:after="0" w:line="360" w:lineRule="auto"/>
        <w:ind w:left="426" w:hanging="426"/>
        <w:jc w:val="both"/>
        <w:rPr>
          <w:rFonts w:ascii="Times New Roman" w:hAnsi="Times New Roman" w:cs="Times New Roman"/>
          <w:sz w:val="24"/>
          <w:szCs w:val="24"/>
        </w:rPr>
      </w:pPr>
      <w:r w:rsidRPr="00194964">
        <w:rPr>
          <w:rFonts w:ascii="Times New Roman" w:eastAsia="Arial Unicode MS" w:hAnsi="Times New Roman" w:cs="Times New Roman"/>
          <w:color w:val="2E2E2E"/>
          <w:sz w:val="24"/>
          <w:szCs w:val="24"/>
          <w:lang w:eastAsia="en-GB"/>
        </w:rPr>
        <w:t xml:space="preserve">[50] </w:t>
      </w:r>
      <w:r w:rsidR="008C0F10">
        <w:rPr>
          <w:rFonts w:ascii="Times New Roman" w:hAnsi="Times New Roman" w:cs="Times New Roman"/>
          <w:sz w:val="24"/>
          <w:szCs w:val="24"/>
        </w:rPr>
        <w:t>Xu XY, Ang BW</w:t>
      </w:r>
      <w:r w:rsidRPr="00194964">
        <w:rPr>
          <w:rFonts w:ascii="Times New Roman" w:hAnsi="Times New Roman" w:cs="Times New Roman"/>
          <w:sz w:val="24"/>
          <w:szCs w:val="24"/>
        </w:rPr>
        <w:t>. Analysing residential energy consumption using index decomposition analys</w:t>
      </w:r>
      <w:r w:rsidR="00194964">
        <w:rPr>
          <w:rFonts w:ascii="Times New Roman" w:hAnsi="Times New Roman" w:cs="Times New Roman"/>
          <w:sz w:val="24"/>
          <w:szCs w:val="24"/>
        </w:rPr>
        <w:t xml:space="preserve">is. Applied Energy </w:t>
      </w:r>
      <w:r w:rsidR="008C0F10">
        <w:rPr>
          <w:rFonts w:ascii="Times New Roman" w:hAnsi="Times New Roman" w:cs="Times New Roman"/>
          <w:sz w:val="24"/>
          <w:szCs w:val="24"/>
        </w:rPr>
        <w:t>2013;113:</w:t>
      </w:r>
      <w:r w:rsidR="00194964">
        <w:rPr>
          <w:rFonts w:ascii="Times New Roman" w:hAnsi="Times New Roman" w:cs="Times New Roman"/>
          <w:sz w:val="24"/>
          <w:szCs w:val="24"/>
        </w:rPr>
        <w:t>342-251</w:t>
      </w:r>
    </w:p>
    <w:p w14:paraId="26D9DCD3" w14:textId="77777777" w:rsidR="00194964" w:rsidRDefault="00EF105E" w:rsidP="00194964">
      <w:pPr>
        <w:spacing w:after="0" w:line="360" w:lineRule="auto"/>
        <w:ind w:left="426" w:hanging="426"/>
        <w:jc w:val="both"/>
        <w:rPr>
          <w:rFonts w:ascii="Times New Roman" w:hAnsi="Times New Roman" w:cs="Times New Roman"/>
          <w:sz w:val="24"/>
          <w:szCs w:val="24"/>
        </w:rPr>
      </w:pPr>
      <w:r w:rsidRPr="00194964">
        <w:rPr>
          <w:rFonts w:ascii="Times New Roman" w:eastAsia="Arial Unicode MS" w:hAnsi="Times New Roman" w:cs="Times New Roman"/>
          <w:color w:val="2E2E2E"/>
          <w:sz w:val="24"/>
          <w:szCs w:val="24"/>
          <w:lang w:eastAsia="en-GB"/>
        </w:rPr>
        <w:t>[51] A</w:t>
      </w:r>
      <w:r w:rsidR="008C0F10">
        <w:rPr>
          <w:rFonts w:ascii="Times New Roman" w:eastAsia="Arial Unicode MS" w:hAnsi="Times New Roman" w:cs="Times New Roman"/>
          <w:color w:val="2E2E2E"/>
          <w:sz w:val="24"/>
          <w:szCs w:val="24"/>
          <w:lang w:eastAsia="en-GB"/>
        </w:rPr>
        <w:t>ndreoni V, Galmarini S</w:t>
      </w:r>
      <w:r w:rsidRPr="00194964">
        <w:rPr>
          <w:rFonts w:ascii="Times New Roman" w:eastAsia="Arial Unicode MS" w:hAnsi="Times New Roman" w:cs="Times New Roman"/>
          <w:color w:val="2E2E2E"/>
          <w:sz w:val="24"/>
          <w:szCs w:val="24"/>
          <w:lang w:eastAsia="en-GB"/>
        </w:rPr>
        <w:t xml:space="preserve">. Decoupling economic growth from carbon dioxide emission: a decomposition analysis of Italian energy consumption. Energy </w:t>
      </w:r>
      <w:r w:rsidR="008C0F10">
        <w:rPr>
          <w:rFonts w:ascii="Times New Roman" w:eastAsia="Arial Unicode MS" w:hAnsi="Times New Roman" w:cs="Times New Roman"/>
          <w:color w:val="2E2E2E"/>
          <w:sz w:val="24"/>
          <w:szCs w:val="24"/>
          <w:lang w:eastAsia="en-GB"/>
        </w:rPr>
        <w:t>2012;44:</w:t>
      </w:r>
      <w:r w:rsidRPr="00194964">
        <w:rPr>
          <w:rFonts w:ascii="Times New Roman" w:eastAsia="Arial Unicode MS" w:hAnsi="Times New Roman" w:cs="Times New Roman"/>
          <w:color w:val="2E2E2E"/>
          <w:sz w:val="24"/>
          <w:szCs w:val="24"/>
          <w:lang w:eastAsia="en-GB"/>
        </w:rPr>
        <w:t>682-691</w:t>
      </w:r>
    </w:p>
    <w:p w14:paraId="0EF9446D" w14:textId="77777777" w:rsidR="00194964" w:rsidRDefault="008C0F10" w:rsidP="00194964">
      <w:pPr>
        <w:spacing w:after="0" w:line="360" w:lineRule="auto"/>
        <w:ind w:left="426" w:hanging="426"/>
        <w:jc w:val="both"/>
        <w:rPr>
          <w:rFonts w:ascii="Times New Roman" w:hAnsi="Times New Roman" w:cs="Times New Roman"/>
          <w:sz w:val="24"/>
          <w:szCs w:val="24"/>
        </w:rPr>
      </w:pPr>
      <w:r>
        <w:rPr>
          <w:rFonts w:ascii="Times New Roman" w:eastAsia="Arial Unicode MS" w:hAnsi="Times New Roman" w:cs="Times New Roman"/>
          <w:color w:val="2E2E2E"/>
          <w:sz w:val="24"/>
          <w:szCs w:val="24"/>
          <w:lang w:val="en-US" w:eastAsia="en-GB"/>
        </w:rPr>
        <w:t>[52] Andreoni V, Galmarini S</w:t>
      </w:r>
      <w:r w:rsidR="00EF105E" w:rsidRPr="00194964">
        <w:rPr>
          <w:rFonts w:ascii="Times New Roman" w:eastAsia="Arial Unicode MS" w:hAnsi="Times New Roman" w:cs="Times New Roman"/>
          <w:color w:val="2E2E2E"/>
          <w:sz w:val="24"/>
          <w:szCs w:val="24"/>
          <w:lang w:val="en-US" w:eastAsia="en-GB"/>
        </w:rPr>
        <w:t>. European CO</w:t>
      </w:r>
      <w:r w:rsidR="00EF105E" w:rsidRPr="00194964">
        <w:rPr>
          <w:rFonts w:ascii="Times New Roman" w:eastAsia="Arial Unicode MS" w:hAnsi="Times New Roman" w:cs="Times New Roman"/>
          <w:color w:val="2E2E2E"/>
          <w:sz w:val="24"/>
          <w:szCs w:val="24"/>
          <w:vertAlign w:val="subscript"/>
          <w:lang w:val="en-US" w:eastAsia="en-GB"/>
        </w:rPr>
        <w:t xml:space="preserve">2 </w:t>
      </w:r>
      <w:r w:rsidR="00EF105E" w:rsidRPr="00194964">
        <w:rPr>
          <w:rFonts w:ascii="Times New Roman" w:eastAsia="Arial Unicode MS" w:hAnsi="Times New Roman" w:cs="Times New Roman"/>
          <w:color w:val="2E2E2E"/>
          <w:sz w:val="24"/>
          <w:szCs w:val="24"/>
          <w:lang w:val="en-US" w:eastAsia="en-GB"/>
        </w:rPr>
        <w:t>emission trend: A decomposition analysis for water and aviation transport sector. Energy</w:t>
      </w:r>
      <w:r>
        <w:rPr>
          <w:rFonts w:ascii="Times New Roman" w:eastAsia="Arial Unicode MS" w:hAnsi="Times New Roman" w:cs="Times New Roman"/>
          <w:color w:val="2E2E2E"/>
          <w:sz w:val="24"/>
          <w:szCs w:val="24"/>
          <w:lang w:val="en-US" w:eastAsia="en-GB"/>
        </w:rPr>
        <w:t xml:space="preserve"> 2012;45:</w:t>
      </w:r>
      <w:r w:rsidR="00EF105E" w:rsidRPr="00194964">
        <w:rPr>
          <w:rFonts w:ascii="Times New Roman" w:eastAsia="Arial Unicode MS" w:hAnsi="Times New Roman" w:cs="Times New Roman"/>
          <w:color w:val="2E2E2E"/>
          <w:sz w:val="24"/>
          <w:szCs w:val="24"/>
          <w:lang w:val="en-US" w:eastAsia="en-GB"/>
        </w:rPr>
        <w:t>595-602</w:t>
      </w:r>
    </w:p>
    <w:p w14:paraId="0BC2BECD" w14:textId="77777777" w:rsidR="00194964" w:rsidRDefault="00EF105E" w:rsidP="00194964">
      <w:pPr>
        <w:spacing w:after="0" w:line="360" w:lineRule="auto"/>
        <w:ind w:left="426" w:hanging="426"/>
        <w:jc w:val="both"/>
        <w:rPr>
          <w:rFonts w:ascii="Times New Roman" w:hAnsi="Times New Roman" w:cs="Times New Roman"/>
          <w:sz w:val="24"/>
          <w:szCs w:val="24"/>
        </w:rPr>
      </w:pPr>
      <w:r w:rsidRPr="008C0F10">
        <w:rPr>
          <w:rFonts w:ascii="Times New Roman" w:eastAsia="Arial Unicode MS" w:hAnsi="Times New Roman" w:cs="Times New Roman"/>
          <w:color w:val="2E2E2E"/>
          <w:sz w:val="24"/>
          <w:szCs w:val="24"/>
          <w:lang w:val="en-US" w:eastAsia="en-GB"/>
        </w:rPr>
        <w:t xml:space="preserve">[53] </w:t>
      </w:r>
      <w:r w:rsidR="008C0F10" w:rsidRPr="008C0F10">
        <w:rPr>
          <w:rFonts w:ascii="Times New Roman" w:hAnsi="Times New Roman" w:cs="Times New Roman"/>
          <w:sz w:val="24"/>
          <w:szCs w:val="24"/>
          <w:lang w:val="en-US"/>
        </w:rPr>
        <w:t>Cellura M., Longo S, Mistretta M</w:t>
      </w:r>
      <w:r w:rsidRPr="008C0F10">
        <w:rPr>
          <w:rFonts w:ascii="Times New Roman" w:hAnsi="Times New Roman" w:cs="Times New Roman"/>
          <w:sz w:val="24"/>
          <w:szCs w:val="24"/>
          <w:lang w:val="en-US"/>
        </w:rPr>
        <w:t xml:space="preserve">. </w:t>
      </w:r>
      <w:r w:rsidRPr="00194964">
        <w:rPr>
          <w:rFonts w:ascii="Times New Roman" w:hAnsi="Times New Roman" w:cs="Times New Roman"/>
          <w:sz w:val="24"/>
          <w:szCs w:val="24"/>
          <w:lang w:val="en-US"/>
        </w:rPr>
        <w:t xml:space="preserve">Application of the Structural Decomposition Analysis to assess the indirect energy consumption and air emission changes related to Italian households consumption. Renewable and </w:t>
      </w:r>
      <w:r w:rsidR="008C0F10" w:rsidRPr="00194964">
        <w:rPr>
          <w:rFonts w:ascii="Times New Roman" w:hAnsi="Times New Roman" w:cs="Times New Roman"/>
          <w:sz w:val="24"/>
          <w:szCs w:val="24"/>
          <w:lang w:val="en-US"/>
        </w:rPr>
        <w:t>Sustainable</w:t>
      </w:r>
      <w:r w:rsidRPr="00194964">
        <w:rPr>
          <w:rFonts w:ascii="Times New Roman" w:hAnsi="Times New Roman" w:cs="Times New Roman"/>
          <w:sz w:val="24"/>
          <w:szCs w:val="24"/>
          <w:lang w:val="en-US"/>
        </w:rPr>
        <w:t xml:space="preserve"> Energy Reviews</w:t>
      </w:r>
      <w:r w:rsidR="008C0F10">
        <w:rPr>
          <w:rFonts w:ascii="Times New Roman" w:hAnsi="Times New Roman" w:cs="Times New Roman"/>
          <w:sz w:val="24"/>
          <w:szCs w:val="24"/>
          <w:lang w:val="en-US"/>
        </w:rPr>
        <w:t xml:space="preserve"> 2012;6(2):</w:t>
      </w:r>
      <w:r w:rsidRPr="00194964">
        <w:rPr>
          <w:rFonts w:ascii="Times New Roman" w:hAnsi="Times New Roman" w:cs="Times New Roman"/>
          <w:sz w:val="24"/>
          <w:szCs w:val="24"/>
          <w:lang w:val="en-US"/>
        </w:rPr>
        <w:t>1135-1145</w:t>
      </w:r>
    </w:p>
    <w:p w14:paraId="491E7099" w14:textId="77777777" w:rsidR="00194964" w:rsidRDefault="00EF105E" w:rsidP="00194964">
      <w:pPr>
        <w:spacing w:after="0" w:line="360" w:lineRule="auto"/>
        <w:ind w:left="426" w:hanging="426"/>
        <w:jc w:val="both"/>
        <w:rPr>
          <w:rFonts w:ascii="Times New Roman" w:hAnsi="Times New Roman" w:cs="Times New Roman"/>
          <w:sz w:val="24"/>
          <w:szCs w:val="24"/>
        </w:rPr>
      </w:pPr>
      <w:r w:rsidRPr="00194964">
        <w:rPr>
          <w:rFonts w:ascii="Times New Roman" w:eastAsia="Arial Unicode MS" w:hAnsi="Times New Roman" w:cs="Times New Roman"/>
          <w:color w:val="2E2E2E"/>
          <w:sz w:val="24"/>
          <w:szCs w:val="24"/>
          <w:lang w:val="en-US" w:eastAsia="en-GB"/>
        </w:rPr>
        <w:t xml:space="preserve">[54] </w:t>
      </w:r>
      <w:r w:rsidR="008C0F10">
        <w:rPr>
          <w:rFonts w:ascii="Times New Roman" w:hAnsi="Times New Roman" w:cs="Times New Roman"/>
          <w:sz w:val="24"/>
          <w:szCs w:val="24"/>
        </w:rPr>
        <w:t>Hammond GP, Norman JB</w:t>
      </w:r>
      <w:r w:rsidRPr="00194964">
        <w:rPr>
          <w:rFonts w:ascii="Times New Roman" w:hAnsi="Times New Roman" w:cs="Times New Roman"/>
          <w:sz w:val="24"/>
          <w:szCs w:val="24"/>
        </w:rPr>
        <w:t>. Decomposition analysis of energy-related carbon emissions from UK manuf</w:t>
      </w:r>
      <w:r w:rsidR="00194964">
        <w:rPr>
          <w:rFonts w:ascii="Times New Roman" w:hAnsi="Times New Roman" w:cs="Times New Roman"/>
          <w:sz w:val="24"/>
          <w:szCs w:val="24"/>
        </w:rPr>
        <w:t xml:space="preserve">acturing. Energy </w:t>
      </w:r>
      <w:r w:rsidR="008C0F10">
        <w:rPr>
          <w:rFonts w:ascii="Times New Roman" w:hAnsi="Times New Roman" w:cs="Times New Roman"/>
          <w:sz w:val="24"/>
          <w:szCs w:val="24"/>
        </w:rPr>
        <w:t>2012;41(1):</w:t>
      </w:r>
      <w:r w:rsidR="00194964">
        <w:rPr>
          <w:rFonts w:ascii="Times New Roman" w:hAnsi="Times New Roman" w:cs="Times New Roman"/>
          <w:sz w:val="24"/>
          <w:szCs w:val="24"/>
        </w:rPr>
        <w:t>220-227</w:t>
      </w:r>
    </w:p>
    <w:p w14:paraId="2FD28B47" w14:textId="77777777" w:rsidR="00194964" w:rsidRDefault="00EF105E" w:rsidP="00194964">
      <w:pPr>
        <w:spacing w:after="0" w:line="360" w:lineRule="auto"/>
        <w:ind w:left="426" w:hanging="426"/>
        <w:jc w:val="both"/>
        <w:rPr>
          <w:rFonts w:ascii="Times New Roman" w:hAnsi="Times New Roman" w:cs="Times New Roman"/>
          <w:sz w:val="24"/>
          <w:szCs w:val="24"/>
          <w:lang w:val="en-US"/>
        </w:rPr>
      </w:pPr>
      <w:r w:rsidRPr="00194964">
        <w:rPr>
          <w:rFonts w:ascii="Times New Roman" w:eastAsia="Arial Unicode MS" w:hAnsi="Times New Roman" w:cs="Times New Roman"/>
          <w:color w:val="2E2E2E"/>
          <w:sz w:val="24"/>
          <w:szCs w:val="24"/>
          <w:lang w:val="en-US" w:eastAsia="en-GB"/>
        </w:rPr>
        <w:t>[55]</w:t>
      </w:r>
      <w:r w:rsidRPr="00194964">
        <w:rPr>
          <w:rFonts w:ascii="Times New Roman" w:hAnsi="Times New Roman" w:cs="Times New Roman"/>
          <w:sz w:val="24"/>
          <w:szCs w:val="24"/>
          <w:lang w:val="en-US"/>
        </w:rPr>
        <w:t xml:space="preserve"> Sun JW. Accounting for energy use in China, 1980</w:t>
      </w:r>
      <w:r w:rsidR="008C0F10">
        <w:rPr>
          <w:rFonts w:ascii="Times New Roman" w:hAnsi="Times New Roman" w:cs="Times New Roman"/>
          <w:sz w:val="24"/>
          <w:szCs w:val="24"/>
          <w:lang w:val="en-US"/>
        </w:rPr>
        <w:t>-</w:t>
      </w:r>
      <w:r w:rsidRPr="00194964">
        <w:rPr>
          <w:rFonts w:ascii="Times New Roman" w:hAnsi="Times New Roman" w:cs="Times New Roman"/>
          <w:sz w:val="24"/>
          <w:szCs w:val="24"/>
          <w:lang w:val="en-US"/>
        </w:rPr>
        <w:t>94. Energy 1998;23:835</w:t>
      </w:r>
      <w:r w:rsidR="008C0F10">
        <w:rPr>
          <w:rFonts w:ascii="Times New Roman" w:hAnsi="Times New Roman" w:cs="Times New Roman"/>
          <w:sz w:val="24"/>
          <w:szCs w:val="24"/>
          <w:lang w:val="en-US"/>
        </w:rPr>
        <w:t>-8</w:t>
      </w:r>
      <w:r w:rsidRPr="00194964">
        <w:rPr>
          <w:rFonts w:ascii="Times New Roman" w:hAnsi="Times New Roman" w:cs="Times New Roman"/>
          <w:sz w:val="24"/>
          <w:szCs w:val="24"/>
          <w:lang w:val="en-US"/>
        </w:rPr>
        <w:t>49.</w:t>
      </w:r>
    </w:p>
    <w:p w14:paraId="3B35F9A3" w14:textId="77777777" w:rsidR="00194964" w:rsidRDefault="00EF105E" w:rsidP="00194964">
      <w:pPr>
        <w:spacing w:after="0" w:line="360" w:lineRule="auto"/>
        <w:ind w:left="426" w:hanging="426"/>
        <w:jc w:val="both"/>
        <w:rPr>
          <w:rFonts w:ascii="Times New Roman" w:hAnsi="Times New Roman" w:cs="Times New Roman"/>
          <w:sz w:val="24"/>
          <w:szCs w:val="24"/>
        </w:rPr>
      </w:pPr>
      <w:r w:rsidRPr="00194964">
        <w:rPr>
          <w:rFonts w:ascii="Times New Roman" w:hAnsi="Times New Roman" w:cs="Times New Roman"/>
          <w:sz w:val="24"/>
          <w:szCs w:val="24"/>
          <w:lang w:val="en-US"/>
        </w:rPr>
        <w:t>[56] Shyamal P, Bhattacharya RN. CO2 emission from energy use in India: a decomposition analysis. Energy Policy 2004;32:585</w:t>
      </w:r>
      <w:r w:rsidR="008C0F10">
        <w:rPr>
          <w:rFonts w:ascii="Times New Roman" w:hAnsi="Times New Roman" w:cs="Times New Roman"/>
          <w:sz w:val="24"/>
          <w:szCs w:val="24"/>
          <w:lang w:val="en-US"/>
        </w:rPr>
        <w:t>-5</w:t>
      </w:r>
      <w:r w:rsidRPr="00194964">
        <w:rPr>
          <w:rFonts w:ascii="Times New Roman" w:hAnsi="Times New Roman" w:cs="Times New Roman"/>
          <w:sz w:val="24"/>
          <w:szCs w:val="24"/>
          <w:lang w:val="en-US"/>
        </w:rPr>
        <w:t>93.</w:t>
      </w:r>
    </w:p>
    <w:p w14:paraId="20B6A9B3" w14:textId="77777777" w:rsidR="00194964" w:rsidRDefault="00EF105E" w:rsidP="00194964">
      <w:pPr>
        <w:spacing w:after="0" w:line="360" w:lineRule="auto"/>
        <w:ind w:left="426" w:hanging="426"/>
        <w:jc w:val="both"/>
        <w:rPr>
          <w:rFonts w:ascii="Times New Roman" w:hAnsi="Times New Roman" w:cs="Times New Roman"/>
          <w:sz w:val="24"/>
          <w:szCs w:val="24"/>
          <w:lang w:val="en-US"/>
        </w:rPr>
      </w:pPr>
      <w:r w:rsidRPr="00194964">
        <w:rPr>
          <w:rFonts w:ascii="Times New Roman" w:hAnsi="Times New Roman" w:cs="Times New Roman"/>
          <w:sz w:val="24"/>
          <w:szCs w:val="24"/>
          <w:lang w:val="en-US"/>
        </w:rPr>
        <w:lastRenderedPageBreak/>
        <w:t xml:space="preserve">[57] </w:t>
      </w:r>
      <w:r w:rsidR="008C0F10">
        <w:rPr>
          <w:rFonts w:ascii="Times New Roman" w:hAnsi="Times New Roman" w:cs="Times New Roman"/>
          <w:sz w:val="24"/>
          <w:szCs w:val="24"/>
          <w:lang w:val="en-US"/>
        </w:rPr>
        <w:t>Natural Resource Canada</w:t>
      </w:r>
      <w:r w:rsidRPr="00194964">
        <w:rPr>
          <w:rFonts w:ascii="Times New Roman" w:hAnsi="Times New Roman" w:cs="Times New Roman"/>
          <w:sz w:val="24"/>
          <w:szCs w:val="24"/>
          <w:lang w:val="en-US"/>
        </w:rPr>
        <w:t xml:space="preserve">. Summary Report on Energy Use in the Canadian Manufacturing Sector 1995-2008. Energy Publication - </w:t>
      </w:r>
      <w:r w:rsidR="008C0F10">
        <w:rPr>
          <w:rFonts w:ascii="Times New Roman" w:hAnsi="Times New Roman" w:cs="Times New Roman"/>
          <w:sz w:val="24"/>
          <w:szCs w:val="24"/>
          <w:lang w:val="en-US"/>
        </w:rPr>
        <w:t>Natural Resource Canada, Ottawa, 2010</w:t>
      </w:r>
    </w:p>
    <w:p w14:paraId="1A98F672" w14:textId="77777777" w:rsidR="009758F1" w:rsidRDefault="00EF105E" w:rsidP="00194964">
      <w:pPr>
        <w:spacing w:after="0" w:line="360" w:lineRule="auto"/>
        <w:ind w:left="426" w:hanging="426"/>
        <w:jc w:val="both"/>
        <w:rPr>
          <w:rFonts w:ascii="Times New Roman" w:hAnsi="Times New Roman" w:cs="Times New Roman"/>
          <w:sz w:val="24"/>
          <w:szCs w:val="24"/>
        </w:rPr>
      </w:pPr>
      <w:r w:rsidRPr="00194964">
        <w:rPr>
          <w:rFonts w:ascii="Times New Roman" w:hAnsi="Times New Roman" w:cs="Times New Roman"/>
          <w:sz w:val="24"/>
          <w:szCs w:val="24"/>
          <w:lang w:val="en-US"/>
        </w:rPr>
        <w:t>[58]</w:t>
      </w:r>
      <w:r w:rsidRPr="00194964">
        <w:rPr>
          <w:rFonts w:ascii="Times New Roman" w:hAnsi="Times New Roman" w:cs="Times New Roman"/>
          <w:sz w:val="24"/>
          <w:szCs w:val="24"/>
        </w:rPr>
        <w:t xml:space="preserve"> </w:t>
      </w:r>
      <w:r w:rsidR="009758F1">
        <w:rPr>
          <w:rFonts w:ascii="Times New Roman" w:hAnsi="Times New Roman" w:cs="Times New Roman"/>
          <w:sz w:val="24"/>
          <w:szCs w:val="24"/>
        </w:rPr>
        <w:t xml:space="preserve">EPA Website: </w:t>
      </w:r>
      <w:hyperlink r:id="rId41" w:history="1">
        <w:r w:rsidR="009758F1" w:rsidRPr="00706147">
          <w:rPr>
            <w:rStyle w:val="Collegamentoipertestuale"/>
            <w:rFonts w:ascii="Times New Roman" w:hAnsi="Times New Roman" w:cs="Times New Roman"/>
            <w:sz w:val="24"/>
            <w:szCs w:val="24"/>
          </w:rPr>
          <w:t>http://www.epa.gov/air/caa</w:t>
        </w:r>
      </w:hyperlink>
    </w:p>
    <w:p w14:paraId="793332A6" w14:textId="77777777" w:rsidR="009758F1" w:rsidRDefault="009758F1" w:rsidP="009758F1">
      <w:p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[59] Luomi M. Sustainable Energy in Brazil: Reversing Past Achievement or Realizing Future Potential. The Oxford Intsitute for Energy Study 2014; pp.55</w:t>
      </w:r>
    </w:p>
    <w:p w14:paraId="3C2B1632" w14:textId="77777777" w:rsidR="009758F1" w:rsidRDefault="009758F1" w:rsidP="009758F1">
      <w:pPr>
        <w:spacing w:after="0" w:line="360" w:lineRule="auto"/>
        <w:ind w:left="426" w:hanging="426"/>
        <w:jc w:val="both"/>
        <w:rPr>
          <w:rFonts w:ascii="Times New Roman" w:hAnsi="Times New Roman" w:cs="Times New Roman"/>
          <w:sz w:val="24"/>
          <w:szCs w:val="24"/>
        </w:rPr>
      </w:pPr>
      <w:r w:rsidRPr="00B13677">
        <w:rPr>
          <w:rFonts w:ascii="Times New Roman" w:hAnsi="Times New Roman" w:cs="Times New Roman"/>
          <w:sz w:val="24"/>
          <w:szCs w:val="24"/>
          <w:lang w:val="en-US"/>
        </w:rPr>
        <w:t xml:space="preserve">[60] Nogueira HLA., Cardoso RB., Cavalcanti CZB., Leonelli PA. </w:t>
      </w:r>
      <w:r>
        <w:rPr>
          <w:rFonts w:ascii="Times New Roman" w:hAnsi="Times New Roman" w:cs="Times New Roman"/>
          <w:sz w:val="24"/>
          <w:szCs w:val="24"/>
        </w:rPr>
        <w:t>Evaluation of the energy impacts of the Energy Efficiency Law in Brazil. Energy for Sustainable Development 2015;24:58-69</w:t>
      </w:r>
    </w:p>
    <w:p w14:paraId="5BFF5ACC" w14:textId="77777777" w:rsidR="009758F1" w:rsidRDefault="009758F1" w:rsidP="009758F1">
      <w:p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[61]</w:t>
      </w:r>
      <w:r w:rsidRPr="009758F1">
        <w:rPr>
          <w:rFonts w:ascii="Times New Roman" w:hAnsi="Times New Roman" w:cs="Times New Roman"/>
          <w:sz w:val="24"/>
          <w:szCs w:val="24"/>
        </w:rPr>
        <w:t xml:space="preserve"> </w:t>
      </w:r>
      <w:r>
        <w:rPr>
          <w:rFonts w:ascii="Times New Roman" w:hAnsi="Times New Roman" w:cs="Times New Roman"/>
          <w:sz w:val="24"/>
          <w:szCs w:val="24"/>
        </w:rPr>
        <w:t xml:space="preserve">IPEEC. Energy Efficiency Report Brazil. 2012 Available at: </w:t>
      </w:r>
      <w:hyperlink r:id="rId42" w:history="1">
        <w:r w:rsidRPr="00545A71">
          <w:rPr>
            <w:rStyle w:val="Collegamentoipertestuale"/>
            <w:rFonts w:ascii="Times New Roman" w:hAnsi="Times New Roman" w:cs="Times New Roman"/>
            <w:sz w:val="24"/>
            <w:szCs w:val="24"/>
          </w:rPr>
          <w:t>file:///C:/Users/andreov/Downloads/1397575956Brazil%20Country%20report%20(FINAL%20and%20UPDATED%20April%202014).pdf</w:t>
        </w:r>
      </w:hyperlink>
    </w:p>
    <w:p w14:paraId="6E4B2DC1" w14:textId="77777777" w:rsidR="00194964" w:rsidRDefault="009758F1" w:rsidP="009758F1">
      <w:p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[62] </w:t>
      </w:r>
      <w:r w:rsidR="008C0F10">
        <w:rPr>
          <w:rFonts w:ascii="Times New Roman" w:hAnsi="Times New Roman" w:cs="Times New Roman"/>
          <w:sz w:val="24"/>
          <w:szCs w:val="24"/>
        </w:rPr>
        <w:t>Jakob M, Haller M, Marschinski</w:t>
      </w:r>
      <w:r w:rsidR="00EF105E" w:rsidRPr="00194964">
        <w:rPr>
          <w:rFonts w:ascii="Times New Roman" w:hAnsi="Times New Roman" w:cs="Times New Roman"/>
          <w:sz w:val="24"/>
          <w:szCs w:val="24"/>
        </w:rPr>
        <w:t xml:space="preserve"> R. Will history repeat itself? Economic convergence and convergence in energy use patterns. Energy Economics</w:t>
      </w:r>
      <w:r w:rsidR="008C0F10">
        <w:rPr>
          <w:rFonts w:ascii="Times New Roman" w:hAnsi="Times New Roman" w:cs="Times New Roman"/>
          <w:sz w:val="24"/>
          <w:szCs w:val="24"/>
        </w:rPr>
        <w:t xml:space="preserve"> 2012;34:</w:t>
      </w:r>
      <w:r w:rsidR="00EF105E" w:rsidRPr="00194964">
        <w:rPr>
          <w:rFonts w:ascii="Times New Roman" w:hAnsi="Times New Roman" w:cs="Times New Roman"/>
          <w:sz w:val="24"/>
          <w:szCs w:val="24"/>
        </w:rPr>
        <w:t>95–104</w:t>
      </w:r>
    </w:p>
    <w:p w14:paraId="552749A9" w14:textId="77777777" w:rsidR="00194964" w:rsidRDefault="0071595F" w:rsidP="00194964">
      <w:p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lang w:val="it-IT"/>
        </w:rPr>
        <w:t>[63</w:t>
      </w:r>
      <w:r w:rsidR="00EF105E" w:rsidRPr="0030165C">
        <w:rPr>
          <w:rFonts w:ascii="Times New Roman" w:hAnsi="Times New Roman" w:cs="Times New Roman"/>
          <w:sz w:val="24"/>
          <w:szCs w:val="24"/>
          <w:lang w:val="it-IT"/>
        </w:rPr>
        <w:t xml:space="preserve">] </w:t>
      </w:r>
      <w:r w:rsidR="008C0F10" w:rsidRPr="0030165C">
        <w:rPr>
          <w:rFonts w:ascii="Times New Roman" w:hAnsi="Times New Roman" w:cs="Times New Roman"/>
          <w:sz w:val="24"/>
          <w:szCs w:val="24"/>
          <w:lang w:val="it-IT"/>
        </w:rPr>
        <w:t>Parcebois, J</w:t>
      </w:r>
      <w:r w:rsidR="00EF105E" w:rsidRPr="0030165C">
        <w:rPr>
          <w:rFonts w:ascii="Times New Roman" w:hAnsi="Times New Roman" w:cs="Times New Roman"/>
          <w:sz w:val="24"/>
          <w:szCs w:val="24"/>
          <w:lang w:val="it-IT"/>
        </w:rPr>
        <w:t xml:space="preserve">. Economie de l’energie. </w:t>
      </w:r>
      <w:r w:rsidR="00EF105E" w:rsidRPr="00194964">
        <w:rPr>
          <w:rFonts w:ascii="Times New Roman" w:hAnsi="Times New Roman" w:cs="Times New Roman"/>
          <w:sz w:val="24"/>
          <w:szCs w:val="24"/>
        </w:rPr>
        <w:t>Paris: Economica</w:t>
      </w:r>
      <w:r w:rsidR="008C0F10">
        <w:rPr>
          <w:rFonts w:ascii="Times New Roman" w:hAnsi="Times New Roman" w:cs="Times New Roman"/>
          <w:sz w:val="24"/>
          <w:szCs w:val="24"/>
        </w:rPr>
        <w:t>, 1989</w:t>
      </w:r>
    </w:p>
    <w:p w14:paraId="5F41BEAC" w14:textId="77777777" w:rsidR="00194964" w:rsidRDefault="0071595F" w:rsidP="00194964">
      <w:pPr>
        <w:spacing w:after="0"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rPr>
        <w:t>[64</w:t>
      </w:r>
      <w:r w:rsidR="00EF105E" w:rsidRPr="00194964">
        <w:rPr>
          <w:rFonts w:ascii="Times New Roman" w:hAnsi="Times New Roman" w:cs="Times New Roman"/>
          <w:sz w:val="24"/>
          <w:szCs w:val="24"/>
        </w:rPr>
        <w:t>] H</w:t>
      </w:r>
      <w:r w:rsidR="008C0F10">
        <w:rPr>
          <w:rFonts w:ascii="Times New Roman" w:hAnsi="Times New Roman" w:cs="Times New Roman"/>
          <w:sz w:val="24"/>
          <w:szCs w:val="24"/>
        </w:rPr>
        <w:t>eriques ST, Kander A</w:t>
      </w:r>
      <w:r w:rsidR="00EF105E" w:rsidRPr="00194964">
        <w:rPr>
          <w:rFonts w:ascii="Times New Roman" w:hAnsi="Times New Roman" w:cs="Times New Roman"/>
          <w:sz w:val="24"/>
          <w:szCs w:val="24"/>
        </w:rPr>
        <w:t xml:space="preserve">. The modest environmental relief from a transition to the service economy. </w:t>
      </w:r>
      <w:r w:rsidR="00EF105E" w:rsidRPr="00194964">
        <w:rPr>
          <w:rFonts w:ascii="Times New Roman" w:hAnsi="Times New Roman" w:cs="Times New Roman"/>
          <w:sz w:val="24"/>
          <w:szCs w:val="24"/>
          <w:lang w:val="en-US"/>
        </w:rPr>
        <w:t>Ecological Economics</w:t>
      </w:r>
      <w:r w:rsidR="008C0F10">
        <w:rPr>
          <w:rFonts w:ascii="Times New Roman" w:hAnsi="Times New Roman" w:cs="Times New Roman"/>
          <w:sz w:val="24"/>
          <w:szCs w:val="24"/>
          <w:lang w:val="en-US"/>
        </w:rPr>
        <w:t xml:space="preserve"> 2010;70(2):</w:t>
      </w:r>
      <w:r w:rsidR="00EF105E" w:rsidRPr="00194964">
        <w:rPr>
          <w:rFonts w:ascii="Times New Roman" w:hAnsi="Times New Roman" w:cs="Times New Roman"/>
          <w:sz w:val="24"/>
          <w:szCs w:val="24"/>
          <w:lang w:val="en-US"/>
        </w:rPr>
        <w:t>271-282</w:t>
      </w:r>
    </w:p>
    <w:p w14:paraId="783CA3FF" w14:textId="77777777" w:rsidR="00194964" w:rsidRDefault="0071595F" w:rsidP="00194964">
      <w:p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[65</w:t>
      </w:r>
      <w:r w:rsidR="00EF105E" w:rsidRPr="00194964">
        <w:rPr>
          <w:rFonts w:ascii="Times New Roman" w:hAnsi="Times New Roman" w:cs="Times New Roman"/>
          <w:sz w:val="24"/>
          <w:szCs w:val="24"/>
        </w:rPr>
        <w:t xml:space="preserve">] </w:t>
      </w:r>
      <w:r w:rsidR="008C0F10">
        <w:rPr>
          <w:rFonts w:ascii="Times New Roman" w:hAnsi="Times New Roman" w:cs="Times New Roman"/>
          <w:sz w:val="24"/>
          <w:szCs w:val="24"/>
        </w:rPr>
        <w:t>Warr B, Ayres R, Eisenmenger N, Kraussman F, Schandl</w:t>
      </w:r>
      <w:r w:rsidR="00EF105E" w:rsidRPr="00194964">
        <w:rPr>
          <w:rFonts w:ascii="Times New Roman" w:hAnsi="Times New Roman" w:cs="Times New Roman"/>
          <w:sz w:val="24"/>
          <w:szCs w:val="24"/>
        </w:rPr>
        <w:t xml:space="preserve"> H. Energy use and economic development: a comparative analysis of useful work supply in Austria, Japan, the United Kingdom and the US during 100 years of economic growth. Ecological Economics </w:t>
      </w:r>
      <w:r w:rsidR="008C0F10">
        <w:rPr>
          <w:rFonts w:ascii="Times New Roman" w:hAnsi="Times New Roman" w:cs="Times New Roman"/>
          <w:sz w:val="24"/>
          <w:szCs w:val="24"/>
        </w:rPr>
        <w:t>2010;69:</w:t>
      </w:r>
      <w:r w:rsidR="00EF105E" w:rsidRPr="00194964">
        <w:rPr>
          <w:rFonts w:ascii="Times New Roman" w:hAnsi="Times New Roman" w:cs="Times New Roman"/>
          <w:sz w:val="24"/>
          <w:szCs w:val="24"/>
        </w:rPr>
        <w:t>1904-1917</w:t>
      </w:r>
    </w:p>
    <w:p w14:paraId="496C73D5" w14:textId="77777777" w:rsidR="00194964" w:rsidRDefault="0071595F" w:rsidP="00194964">
      <w:p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[66</w:t>
      </w:r>
      <w:r w:rsidR="00EF105E" w:rsidRPr="00194964">
        <w:rPr>
          <w:rFonts w:ascii="Times New Roman" w:hAnsi="Times New Roman" w:cs="Times New Roman"/>
          <w:sz w:val="24"/>
          <w:szCs w:val="24"/>
        </w:rPr>
        <w:t xml:space="preserve">] </w:t>
      </w:r>
      <w:r w:rsidR="00EF105E" w:rsidRPr="00194964">
        <w:rPr>
          <w:rFonts w:ascii="Times New Roman" w:hAnsi="Times New Roman" w:cs="Times New Roman"/>
          <w:sz w:val="24"/>
          <w:szCs w:val="24"/>
          <w:lang w:val="en-US"/>
        </w:rPr>
        <w:t xml:space="preserve">IEA – International </w:t>
      </w:r>
      <w:r w:rsidR="008C0F10" w:rsidRPr="00194964">
        <w:rPr>
          <w:rFonts w:ascii="Times New Roman" w:hAnsi="Times New Roman" w:cs="Times New Roman"/>
          <w:sz w:val="24"/>
          <w:szCs w:val="24"/>
          <w:lang w:val="en-US"/>
        </w:rPr>
        <w:t>Environmental</w:t>
      </w:r>
      <w:r w:rsidR="00EF105E" w:rsidRPr="00194964">
        <w:rPr>
          <w:rFonts w:ascii="Times New Roman" w:hAnsi="Times New Roman" w:cs="Times New Roman"/>
          <w:sz w:val="24"/>
          <w:szCs w:val="24"/>
          <w:lang w:val="en-US"/>
        </w:rPr>
        <w:t xml:space="preserve"> Agency, 2015. Available at: </w:t>
      </w:r>
      <w:hyperlink r:id="rId43" w:history="1">
        <w:r w:rsidR="00EF105E" w:rsidRPr="00194964">
          <w:rPr>
            <w:rStyle w:val="Collegamentoipertestuale"/>
            <w:rFonts w:ascii="Times New Roman" w:hAnsi="Times New Roman" w:cs="Times New Roman"/>
            <w:sz w:val="24"/>
            <w:szCs w:val="24"/>
            <w:lang w:val="en-US"/>
          </w:rPr>
          <w:t>http://www.iea.org/newsroomandevents/news/2015/march/global-energy-related-emissions-of-carbon-dioxide-stalled-in-2014.html</w:t>
        </w:r>
      </w:hyperlink>
    </w:p>
    <w:p w14:paraId="60A49881" w14:textId="77777777" w:rsidR="00194964" w:rsidRDefault="0071595F" w:rsidP="00194964">
      <w:pPr>
        <w:spacing w:after="0"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[67</w:t>
      </w:r>
      <w:r w:rsidR="00EF105E" w:rsidRPr="00194964">
        <w:rPr>
          <w:rFonts w:ascii="Times New Roman" w:hAnsi="Times New Roman" w:cs="Times New Roman"/>
          <w:sz w:val="24"/>
          <w:szCs w:val="24"/>
          <w:lang w:val="en-US"/>
        </w:rPr>
        <w:t xml:space="preserve">] </w:t>
      </w:r>
      <w:r w:rsidR="008C0F10">
        <w:rPr>
          <w:rFonts w:ascii="Times New Roman" w:eastAsia="Arial Unicode MS" w:hAnsi="Times New Roman" w:cs="Times New Roman"/>
          <w:color w:val="2E2E2E"/>
          <w:sz w:val="24"/>
          <w:szCs w:val="24"/>
          <w:lang w:val="en-US" w:eastAsia="it-IT"/>
        </w:rPr>
        <w:t>Ang BW, Liu</w:t>
      </w:r>
      <w:r w:rsidR="00EF105E" w:rsidRPr="00194964">
        <w:rPr>
          <w:rFonts w:ascii="Times New Roman" w:eastAsia="Arial Unicode MS" w:hAnsi="Times New Roman" w:cs="Times New Roman"/>
          <w:color w:val="2E2E2E"/>
          <w:sz w:val="24"/>
          <w:szCs w:val="24"/>
          <w:lang w:val="en-US" w:eastAsia="it-IT"/>
        </w:rPr>
        <w:t xml:space="preserve"> N. Viewpoint: Energy decomposition analysis: IEA model versus other </w:t>
      </w:r>
      <w:r w:rsidR="00EF105E" w:rsidRPr="004D255E">
        <w:rPr>
          <w:rFonts w:ascii="Times New Roman" w:eastAsia="Arial Unicode MS" w:hAnsi="Times New Roman" w:cs="Times New Roman"/>
          <w:color w:val="2E2E2E"/>
          <w:sz w:val="24"/>
          <w:szCs w:val="24"/>
          <w:lang w:val="en-US" w:eastAsia="it-IT"/>
        </w:rPr>
        <w:t xml:space="preserve">methods, Energy policy </w:t>
      </w:r>
      <w:r w:rsidR="008C0F10">
        <w:rPr>
          <w:rFonts w:ascii="Times New Roman" w:eastAsia="Arial Unicode MS" w:hAnsi="Times New Roman" w:cs="Times New Roman"/>
          <w:color w:val="2E2E2E"/>
          <w:sz w:val="24"/>
          <w:szCs w:val="24"/>
          <w:lang w:val="en-US" w:eastAsia="it-IT"/>
        </w:rPr>
        <w:t>2007;35:</w:t>
      </w:r>
      <w:r w:rsidR="00EF105E" w:rsidRPr="004D255E">
        <w:rPr>
          <w:rFonts w:ascii="Times New Roman" w:eastAsia="Arial Unicode MS" w:hAnsi="Times New Roman" w:cs="Times New Roman"/>
          <w:color w:val="2E2E2E"/>
          <w:sz w:val="24"/>
          <w:szCs w:val="24"/>
          <w:lang w:val="en-US" w:eastAsia="it-IT"/>
        </w:rPr>
        <w:t>1426</w:t>
      </w:r>
      <w:r w:rsidR="00EF105E" w:rsidRPr="004D255E">
        <w:rPr>
          <w:rFonts w:ascii="Cambria Math" w:eastAsia="Arial Unicode MS" w:hAnsi="Cambria Math" w:cs="Cambria Math"/>
          <w:color w:val="2E2E2E"/>
          <w:sz w:val="24"/>
          <w:szCs w:val="24"/>
          <w:lang w:val="en-US" w:eastAsia="it-IT"/>
        </w:rPr>
        <w:t>‐</w:t>
      </w:r>
      <w:r w:rsidR="00EF105E" w:rsidRPr="004D255E">
        <w:rPr>
          <w:rFonts w:ascii="Times New Roman" w:eastAsia="Arial Unicode MS" w:hAnsi="Times New Roman" w:cs="Times New Roman"/>
          <w:color w:val="2E2E2E"/>
          <w:sz w:val="24"/>
          <w:szCs w:val="24"/>
          <w:lang w:val="en-US" w:eastAsia="it-IT"/>
        </w:rPr>
        <w:t>1432.</w:t>
      </w:r>
    </w:p>
    <w:p w14:paraId="257B7CCF" w14:textId="77777777" w:rsidR="00EF105E" w:rsidRDefault="0071595F" w:rsidP="00194964">
      <w:pPr>
        <w:spacing w:after="0" w:line="360" w:lineRule="auto"/>
        <w:ind w:left="426" w:hanging="426"/>
        <w:jc w:val="both"/>
        <w:rPr>
          <w:rFonts w:ascii="Times New Roman" w:eastAsia="Arial Unicode MS" w:hAnsi="Times New Roman" w:cs="Times New Roman"/>
          <w:color w:val="2E2E2E"/>
          <w:sz w:val="24"/>
          <w:szCs w:val="24"/>
          <w:lang w:eastAsia="en-GB"/>
        </w:rPr>
      </w:pPr>
      <w:r>
        <w:rPr>
          <w:rFonts w:ascii="Times New Roman" w:eastAsia="Arial Unicode MS" w:hAnsi="Times New Roman" w:cs="Times New Roman"/>
          <w:color w:val="2E2E2E"/>
          <w:sz w:val="24"/>
          <w:szCs w:val="24"/>
          <w:lang w:val="en-US" w:eastAsia="it-IT"/>
        </w:rPr>
        <w:t>[68</w:t>
      </w:r>
      <w:r w:rsidR="00EF105E" w:rsidRPr="00194964">
        <w:rPr>
          <w:rFonts w:ascii="Times New Roman" w:eastAsia="Arial Unicode MS" w:hAnsi="Times New Roman" w:cs="Times New Roman"/>
          <w:color w:val="2E2E2E"/>
          <w:sz w:val="24"/>
          <w:szCs w:val="24"/>
          <w:lang w:val="en-US" w:eastAsia="it-IT"/>
        </w:rPr>
        <w:t xml:space="preserve">] </w:t>
      </w:r>
      <w:r w:rsidR="00EF105E" w:rsidRPr="00194964">
        <w:rPr>
          <w:rFonts w:ascii="Times New Roman" w:eastAsia="Arial Unicode MS" w:hAnsi="Times New Roman" w:cs="Times New Roman"/>
          <w:color w:val="2E2E2E"/>
          <w:sz w:val="24"/>
          <w:szCs w:val="24"/>
          <w:lang w:eastAsia="en-GB"/>
        </w:rPr>
        <w:t>Janss</w:t>
      </w:r>
      <w:r w:rsidR="008C0F10">
        <w:rPr>
          <w:rFonts w:ascii="Times New Roman" w:eastAsia="Arial Unicode MS" w:hAnsi="Times New Roman" w:cs="Times New Roman"/>
          <w:color w:val="2E2E2E"/>
          <w:sz w:val="24"/>
          <w:szCs w:val="24"/>
          <w:lang w:eastAsia="en-GB"/>
        </w:rPr>
        <w:t>ens-Maenhout</w:t>
      </w:r>
      <w:r w:rsidR="00EF105E" w:rsidRPr="00194964">
        <w:rPr>
          <w:rFonts w:ascii="Times New Roman" w:eastAsia="Arial Unicode MS" w:hAnsi="Times New Roman" w:cs="Times New Roman"/>
          <w:color w:val="2E2E2E"/>
          <w:sz w:val="24"/>
          <w:szCs w:val="24"/>
          <w:lang w:eastAsia="en-GB"/>
        </w:rPr>
        <w:t xml:space="preserve"> </w:t>
      </w:r>
      <w:r w:rsidR="008C0F10">
        <w:rPr>
          <w:rFonts w:ascii="Times New Roman" w:eastAsia="Arial Unicode MS" w:hAnsi="Times New Roman" w:cs="Times New Roman"/>
          <w:color w:val="2E2E2E"/>
          <w:sz w:val="24"/>
          <w:szCs w:val="24"/>
          <w:lang w:eastAsia="en-GB"/>
        </w:rPr>
        <w:t>G</w:t>
      </w:r>
      <w:r w:rsidR="00EF105E" w:rsidRPr="00194964">
        <w:rPr>
          <w:rFonts w:ascii="Times New Roman" w:eastAsia="Arial Unicode MS" w:hAnsi="Times New Roman" w:cs="Times New Roman"/>
          <w:color w:val="2E2E2E"/>
          <w:sz w:val="24"/>
          <w:szCs w:val="24"/>
          <w:lang w:eastAsia="en-GB"/>
        </w:rPr>
        <w:t xml:space="preserve">, </w:t>
      </w:r>
      <w:r w:rsidR="008C0F10">
        <w:rPr>
          <w:rFonts w:ascii="Times New Roman" w:eastAsia="Arial Unicode MS" w:hAnsi="Times New Roman" w:cs="Times New Roman"/>
          <w:color w:val="2E2E2E"/>
          <w:sz w:val="24"/>
          <w:szCs w:val="24"/>
          <w:lang w:eastAsia="en-GB"/>
        </w:rPr>
        <w:t>Paruolo P</w:t>
      </w:r>
      <w:r w:rsidR="00EF105E" w:rsidRPr="00194964">
        <w:rPr>
          <w:rFonts w:ascii="Times New Roman" w:eastAsia="Arial Unicode MS" w:hAnsi="Times New Roman" w:cs="Times New Roman"/>
          <w:color w:val="2E2E2E"/>
          <w:sz w:val="24"/>
          <w:szCs w:val="24"/>
          <w:lang w:eastAsia="en-GB"/>
        </w:rPr>
        <w:t xml:space="preserve">, </w:t>
      </w:r>
      <w:r w:rsidR="008C0F10">
        <w:rPr>
          <w:rFonts w:ascii="Times New Roman" w:eastAsia="Arial Unicode MS" w:hAnsi="Times New Roman" w:cs="Times New Roman"/>
          <w:color w:val="2E2E2E"/>
          <w:sz w:val="24"/>
          <w:szCs w:val="24"/>
          <w:lang w:eastAsia="en-GB"/>
        </w:rPr>
        <w:t>Martelli S</w:t>
      </w:r>
      <w:r w:rsidR="00EF105E" w:rsidRPr="00194964">
        <w:rPr>
          <w:rFonts w:ascii="Times New Roman" w:eastAsia="Arial Unicode MS" w:hAnsi="Times New Roman" w:cs="Times New Roman"/>
          <w:color w:val="2E2E2E"/>
          <w:sz w:val="24"/>
          <w:szCs w:val="24"/>
          <w:lang w:eastAsia="en-GB"/>
        </w:rPr>
        <w:t>. Analysis of Greenhouse Gas Emission Trends and Drivers, JRC SCIENCE and Policy report, JRC 78707, EUR 25814 EN, doi: 10.2788/84075, pp 45</w:t>
      </w:r>
      <w:r w:rsidR="008C0F10">
        <w:rPr>
          <w:rFonts w:ascii="Times New Roman" w:eastAsia="Arial Unicode MS" w:hAnsi="Times New Roman" w:cs="Times New Roman"/>
          <w:color w:val="2E2E2E"/>
          <w:sz w:val="24"/>
          <w:szCs w:val="24"/>
          <w:lang w:eastAsia="en-GB"/>
        </w:rPr>
        <w:t>, 2013</w:t>
      </w:r>
    </w:p>
    <w:p w14:paraId="0D6FD2EA" w14:textId="77777777" w:rsidR="0071595F" w:rsidRPr="00852C13" w:rsidRDefault="0071595F" w:rsidP="0071595F">
      <w:pPr>
        <w:spacing w:after="0" w:line="360" w:lineRule="auto"/>
        <w:ind w:left="426" w:hanging="426"/>
        <w:jc w:val="both"/>
        <w:rPr>
          <w:rFonts w:ascii="Times New Roman" w:eastAsia="Arial Unicode MS" w:hAnsi="Times New Roman" w:cs="Times New Roman"/>
          <w:color w:val="2E2E2E"/>
          <w:sz w:val="24"/>
          <w:szCs w:val="24"/>
          <w:lang w:eastAsia="en-GB"/>
        </w:rPr>
      </w:pPr>
      <w:r>
        <w:rPr>
          <w:rFonts w:ascii="Times New Roman" w:eastAsia="Arial Unicode MS" w:hAnsi="Times New Roman" w:cs="Times New Roman"/>
          <w:color w:val="2E2E2E"/>
          <w:sz w:val="24"/>
          <w:szCs w:val="24"/>
          <w:lang w:eastAsia="en-GB"/>
        </w:rPr>
        <w:t>[69</w:t>
      </w:r>
      <w:r w:rsidRPr="00852C13">
        <w:rPr>
          <w:rFonts w:ascii="Times New Roman" w:eastAsia="Arial Unicode MS" w:hAnsi="Times New Roman" w:cs="Times New Roman"/>
          <w:color w:val="2E2E2E"/>
          <w:sz w:val="24"/>
          <w:szCs w:val="24"/>
          <w:lang w:eastAsia="en-GB"/>
        </w:rPr>
        <w:t xml:space="preserve">] </w:t>
      </w:r>
      <w:r>
        <w:rPr>
          <w:rFonts w:ascii="Times New Roman" w:eastAsia="Times New Roman" w:hAnsi="Times New Roman" w:cs="Times New Roman"/>
          <w:sz w:val="24"/>
          <w:szCs w:val="24"/>
          <w:lang w:val="en-US" w:eastAsia="it-IT"/>
        </w:rPr>
        <w:t>Arto, I, Rueda-Cantuche, JM, Andreoni, V</w:t>
      </w:r>
      <w:r w:rsidRPr="00852C13">
        <w:rPr>
          <w:rFonts w:ascii="Times New Roman" w:eastAsia="Times New Roman" w:hAnsi="Times New Roman" w:cs="Times New Roman"/>
          <w:sz w:val="24"/>
          <w:szCs w:val="24"/>
          <w:lang w:val="en-US" w:eastAsia="it-IT"/>
        </w:rPr>
        <w:t xml:space="preserve">, </w:t>
      </w:r>
      <w:r>
        <w:rPr>
          <w:rFonts w:ascii="Times New Roman" w:eastAsia="Times New Roman" w:hAnsi="Times New Roman" w:cs="Times New Roman"/>
          <w:sz w:val="24"/>
          <w:szCs w:val="24"/>
          <w:lang w:val="en-US" w:eastAsia="it-IT"/>
        </w:rPr>
        <w:t xml:space="preserve">Mongelli, I, Genty, A. </w:t>
      </w:r>
      <w:r w:rsidRPr="00852C13">
        <w:rPr>
          <w:rFonts w:ascii="Times New Roman" w:eastAsia="Times New Roman" w:hAnsi="Times New Roman" w:cs="Times New Roman"/>
          <w:sz w:val="24"/>
          <w:szCs w:val="24"/>
          <w:lang w:val="en-US" w:eastAsia="it-IT"/>
        </w:rPr>
        <w:t>The gam</w:t>
      </w:r>
      <w:r>
        <w:rPr>
          <w:rFonts w:ascii="Times New Roman" w:eastAsia="Times New Roman" w:hAnsi="Times New Roman" w:cs="Times New Roman"/>
          <w:sz w:val="24"/>
          <w:szCs w:val="24"/>
          <w:lang w:val="en-US" w:eastAsia="it-IT"/>
        </w:rPr>
        <w:t>e of trading jobs for emissions, Energy Policy 2014;66:</w:t>
      </w:r>
      <w:r w:rsidRPr="00852C13">
        <w:rPr>
          <w:rFonts w:ascii="Times New Roman" w:eastAsia="Times New Roman" w:hAnsi="Times New Roman" w:cs="Times New Roman"/>
          <w:sz w:val="24"/>
          <w:szCs w:val="24"/>
          <w:lang w:val="en-US" w:eastAsia="it-IT"/>
        </w:rPr>
        <w:t>517-525</w:t>
      </w:r>
    </w:p>
    <w:p w14:paraId="15FB19F3" w14:textId="77777777" w:rsidR="0071595F" w:rsidRDefault="0071595F" w:rsidP="0071595F">
      <w:pPr>
        <w:spacing w:after="0" w:line="360" w:lineRule="auto"/>
        <w:ind w:left="426" w:hanging="426"/>
        <w:jc w:val="both"/>
        <w:rPr>
          <w:rFonts w:ascii="Times New Roman" w:hAnsi="Times New Roman" w:cs="Times New Roman"/>
          <w:sz w:val="24"/>
          <w:szCs w:val="24"/>
        </w:rPr>
      </w:pPr>
      <w:r>
        <w:rPr>
          <w:rFonts w:ascii="Times New Roman" w:eastAsia="Arial Unicode MS" w:hAnsi="Times New Roman" w:cs="Times New Roman"/>
          <w:color w:val="2E2E2E"/>
          <w:sz w:val="24"/>
          <w:szCs w:val="24"/>
          <w:lang w:eastAsia="en-GB"/>
        </w:rPr>
        <w:t xml:space="preserve">[70] UNEP, 2015. Global Trends in Renewable Energy Investment. Available at: </w:t>
      </w:r>
      <w:r w:rsidRPr="00852C13">
        <w:rPr>
          <w:rFonts w:ascii="Times New Roman" w:eastAsia="Arial Unicode MS" w:hAnsi="Times New Roman" w:cs="Times New Roman"/>
          <w:color w:val="2E2E2E"/>
          <w:sz w:val="24"/>
          <w:szCs w:val="24"/>
          <w:lang w:eastAsia="en-GB"/>
        </w:rPr>
        <w:t>http://fs-unep-centre.org/publications/global-trends-renewable-energy-investment-2015</w:t>
      </w:r>
    </w:p>
    <w:p w14:paraId="5D1F48EE" w14:textId="77777777" w:rsidR="0071595F" w:rsidRDefault="0071595F" w:rsidP="0071595F">
      <w:pPr>
        <w:spacing w:after="0" w:line="360" w:lineRule="auto"/>
        <w:ind w:left="426" w:hanging="426"/>
        <w:jc w:val="both"/>
        <w:rPr>
          <w:rFonts w:ascii="Times New Roman" w:hAnsi="Times New Roman" w:cs="Times New Roman"/>
          <w:sz w:val="24"/>
          <w:szCs w:val="24"/>
        </w:rPr>
      </w:pPr>
      <w:r>
        <w:rPr>
          <w:rFonts w:ascii="Times New Roman" w:eastAsia="Arial Unicode MS" w:hAnsi="Times New Roman" w:cs="Times New Roman"/>
          <w:color w:val="2E2E2E"/>
          <w:sz w:val="24"/>
          <w:szCs w:val="24"/>
          <w:lang w:val="en-US" w:eastAsia="it-IT"/>
        </w:rPr>
        <w:lastRenderedPageBreak/>
        <w:t>[</w:t>
      </w:r>
      <w:r>
        <w:rPr>
          <w:rFonts w:ascii="Times New Roman" w:hAnsi="Times New Roman" w:cs="Times New Roman"/>
          <w:sz w:val="24"/>
          <w:szCs w:val="24"/>
        </w:rPr>
        <w:t>71] Expert Group on Energy Efficiency. Revitalizing the Potential for Energy Efficiency – Targets, Measures and Policies for G8 Countries. United Nations Foundation Waschinghton DC, 2007, 72 pp.</w:t>
      </w:r>
    </w:p>
    <w:p w14:paraId="143DC182" w14:textId="77777777" w:rsidR="0071595F" w:rsidRPr="00194964" w:rsidRDefault="0071595F" w:rsidP="00194964">
      <w:pPr>
        <w:spacing w:after="0" w:line="360" w:lineRule="auto"/>
        <w:ind w:left="426" w:hanging="426"/>
        <w:jc w:val="both"/>
        <w:rPr>
          <w:rFonts w:ascii="Times New Roman" w:hAnsi="Times New Roman" w:cs="Times New Roman"/>
          <w:sz w:val="24"/>
          <w:szCs w:val="24"/>
        </w:rPr>
      </w:pPr>
    </w:p>
    <w:p w14:paraId="2035530C" w14:textId="77777777" w:rsidR="00803ABC" w:rsidRDefault="00803ABC" w:rsidP="00194964">
      <w:pPr>
        <w:spacing w:line="360" w:lineRule="auto"/>
        <w:ind w:left="426" w:hanging="426"/>
        <w:jc w:val="both"/>
      </w:pPr>
      <w:r w:rsidRPr="00194964">
        <w:rPr>
          <w:rFonts w:ascii="Times New Roman" w:hAnsi="Times New Roman" w:cs="Times New Roman"/>
          <w:sz w:val="24"/>
          <w:szCs w:val="24"/>
        </w:rPr>
        <w:br w:type="page"/>
      </w:r>
    </w:p>
    <w:tbl>
      <w:tblPr>
        <w:tblW w:w="11454" w:type="dxa"/>
        <w:tblInd w:w="108" w:type="dxa"/>
        <w:tblLook w:val="04A0" w:firstRow="1" w:lastRow="0" w:firstColumn="1" w:lastColumn="0" w:noHBand="0" w:noVBand="1"/>
      </w:tblPr>
      <w:tblGrid>
        <w:gridCol w:w="1353"/>
        <w:gridCol w:w="77"/>
        <w:gridCol w:w="1199"/>
        <w:gridCol w:w="1276"/>
        <w:gridCol w:w="769"/>
        <w:gridCol w:w="648"/>
        <w:gridCol w:w="776"/>
        <w:gridCol w:w="485"/>
        <w:gridCol w:w="1261"/>
        <w:gridCol w:w="86"/>
        <w:gridCol w:w="1274"/>
        <w:gridCol w:w="72"/>
        <w:gridCol w:w="164"/>
        <w:gridCol w:w="2014"/>
      </w:tblGrid>
      <w:tr w:rsidR="00560991" w:rsidRPr="00803ABC" w14:paraId="00FF3BF7" w14:textId="77777777" w:rsidTr="00B52C55">
        <w:trPr>
          <w:trHeight w:val="300"/>
        </w:trPr>
        <w:tc>
          <w:tcPr>
            <w:tcW w:w="6098" w:type="dxa"/>
            <w:gridSpan w:val="7"/>
            <w:tcBorders>
              <w:top w:val="nil"/>
              <w:left w:val="nil"/>
              <w:bottom w:val="nil"/>
              <w:right w:val="nil"/>
            </w:tcBorders>
            <w:shd w:val="clear" w:color="auto" w:fill="auto"/>
            <w:noWrap/>
            <w:vAlign w:val="bottom"/>
            <w:hideMark/>
          </w:tcPr>
          <w:p w14:paraId="38BFBD64" w14:textId="77777777" w:rsidR="00560991" w:rsidRPr="00803ABC" w:rsidRDefault="00F07092" w:rsidP="00560991">
            <w:pPr>
              <w:spacing w:after="0" w:line="240" w:lineRule="auto"/>
              <w:rPr>
                <w:rFonts w:ascii="Times New Roman" w:eastAsia="Times New Roman" w:hAnsi="Times New Roman" w:cs="Times New Roman"/>
                <w:b/>
                <w:bCs/>
                <w:color w:val="000000"/>
                <w:sz w:val="24"/>
                <w:szCs w:val="24"/>
                <w:lang w:eastAsia="en-GB"/>
              </w:rPr>
            </w:pPr>
            <w:r w:rsidRPr="00803ABC">
              <w:rPr>
                <w:rFonts w:ascii="Times New Roman" w:eastAsia="Times New Roman" w:hAnsi="Times New Roman" w:cs="Times New Roman"/>
                <w:b/>
                <w:bCs/>
                <w:color w:val="000000"/>
                <w:sz w:val="24"/>
                <w:szCs w:val="24"/>
                <w:lang w:eastAsia="en-GB"/>
              </w:rPr>
              <w:lastRenderedPageBreak/>
              <w:t xml:space="preserve">Appendix 1. </w:t>
            </w:r>
            <w:r w:rsidR="00560991" w:rsidRPr="00803ABC">
              <w:rPr>
                <w:rFonts w:ascii="Times New Roman" w:eastAsia="Times New Roman" w:hAnsi="Times New Roman" w:cs="Times New Roman"/>
                <w:b/>
                <w:bCs/>
                <w:color w:val="000000"/>
                <w:sz w:val="24"/>
                <w:szCs w:val="24"/>
                <w:lang w:eastAsia="en-GB"/>
              </w:rPr>
              <w:t>Decomposition of CO</w:t>
            </w:r>
            <w:r w:rsidR="00560991" w:rsidRPr="00CE1271">
              <w:rPr>
                <w:rFonts w:ascii="Times New Roman" w:eastAsia="Times New Roman" w:hAnsi="Times New Roman" w:cs="Times New Roman"/>
                <w:b/>
                <w:bCs/>
                <w:color w:val="000000"/>
                <w:sz w:val="24"/>
                <w:szCs w:val="24"/>
                <w:vertAlign w:val="subscript"/>
                <w:lang w:eastAsia="en-GB"/>
              </w:rPr>
              <w:t>2</w:t>
            </w:r>
            <w:r w:rsidR="00560991" w:rsidRPr="00803ABC">
              <w:rPr>
                <w:rFonts w:ascii="Times New Roman" w:eastAsia="Times New Roman" w:hAnsi="Times New Roman" w:cs="Times New Roman"/>
                <w:b/>
                <w:bCs/>
                <w:color w:val="000000"/>
                <w:sz w:val="24"/>
                <w:szCs w:val="24"/>
                <w:lang w:eastAsia="en-GB"/>
              </w:rPr>
              <w:t xml:space="preserve"> emissions (Kilotones)</w:t>
            </w:r>
          </w:p>
        </w:tc>
        <w:tc>
          <w:tcPr>
            <w:tcW w:w="1832" w:type="dxa"/>
            <w:gridSpan w:val="3"/>
            <w:tcBorders>
              <w:top w:val="nil"/>
              <w:left w:val="nil"/>
              <w:bottom w:val="nil"/>
              <w:right w:val="nil"/>
            </w:tcBorders>
            <w:shd w:val="clear" w:color="auto" w:fill="auto"/>
            <w:noWrap/>
            <w:vAlign w:val="bottom"/>
            <w:hideMark/>
          </w:tcPr>
          <w:p w14:paraId="2ED16A7D" w14:textId="77777777" w:rsidR="00560991" w:rsidRPr="00803ABC" w:rsidRDefault="00560991" w:rsidP="00560991">
            <w:pPr>
              <w:spacing w:after="0" w:line="240" w:lineRule="auto"/>
              <w:rPr>
                <w:rFonts w:ascii="Times New Roman" w:eastAsia="Times New Roman" w:hAnsi="Times New Roman" w:cs="Times New Roman"/>
                <w:color w:val="000000"/>
                <w:sz w:val="24"/>
                <w:szCs w:val="24"/>
                <w:lang w:eastAsia="en-GB"/>
              </w:rPr>
            </w:pPr>
          </w:p>
        </w:tc>
        <w:tc>
          <w:tcPr>
            <w:tcW w:w="1274" w:type="dxa"/>
            <w:tcBorders>
              <w:top w:val="nil"/>
              <w:left w:val="nil"/>
              <w:bottom w:val="nil"/>
              <w:right w:val="nil"/>
            </w:tcBorders>
            <w:shd w:val="clear" w:color="auto" w:fill="auto"/>
            <w:noWrap/>
            <w:vAlign w:val="bottom"/>
            <w:hideMark/>
          </w:tcPr>
          <w:p w14:paraId="32EF09FD" w14:textId="77777777" w:rsidR="00560991" w:rsidRPr="00803ABC" w:rsidRDefault="00560991" w:rsidP="00560991">
            <w:pPr>
              <w:spacing w:after="0" w:line="240" w:lineRule="auto"/>
              <w:rPr>
                <w:rFonts w:ascii="Times New Roman" w:eastAsia="Times New Roman" w:hAnsi="Times New Roman" w:cs="Times New Roman"/>
                <w:color w:val="000000"/>
                <w:sz w:val="24"/>
                <w:szCs w:val="24"/>
                <w:lang w:eastAsia="en-GB"/>
              </w:rPr>
            </w:pPr>
          </w:p>
        </w:tc>
        <w:tc>
          <w:tcPr>
            <w:tcW w:w="236" w:type="dxa"/>
            <w:gridSpan w:val="2"/>
            <w:tcBorders>
              <w:top w:val="nil"/>
              <w:left w:val="nil"/>
              <w:bottom w:val="nil"/>
              <w:right w:val="nil"/>
            </w:tcBorders>
            <w:shd w:val="clear" w:color="auto" w:fill="auto"/>
            <w:noWrap/>
            <w:vAlign w:val="bottom"/>
            <w:hideMark/>
          </w:tcPr>
          <w:p w14:paraId="175EFAD1" w14:textId="77777777" w:rsidR="00560991" w:rsidRPr="00803ABC" w:rsidRDefault="00560991" w:rsidP="00560991">
            <w:pPr>
              <w:spacing w:after="0" w:line="240" w:lineRule="auto"/>
              <w:rPr>
                <w:rFonts w:ascii="Times New Roman" w:eastAsia="Times New Roman" w:hAnsi="Times New Roman" w:cs="Times New Roman"/>
                <w:color w:val="000000"/>
                <w:sz w:val="24"/>
                <w:szCs w:val="24"/>
                <w:lang w:eastAsia="en-GB"/>
              </w:rPr>
            </w:pPr>
          </w:p>
        </w:tc>
        <w:tc>
          <w:tcPr>
            <w:tcW w:w="2014" w:type="dxa"/>
            <w:tcBorders>
              <w:top w:val="nil"/>
              <w:left w:val="nil"/>
              <w:bottom w:val="nil"/>
              <w:right w:val="nil"/>
            </w:tcBorders>
            <w:shd w:val="clear" w:color="auto" w:fill="auto"/>
            <w:noWrap/>
            <w:vAlign w:val="bottom"/>
            <w:hideMark/>
          </w:tcPr>
          <w:p w14:paraId="31C8D77A" w14:textId="77777777" w:rsidR="00560991" w:rsidRPr="00803ABC" w:rsidRDefault="00560991" w:rsidP="00560991">
            <w:pPr>
              <w:spacing w:after="0" w:line="240" w:lineRule="auto"/>
              <w:rPr>
                <w:rFonts w:ascii="Times New Roman" w:eastAsia="Times New Roman" w:hAnsi="Times New Roman" w:cs="Times New Roman"/>
                <w:color w:val="000000"/>
                <w:sz w:val="24"/>
                <w:szCs w:val="24"/>
                <w:lang w:eastAsia="en-GB"/>
              </w:rPr>
            </w:pPr>
          </w:p>
        </w:tc>
      </w:tr>
      <w:tr w:rsidR="00560991" w:rsidRPr="00560991" w14:paraId="293C99B9" w14:textId="77777777" w:rsidTr="00B52C55">
        <w:trPr>
          <w:trHeight w:val="315"/>
        </w:trPr>
        <w:tc>
          <w:tcPr>
            <w:tcW w:w="1430" w:type="dxa"/>
            <w:gridSpan w:val="2"/>
            <w:tcBorders>
              <w:top w:val="nil"/>
              <w:left w:val="nil"/>
              <w:bottom w:val="nil"/>
              <w:right w:val="nil"/>
            </w:tcBorders>
            <w:shd w:val="clear" w:color="auto" w:fill="auto"/>
            <w:noWrap/>
            <w:vAlign w:val="bottom"/>
            <w:hideMark/>
          </w:tcPr>
          <w:p w14:paraId="5AAC21A2" w14:textId="77777777" w:rsidR="00560991" w:rsidRPr="00560991" w:rsidRDefault="00560991" w:rsidP="00560991">
            <w:pPr>
              <w:spacing w:after="0" w:line="240" w:lineRule="auto"/>
              <w:rPr>
                <w:rFonts w:ascii="Calibri" w:eastAsia="Times New Roman" w:hAnsi="Calibri" w:cs="Times New Roman"/>
                <w:color w:val="000000"/>
                <w:lang w:eastAsia="en-GB"/>
              </w:rPr>
            </w:pPr>
          </w:p>
        </w:tc>
        <w:tc>
          <w:tcPr>
            <w:tcW w:w="1199" w:type="dxa"/>
            <w:tcBorders>
              <w:top w:val="nil"/>
              <w:left w:val="nil"/>
              <w:bottom w:val="nil"/>
              <w:right w:val="nil"/>
            </w:tcBorders>
            <w:shd w:val="clear" w:color="auto" w:fill="auto"/>
            <w:noWrap/>
            <w:vAlign w:val="bottom"/>
            <w:hideMark/>
          </w:tcPr>
          <w:p w14:paraId="189338D2" w14:textId="77777777" w:rsidR="00560991" w:rsidRPr="00560991" w:rsidRDefault="00560991" w:rsidP="00560991">
            <w:pPr>
              <w:spacing w:after="0" w:line="240" w:lineRule="auto"/>
              <w:rPr>
                <w:rFonts w:ascii="Calibri" w:eastAsia="Times New Roman" w:hAnsi="Calibri" w:cs="Times New Roman"/>
                <w:color w:val="000000"/>
                <w:lang w:eastAsia="en-GB"/>
              </w:rPr>
            </w:pPr>
          </w:p>
        </w:tc>
        <w:tc>
          <w:tcPr>
            <w:tcW w:w="2045" w:type="dxa"/>
            <w:gridSpan w:val="2"/>
            <w:tcBorders>
              <w:top w:val="nil"/>
              <w:left w:val="nil"/>
              <w:bottom w:val="nil"/>
              <w:right w:val="nil"/>
            </w:tcBorders>
            <w:shd w:val="clear" w:color="auto" w:fill="auto"/>
            <w:noWrap/>
            <w:vAlign w:val="bottom"/>
            <w:hideMark/>
          </w:tcPr>
          <w:p w14:paraId="62F77D9E" w14:textId="77777777" w:rsidR="00560991" w:rsidRPr="00560991" w:rsidRDefault="00560991" w:rsidP="00560991">
            <w:pPr>
              <w:spacing w:after="0" w:line="240" w:lineRule="auto"/>
              <w:rPr>
                <w:rFonts w:ascii="Calibri" w:eastAsia="Times New Roman" w:hAnsi="Calibri" w:cs="Times New Roman"/>
                <w:color w:val="000000"/>
                <w:lang w:eastAsia="en-GB"/>
              </w:rPr>
            </w:pPr>
          </w:p>
        </w:tc>
        <w:tc>
          <w:tcPr>
            <w:tcW w:w="1424" w:type="dxa"/>
            <w:gridSpan w:val="2"/>
            <w:tcBorders>
              <w:top w:val="nil"/>
              <w:left w:val="nil"/>
              <w:bottom w:val="nil"/>
              <w:right w:val="nil"/>
            </w:tcBorders>
            <w:shd w:val="clear" w:color="auto" w:fill="auto"/>
            <w:noWrap/>
            <w:vAlign w:val="bottom"/>
            <w:hideMark/>
          </w:tcPr>
          <w:p w14:paraId="4B9B127B" w14:textId="77777777" w:rsidR="00560991" w:rsidRPr="00560991" w:rsidRDefault="00560991" w:rsidP="00560991">
            <w:pPr>
              <w:spacing w:after="0" w:line="240" w:lineRule="auto"/>
              <w:rPr>
                <w:rFonts w:ascii="Calibri" w:eastAsia="Times New Roman" w:hAnsi="Calibri" w:cs="Times New Roman"/>
                <w:color w:val="000000"/>
                <w:lang w:eastAsia="en-GB"/>
              </w:rPr>
            </w:pPr>
          </w:p>
        </w:tc>
        <w:tc>
          <w:tcPr>
            <w:tcW w:w="1832" w:type="dxa"/>
            <w:gridSpan w:val="3"/>
            <w:tcBorders>
              <w:top w:val="nil"/>
              <w:left w:val="nil"/>
              <w:bottom w:val="nil"/>
              <w:right w:val="nil"/>
            </w:tcBorders>
            <w:shd w:val="clear" w:color="auto" w:fill="auto"/>
            <w:noWrap/>
            <w:vAlign w:val="bottom"/>
            <w:hideMark/>
          </w:tcPr>
          <w:p w14:paraId="1720CABC" w14:textId="77777777" w:rsidR="00560991" w:rsidRPr="00560991" w:rsidRDefault="00560991" w:rsidP="00560991">
            <w:pPr>
              <w:spacing w:after="0" w:line="240" w:lineRule="auto"/>
              <w:rPr>
                <w:rFonts w:ascii="Calibri" w:eastAsia="Times New Roman" w:hAnsi="Calibri" w:cs="Times New Roman"/>
                <w:color w:val="000000"/>
                <w:lang w:eastAsia="en-GB"/>
              </w:rPr>
            </w:pPr>
          </w:p>
        </w:tc>
        <w:tc>
          <w:tcPr>
            <w:tcW w:w="1274" w:type="dxa"/>
            <w:tcBorders>
              <w:top w:val="nil"/>
              <w:left w:val="nil"/>
              <w:bottom w:val="nil"/>
              <w:right w:val="nil"/>
            </w:tcBorders>
            <w:shd w:val="clear" w:color="auto" w:fill="auto"/>
            <w:noWrap/>
            <w:vAlign w:val="bottom"/>
            <w:hideMark/>
          </w:tcPr>
          <w:p w14:paraId="600E3DCD" w14:textId="77777777" w:rsidR="00560991" w:rsidRPr="00560991" w:rsidRDefault="00560991" w:rsidP="00560991">
            <w:pPr>
              <w:spacing w:after="0" w:line="240" w:lineRule="auto"/>
              <w:rPr>
                <w:rFonts w:ascii="Calibri" w:eastAsia="Times New Roman" w:hAnsi="Calibri" w:cs="Times New Roman"/>
                <w:color w:val="000000"/>
                <w:lang w:eastAsia="en-GB"/>
              </w:rPr>
            </w:pPr>
          </w:p>
        </w:tc>
        <w:tc>
          <w:tcPr>
            <w:tcW w:w="236" w:type="dxa"/>
            <w:gridSpan w:val="2"/>
            <w:tcBorders>
              <w:top w:val="nil"/>
              <w:left w:val="nil"/>
              <w:bottom w:val="nil"/>
              <w:right w:val="nil"/>
            </w:tcBorders>
            <w:shd w:val="clear" w:color="auto" w:fill="auto"/>
            <w:noWrap/>
            <w:vAlign w:val="bottom"/>
            <w:hideMark/>
          </w:tcPr>
          <w:p w14:paraId="1D65C175" w14:textId="77777777" w:rsidR="00560991" w:rsidRPr="00560991" w:rsidRDefault="00560991" w:rsidP="00560991">
            <w:pPr>
              <w:spacing w:after="0" w:line="240" w:lineRule="auto"/>
              <w:rPr>
                <w:rFonts w:ascii="Calibri" w:eastAsia="Times New Roman" w:hAnsi="Calibri" w:cs="Times New Roman"/>
                <w:color w:val="000000"/>
                <w:lang w:eastAsia="en-GB"/>
              </w:rPr>
            </w:pPr>
          </w:p>
        </w:tc>
        <w:tc>
          <w:tcPr>
            <w:tcW w:w="2014" w:type="dxa"/>
            <w:tcBorders>
              <w:top w:val="nil"/>
              <w:left w:val="nil"/>
              <w:bottom w:val="nil"/>
              <w:right w:val="nil"/>
            </w:tcBorders>
            <w:shd w:val="clear" w:color="auto" w:fill="auto"/>
            <w:noWrap/>
            <w:vAlign w:val="bottom"/>
            <w:hideMark/>
          </w:tcPr>
          <w:p w14:paraId="63BB7321"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4CF961EE" w14:textId="77777777" w:rsidTr="00B52C55">
        <w:trPr>
          <w:trHeight w:val="615"/>
        </w:trPr>
        <w:tc>
          <w:tcPr>
            <w:tcW w:w="1353" w:type="dxa"/>
            <w:tcBorders>
              <w:top w:val="nil"/>
              <w:left w:val="nil"/>
              <w:bottom w:val="nil"/>
              <w:right w:val="nil"/>
            </w:tcBorders>
            <w:shd w:val="clear" w:color="auto" w:fill="auto"/>
            <w:noWrap/>
            <w:vAlign w:val="bottom"/>
            <w:hideMark/>
          </w:tcPr>
          <w:p w14:paraId="14E214CB" w14:textId="77777777" w:rsidR="00560991" w:rsidRPr="00560991" w:rsidRDefault="00560991" w:rsidP="00560991">
            <w:pPr>
              <w:spacing w:after="0" w:line="240" w:lineRule="auto"/>
              <w:rPr>
                <w:rFonts w:ascii="Times New Roman" w:eastAsia="Times New Roman" w:hAnsi="Times New Roman" w:cs="Times New Roman"/>
                <w:b/>
                <w:bCs/>
                <w:color w:val="000000"/>
                <w:lang w:eastAsia="en-GB"/>
              </w:rPr>
            </w:pPr>
            <w:r w:rsidRPr="00560991">
              <w:rPr>
                <w:rFonts w:ascii="Times New Roman" w:eastAsia="Times New Roman" w:hAnsi="Times New Roman" w:cs="Times New Roman"/>
                <w:b/>
                <w:bCs/>
                <w:color w:val="000000"/>
                <w:lang w:eastAsia="en-GB"/>
              </w:rPr>
              <w:t>Country</w:t>
            </w:r>
          </w:p>
        </w:tc>
        <w:tc>
          <w:tcPr>
            <w:tcW w:w="1276" w:type="dxa"/>
            <w:gridSpan w:val="2"/>
            <w:tcBorders>
              <w:top w:val="single" w:sz="8" w:space="0" w:color="auto"/>
              <w:left w:val="nil"/>
              <w:bottom w:val="single" w:sz="8" w:space="0" w:color="auto"/>
              <w:right w:val="nil"/>
            </w:tcBorders>
            <w:shd w:val="clear" w:color="auto" w:fill="auto"/>
            <w:hideMark/>
          </w:tcPr>
          <w:p w14:paraId="40446745" w14:textId="77777777" w:rsidR="00560991" w:rsidRPr="00560991" w:rsidRDefault="00560991" w:rsidP="00560991">
            <w:pPr>
              <w:spacing w:after="0" w:line="240" w:lineRule="auto"/>
              <w:jc w:val="both"/>
              <w:rPr>
                <w:rFonts w:ascii="Times New Roman" w:eastAsia="Times New Roman" w:hAnsi="Times New Roman" w:cs="Times New Roman"/>
                <w:b/>
                <w:bCs/>
                <w:color w:val="000000"/>
                <w:lang w:eastAsia="en-GB"/>
              </w:rPr>
            </w:pPr>
            <w:r w:rsidRPr="00560991">
              <w:rPr>
                <w:rFonts w:ascii="Times New Roman" w:eastAsia="Times New Roman" w:hAnsi="Times New Roman" w:cs="Times New Roman"/>
                <w:b/>
                <w:bCs/>
                <w:color w:val="000000"/>
                <w:lang w:eastAsia="en-GB"/>
              </w:rPr>
              <w:t>Time period</w:t>
            </w:r>
          </w:p>
        </w:tc>
        <w:tc>
          <w:tcPr>
            <w:tcW w:w="1276" w:type="dxa"/>
            <w:tcBorders>
              <w:top w:val="single" w:sz="8" w:space="0" w:color="auto"/>
              <w:left w:val="nil"/>
              <w:bottom w:val="single" w:sz="8" w:space="0" w:color="auto"/>
              <w:right w:val="nil"/>
            </w:tcBorders>
            <w:shd w:val="clear" w:color="auto" w:fill="auto"/>
            <w:hideMark/>
          </w:tcPr>
          <w:p w14:paraId="1B3A8C66" w14:textId="77777777" w:rsidR="00560991" w:rsidRPr="00560991" w:rsidRDefault="00560991" w:rsidP="00560991">
            <w:pPr>
              <w:spacing w:after="0" w:line="240" w:lineRule="auto"/>
              <w:jc w:val="both"/>
              <w:rPr>
                <w:rFonts w:ascii="Times New Roman" w:eastAsia="Times New Roman" w:hAnsi="Times New Roman" w:cs="Times New Roman"/>
                <w:b/>
                <w:bCs/>
                <w:color w:val="000000"/>
                <w:lang w:eastAsia="en-GB"/>
              </w:rPr>
            </w:pPr>
            <w:r w:rsidRPr="00560991">
              <w:rPr>
                <w:rFonts w:ascii="Times New Roman" w:eastAsia="Times New Roman" w:hAnsi="Times New Roman" w:cs="Times New Roman"/>
                <w:b/>
                <w:bCs/>
                <w:color w:val="000000"/>
                <w:lang w:eastAsia="en-GB"/>
              </w:rPr>
              <w:t>CI effect</w:t>
            </w:r>
          </w:p>
        </w:tc>
        <w:tc>
          <w:tcPr>
            <w:tcW w:w="1417" w:type="dxa"/>
            <w:gridSpan w:val="2"/>
            <w:tcBorders>
              <w:top w:val="single" w:sz="8" w:space="0" w:color="auto"/>
              <w:left w:val="nil"/>
              <w:bottom w:val="single" w:sz="8" w:space="0" w:color="auto"/>
              <w:right w:val="nil"/>
            </w:tcBorders>
            <w:shd w:val="clear" w:color="auto" w:fill="auto"/>
            <w:hideMark/>
          </w:tcPr>
          <w:p w14:paraId="3028DFBA" w14:textId="77777777" w:rsidR="00560991" w:rsidRPr="00560991" w:rsidRDefault="00560991" w:rsidP="00560991">
            <w:pPr>
              <w:spacing w:after="0" w:line="240" w:lineRule="auto"/>
              <w:jc w:val="both"/>
              <w:rPr>
                <w:rFonts w:ascii="Times New Roman" w:eastAsia="Times New Roman" w:hAnsi="Times New Roman" w:cs="Times New Roman"/>
                <w:b/>
                <w:bCs/>
                <w:color w:val="000000"/>
                <w:lang w:eastAsia="en-GB"/>
              </w:rPr>
            </w:pPr>
            <w:r w:rsidRPr="00560991">
              <w:rPr>
                <w:rFonts w:ascii="Times New Roman" w:eastAsia="Times New Roman" w:hAnsi="Times New Roman" w:cs="Times New Roman"/>
                <w:b/>
                <w:bCs/>
                <w:color w:val="000000"/>
                <w:lang w:eastAsia="en-GB"/>
              </w:rPr>
              <w:t>EI effect</w:t>
            </w:r>
          </w:p>
        </w:tc>
        <w:tc>
          <w:tcPr>
            <w:tcW w:w="1261" w:type="dxa"/>
            <w:gridSpan w:val="2"/>
            <w:tcBorders>
              <w:top w:val="single" w:sz="8" w:space="0" w:color="auto"/>
              <w:left w:val="nil"/>
              <w:bottom w:val="single" w:sz="8" w:space="0" w:color="auto"/>
              <w:right w:val="nil"/>
            </w:tcBorders>
            <w:shd w:val="clear" w:color="auto" w:fill="auto"/>
            <w:hideMark/>
          </w:tcPr>
          <w:p w14:paraId="2B1B9EAA" w14:textId="77777777" w:rsidR="00560991" w:rsidRPr="00560991" w:rsidRDefault="00560991" w:rsidP="00560991">
            <w:pPr>
              <w:spacing w:after="0" w:line="240" w:lineRule="auto"/>
              <w:jc w:val="both"/>
              <w:rPr>
                <w:rFonts w:ascii="Times New Roman" w:eastAsia="Times New Roman" w:hAnsi="Times New Roman" w:cs="Times New Roman"/>
                <w:b/>
                <w:bCs/>
                <w:color w:val="000000"/>
                <w:lang w:eastAsia="en-GB"/>
              </w:rPr>
            </w:pPr>
            <w:r w:rsidRPr="00560991">
              <w:rPr>
                <w:rFonts w:ascii="Times New Roman" w:eastAsia="Times New Roman" w:hAnsi="Times New Roman" w:cs="Times New Roman"/>
                <w:b/>
                <w:bCs/>
                <w:color w:val="000000"/>
                <w:lang w:eastAsia="en-GB"/>
              </w:rPr>
              <w:t>ES effect</w:t>
            </w:r>
          </w:p>
        </w:tc>
        <w:tc>
          <w:tcPr>
            <w:tcW w:w="1261" w:type="dxa"/>
            <w:tcBorders>
              <w:top w:val="single" w:sz="8" w:space="0" w:color="auto"/>
              <w:left w:val="nil"/>
              <w:bottom w:val="single" w:sz="8" w:space="0" w:color="auto"/>
              <w:right w:val="nil"/>
            </w:tcBorders>
            <w:shd w:val="clear" w:color="auto" w:fill="auto"/>
            <w:hideMark/>
          </w:tcPr>
          <w:p w14:paraId="5DA2AD28" w14:textId="77777777" w:rsidR="00560991" w:rsidRPr="00560991" w:rsidRDefault="00560991" w:rsidP="00560991">
            <w:pPr>
              <w:spacing w:after="0" w:line="240" w:lineRule="auto"/>
              <w:jc w:val="both"/>
              <w:rPr>
                <w:rFonts w:ascii="Times New Roman" w:eastAsia="Times New Roman" w:hAnsi="Times New Roman" w:cs="Times New Roman"/>
                <w:b/>
                <w:bCs/>
                <w:color w:val="000000"/>
                <w:lang w:eastAsia="en-GB"/>
              </w:rPr>
            </w:pPr>
            <w:r w:rsidRPr="00560991">
              <w:rPr>
                <w:rFonts w:ascii="Times New Roman" w:eastAsia="Times New Roman" w:hAnsi="Times New Roman" w:cs="Times New Roman"/>
                <w:b/>
                <w:bCs/>
                <w:color w:val="000000"/>
                <w:lang w:eastAsia="en-GB"/>
              </w:rPr>
              <w:t>G effect</w:t>
            </w:r>
          </w:p>
        </w:tc>
        <w:tc>
          <w:tcPr>
            <w:tcW w:w="1432" w:type="dxa"/>
            <w:gridSpan w:val="3"/>
            <w:tcBorders>
              <w:top w:val="single" w:sz="8" w:space="0" w:color="auto"/>
              <w:left w:val="nil"/>
              <w:bottom w:val="single" w:sz="8" w:space="0" w:color="auto"/>
              <w:right w:val="nil"/>
            </w:tcBorders>
            <w:shd w:val="clear" w:color="auto" w:fill="auto"/>
            <w:hideMark/>
          </w:tcPr>
          <w:p w14:paraId="44D9C9B9" w14:textId="77777777" w:rsidR="00560991" w:rsidRPr="00560991" w:rsidRDefault="00560991" w:rsidP="00560991">
            <w:pPr>
              <w:spacing w:after="0" w:line="240" w:lineRule="auto"/>
              <w:jc w:val="right"/>
              <w:rPr>
                <w:rFonts w:ascii="Times New Roman" w:eastAsia="Times New Roman" w:hAnsi="Times New Roman" w:cs="Times New Roman"/>
                <w:b/>
                <w:bCs/>
                <w:color w:val="000000"/>
                <w:lang w:eastAsia="en-GB"/>
              </w:rPr>
            </w:pPr>
            <w:r w:rsidRPr="00560991">
              <w:rPr>
                <w:rFonts w:ascii="Times New Roman" w:eastAsia="Times New Roman" w:hAnsi="Times New Roman" w:cs="Times New Roman"/>
                <w:b/>
                <w:bCs/>
                <w:color w:val="000000"/>
                <w:lang w:eastAsia="en-GB"/>
              </w:rPr>
              <w:t>Cumulated change</w:t>
            </w:r>
          </w:p>
        </w:tc>
        <w:tc>
          <w:tcPr>
            <w:tcW w:w="2178" w:type="dxa"/>
            <w:gridSpan w:val="2"/>
            <w:tcBorders>
              <w:top w:val="nil"/>
              <w:left w:val="nil"/>
              <w:bottom w:val="nil"/>
              <w:right w:val="nil"/>
            </w:tcBorders>
            <w:shd w:val="clear" w:color="auto" w:fill="auto"/>
            <w:noWrap/>
            <w:vAlign w:val="bottom"/>
            <w:hideMark/>
          </w:tcPr>
          <w:p w14:paraId="721C9126"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20A3AE93" w14:textId="77777777" w:rsidTr="00B52C55">
        <w:trPr>
          <w:trHeight w:val="300"/>
        </w:trPr>
        <w:tc>
          <w:tcPr>
            <w:tcW w:w="1353" w:type="dxa"/>
            <w:tcBorders>
              <w:top w:val="single" w:sz="4" w:space="0" w:color="auto"/>
              <w:left w:val="nil"/>
              <w:bottom w:val="nil"/>
              <w:right w:val="nil"/>
            </w:tcBorders>
            <w:shd w:val="clear" w:color="auto" w:fill="auto"/>
            <w:noWrap/>
            <w:vAlign w:val="bottom"/>
            <w:hideMark/>
          </w:tcPr>
          <w:p w14:paraId="162EBC82"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Australia</w:t>
            </w:r>
          </w:p>
        </w:tc>
        <w:tc>
          <w:tcPr>
            <w:tcW w:w="1276" w:type="dxa"/>
            <w:gridSpan w:val="2"/>
            <w:tcBorders>
              <w:top w:val="single" w:sz="4" w:space="0" w:color="auto"/>
              <w:left w:val="nil"/>
              <w:bottom w:val="nil"/>
              <w:right w:val="nil"/>
            </w:tcBorders>
            <w:shd w:val="clear" w:color="auto" w:fill="auto"/>
            <w:noWrap/>
            <w:vAlign w:val="bottom"/>
            <w:hideMark/>
          </w:tcPr>
          <w:p w14:paraId="1A0280ED"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1999-1995</w:t>
            </w:r>
          </w:p>
        </w:tc>
        <w:tc>
          <w:tcPr>
            <w:tcW w:w="1276" w:type="dxa"/>
            <w:tcBorders>
              <w:top w:val="single" w:sz="4" w:space="0" w:color="auto"/>
              <w:left w:val="nil"/>
              <w:bottom w:val="nil"/>
              <w:right w:val="nil"/>
            </w:tcBorders>
            <w:shd w:val="clear" w:color="auto" w:fill="auto"/>
            <w:noWrap/>
            <w:vAlign w:val="bottom"/>
            <w:hideMark/>
          </w:tcPr>
          <w:p w14:paraId="6D18B253"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-1,188.0</w:t>
            </w:r>
          </w:p>
        </w:tc>
        <w:tc>
          <w:tcPr>
            <w:tcW w:w="1417" w:type="dxa"/>
            <w:gridSpan w:val="2"/>
            <w:tcBorders>
              <w:top w:val="single" w:sz="4" w:space="0" w:color="auto"/>
              <w:left w:val="nil"/>
              <w:bottom w:val="nil"/>
              <w:right w:val="nil"/>
            </w:tcBorders>
            <w:shd w:val="clear" w:color="auto" w:fill="auto"/>
            <w:noWrap/>
            <w:vAlign w:val="bottom"/>
            <w:hideMark/>
          </w:tcPr>
          <w:p w14:paraId="677E1D20"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-8,757.5</w:t>
            </w:r>
          </w:p>
        </w:tc>
        <w:tc>
          <w:tcPr>
            <w:tcW w:w="1261" w:type="dxa"/>
            <w:gridSpan w:val="2"/>
            <w:tcBorders>
              <w:top w:val="single" w:sz="4" w:space="0" w:color="auto"/>
              <w:left w:val="nil"/>
              <w:bottom w:val="nil"/>
              <w:right w:val="nil"/>
            </w:tcBorders>
            <w:shd w:val="clear" w:color="auto" w:fill="auto"/>
            <w:noWrap/>
            <w:vAlign w:val="bottom"/>
            <w:hideMark/>
          </w:tcPr>
          <w:p w14:paraId="6C3041F1"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9,817.1</w:t>
            </w:r>
          </w:p>
        </w:tc>
        <w:tc>
          <w:tcPr>
            <w:tcW w:w="1261" w:type="dxa"/>
            <w:tcBorders>
              <w:top w:val="single" w:sz="4" w:space="0" w:color="auto"/>
              <w:left w:val="nil"/>
              <w:bottom w:val="nil"/>
              <w:right w:val="nil"/>
            </w:tcBorders>
            <w:shd w:val="clear" w:color="auto" w:fill="auto"/>
            <w:noWrap/>
            <w:vAlign w:val="bottom"/>
            <w:hideMark/>
          </w:tcPr>
          <w:p w14:paraId="125EBB48"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45,405.3</w:t>
            </w:r>
          </w:p>
        </w:tc>
        <w:tc>
          <w:tcPr>
            <w:tcW w:w="1432" w:type="dxa"/>
            <w:gridSpan w:val="3"/>
            <w:tcBorders>
              <w:top w:val="single" w:sz="4" w:space="0" w:color="auto"/>
              <w:left w:val="nil"/>
              <w:bottom w:val="nil"/>
              <w:right w:val="nil"/>
            </w:tcBorders>
            <w:shd w:val="clear" w:color="auto" w:fill="auto"/>
            <w:noWrap/>
            <w:vAlign w:val="bottom"/>
            <w:hideMark/>
          </w:tcPr>
          <w:p w14:paraId="57436F07"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45,277.0</w:t>
            </w:r>
          </w:p>
        </w:tc>
        <w:tc>
          <w:tcPr>
            <w:tcW w:w="2178" w:type="dxa"/>
            <w:gridSpan w:val="2"/>
            <w:tcBorders>
              <w:top w:val="nil"/>
              <w:left w:val="nil"/>
              <w:bottom w:val="nil"/>
              <w:right w:val="nil"/>
            </w:tcBorders>
            <w:shd w:val="clear" w:color="auto" w:fill="auto"/>
            <w:noWrap/>
            <w:vAlign w:val="bottom"/>
            <w:hideMark/>
          </w:tcPr>
          <w:p w14:paraId="51075062"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051C00D0" w14:textId="77777777" w:rsidTr="00B52C55">
        <w:trPr>
          <w:trHeight w:val="300"/>
        </w:trPr>
        <w:tc>
          <w:tcPr>
            <w:tcW w:w="1353" w:type="dxa"/>
            <w:tcBorders>
              <w:top w:val="nil"/>
              <w:left w:val="nil"/>
              <w:bottom w:val="nil"/>
              <w:right w:val="nil"/>
            </w:tcBorders>
            <w:shd w:val="clear" w:color="auto" w:fill="auto"/>
            <w:noWrap/>
            <w:vAlign w:val="bottom"/>
            <w:hideMark/>
          </w:tcPr>
          <w:p w14:paraId="426CF141"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687018C3"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2003-1999</w:t>
            </w:r>
          </w:p>
        </w:tc>
        <w:tc>
          <w:tcPr>
            <w:tcW w:w="1276" w:type="dxa"/>
            <w:tcBorders>
              <w:top w:val="nil"/>
              <w:left w:val="nil"/>
              <w:bottom w:val="nil"/>
              <w:right w:val="nil"/>
            </w:tcBorders>
            <w:shd w:val="clear" w:color="auto" w:fill="auto"/>
            <w:noWrap/>
            <w:vAlign w:val="bottom"/>
            <w:hideMark/>
          </w:tcPr>
          <w:p w14:paraId="2F72DBFD"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-6,698.8</w:t>
            </w:r>
          </w:p>
        </w:tc>
        <w:tc>
          <w:tcPr>
            <w:tcW w:w="1417" w:type="dxa"/>
            <w:gridSpan w:val="2"/>
            <w:tcBorders>
              <w:top w:val="nil"/>
              <w:left w:val="nil"/>
              <w:bottom w:val="nil"/>
              <w:right w:val="nil"/>
            </w:tcBorders>
            <w:shd w:val="clear" w:color="auto" w:fill="auto"/>
            <w:noWrap/>
            <w:vAlign w:val="bottom"/>
            <w:hideMark/>
          </w:tcPr>
          <w:p w14:paraId="646E4902"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-13,977.4</w:t>
            </w:r>
          </w:p>
        </w:tc>
        <w:tc>
          <w:tcPr>
            <w:tcW w:w="1261" w:type="dxa"/>
            <w:gridSpan w:val="2"/>
            <w:tcBorders>
              <w:top w:val="nil"/>
              <w:left w:val="nil"/>
              <w:bottom w:val="nil"/>
              <w:right w:val="nil"/>
            </w:tcBorders>
            <w:shd w:val="clear" w:color="auto" w:fill="auto"/>
            <w:noWrap/>
            <w:vAlign w:val="bottom"/>
            <w:hideMark/>
          </w:tcPr>
          <w:p w14:paraId="75F3B23B"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-130.2</w:t>
            </w:r>
          </w:p>
        </w:tc>
        <w:tc>
          <w:tcPr>
            <w:tcW w:w="1261" w:type="dxa"/>
            <w:tcBorders>
              <w:top w:val="nil"/>
              <w:left w:val="nil"/>
              <w:bottom w:val="nil"/>
              <w:right w:val="nil"/>
            </w:tcBorders>
            <w:shd w:val="clear" w:color="auto" w:fill="auto"/>
            <w:noWrap/>
            <w:vAlign w:val="bottom"/>
            <w:hideMark/>
          </w:tcPr>
          <w:p w14:paraId="21097FD7"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46,625.5</w:t>
            </w:r>
          </w:p>
        </w:tc>
        <w:tc>
          <w:tcPr>
            <w:tcW w:w="1432" w:type="dxa"/>
            <w:gridSpan w:val="3"/>
            <w:tcBorders>
              <w:top w:val="nil"/>
              <w:left w:val="nil"/>
              <w:bottom w:val="nil"/>
              <w:right w:val="nil"/>
            </w:tcBorders>
            <w:shd w:val="clear" w:color="auto" w:fill="auto"/>
            <w:noWrap/>
            <w:vAlign w:val="bottom"/>
            <w:hideMark/>
          </w:tcPr>
          <w:p w14:paraId="047A1F12"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25,819.1</w:t>
            </w:r>
          </w:p>
        </w:tc>
        <w:tc>
          <w:tcPr>
            <w:tcW w:w="2178" w:type="dxa"/>
            <w:gridSpan w:val="2"/>
            <w:tcBorders>
              <w:top w:val="nil"/>
              <w:left w:val="nil"/>
              <w:bottom w:val="nil"/>
              <w:right w:val="nil"/>
            </w:tcBorders>
            <w:shd w:val="clear" w:color="auto" w:fill="auto"/>
            <w:noWrap/>
            <w:vAlign w:val="bottom"/>
            <w:hideMark/>
          </w:tcPr>
          <w:p w14:paraId="5C069F59"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634D8FAF" w14:textId="77777777" w:rsidTr="00B52C55">
        <w:trPr>
          <w:trHeight w:val="300"/>
        </w:trPr>
        <w:tc>
          <w:tcPr>
            <w:tcW w:w="1353" w:type="dxa"/>
            <w:tcBorders>
              <w:top w:val="nil"/>
              <w:left w:val="nil"/>
              <w:bottom w:val="nil"/>
              <w:right w:val="nil"/>
            </w:tcBorders>
            <w:shd w:val="clear" w:color="auto" w:fill="auto"/>
            <w:noWrap/>
            <w:vAlign w:val="bottom"/>
            <w:hideMark/>
          </w:tcPr>
          <w:p w14:paraId="1E57D91F"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2B313E86"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2007-2003</w:t>
            </w:r>
          </w:p>
        </w:tc>
        <w:tc>
          <w:tcPr>
            <w:tcW w:w="1276" w:type="dxa"/>
            <w:tcBorders>
              <w:top w:val="nil"/>
              <w:left w:val="nil"/>
              <w:bottom w:val="nil"/>
              <w:right w:val="nil"/>
            </w:tcBorders>
            <w:shd w:val="clear" w:color="auto" w:fill="auto"/>
            <w:noWrap/>
            <w:vAlign w:val="bottom"/>
            <w:hideMark/>
          </w:tcPr>
          <w:p w14:paraId="1B38605E"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-3,626.5</w:t>
            </w:r>
          </w:p>
        </w:tc>
        <w:tc>
          <w:tcPr>
            <w:tcW w:w="1417" w:type="dxa"/>
            <w:gridSpan w:val="2"/>
            <w:tcBorders>
              <w:top w:val="nil"/>
              <w:left w:val="nil"/>
              <w:bottom w:val="nil"/>
              <w:right w:val="nil"/>
            </w:tcBorders>
            <w:shd w:val="clear" w:color="auto" w:fill="auto"/>
            <w:noWrap/>
            <w:vAlign w:val="bottom"/>
            <w:hideMark/>
          </w:tcPr>
          <w:p w14:paraId="5CD5A6C7"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-17,881.5</w:t>
            </w:r>
          </w:p>
        </w:tc>
        <w:tc>
          <w:tcPr>
            <w:tcW w:w="1261" w:type="dxa"/>
            <w:gridSpan w:val="2"/>
            <w:tcBorders>
              <w:top w:val="nil"/>
              <w:left w:val="nil"/>
              <w:bottom w:val="nil"/>
              <w:right w:val="nil"/>
            </w:tcBorders>
            <w:shd w:val="clear" w:color="auto" w:fill="auto"/>
            <w:noWrap/>
            <w:vAlign w:val="bottom"/>
            <w:hideMark/>
          </w:tcPr>
          <w:p w14:paraId="0B6BF5B7"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-16,827.6</w:t>
            </w:r>
          </w:p>
        </w:tc>
        <w:tc>
          <w:tcPr>
            <w:tcW w:w="1261" w:type="dxa"/>
            <w:tcBorders>
              <w:top w:val="nil"/>
              <w:left w:val="nil"/>
              <w:bottom w:val="nil"/>
              <w:right w:val="nil"/>
            </w:tcBorders>
            <w:shd w:val="clear" w:color="auto" w:fill="auto"/>
            <w:noWrap/>
            <w:vAlign w:val="bottom"/>
            <w:hideMark/>
          </w:tcPr>
          <w:p w14:paraId="47BE23A7"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69,461.1</w:t>
            </w:r>
          </w:p>
        </w:tc>
        <w:tc>
          <w:tcPr>
            <w:tcW w:w="1432" w:type="dxa"/>
            <w:gridSpan w:val="3"/>
            <w:tcBorders>
              <w:top w:val="nil"/>
              <w:left w:val="nil"/>
              <w:bottom w:val="nil"/>
              <w:right w:val="nil"/>
            </w:tcBorders>
            <w:shd w:val="clear" w:color="auto" w:fill="auto"/>
            <w:noWrap/>
            <w:vAlign w:val="bottom"/>
            <w:hideMark/>
          </w:tcPr>
          <w:p w14:paraId="646AA405"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31,125.5</w:t>
            </w:r>
          </w:p>
        </w:tc>
        <w:tc>
          <w:tcPr>
            <w:tcW w:w="2178" w:type="dxa"/>
            <w:gridSpan w:val="2"/>
            <w:tcBorders>
              <w:top w:val="nil"/>
              <w:left w:val="nil"/>
              <w:bottom w:val="nil"/>
              <w:right w:val="nil"/>
            </w:tcBorders>
            <w:shd w:val="clear" w:color="auto" w:fill="auto"/>
            <w:noWrap/>
            <w:vAlign w:val="bottom"/>
            <w:hideMark/>
          </w:tcPr>
          <w:p w14:paraId="6A23324C"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7B970B1F" w14:textId="77777777" w:rsidTr="00B52C55">
        <w:trPr>
          <w:trHeight w:val="300"/>
        </w:trPr>
        <w:tc>
          <w:tcPr>
            <w:tcW w:w="1353" w:type="dxa"/>
            <w:tcBorders>
              <w:top w:val="nil"/>
              <w:left w:val="nil"/>
              <w:bottom w:val="single" w:sz="4" w:space="0" w:color="auto"/>
              <w:right w:val="nil"/>
            </w:tcBorders>
            <w:shd w:val="clear" w:color="auto" w:fill="auto"/>
            <w:noWrap/>
            <w:vAlign w:val="bottom"/>
            <w:hideMark/>
          </w:tcPr>
          <w:p w14:paraId="318E1301"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 </w:t>
            </w:r>
          </w:p>
        </w:tc>
        <w:tc>
          <w:tcPr>
            <w:tcW w:w="1276" w:type="dxa"/>
            <w:gridSpan w:val="2"/>
            <w:tcBorders>
              <w:top w:val="nil"/>
              <w:left w:val="nil"/>
              <w:bottom w:val="single" w:sz="4" w:space="0" w:color="auto"/>
              <w:right w:val="nil"/>
            </w:tcBorders>
            <w:shd w:val="clear" w:color="auto" w:fill="auto"/>
            <w:noWrap/>
            <w:vAlign w:val="bottom"/>
            <w:hideMark/>
          </w:tcPr>
          <w:p w14:paraId="327BCC74"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2007-1995</w:t>
            </w:r>
          </w:p>
        </w:tc>
        <w:tc>
          <w:tcPr>
            <w:tcW w:w="1276" w:type="dxa"/>
            <w:tcBorders>
              <w:top w:val="nil"/>
              <w:left w:val="nil"/>
              <w:bottom w:val="single" w:sz="4" w:space="0" w:color="auto"/>
              <w:right w:val="nil"/>
            </w:tcBorders>
            <w:shd w:val="clear" w:color="auto" w:fill="auto"/>
            <w:noWrap/>
            <w:vAlign w:val="bottom"/>
            <w:hideMark/>
          </w:tcPr>
          <w:p w14:paraId="525F55BB"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-11,266.5</w:t>
            </w:r>
          </w:p>
        </w:tc>
        <w:tc>
          <w:tcPr>
            <w:tcW w:w="1417" w:type="dxa"/>
            <w:gridSpan w:val="2"/>
            <w:tcBorders>
              <w:top w:val="nil"/>
              <w:left w:val="nil"/>
              <w:bottom w:val="single" w:sz="4" w:space="0" w:color="auto"/>
              <w:right w:val="nil"/>
            </w:tcBorders>
            <w:shd w:val="clear" w:color="auto" w:fill="auto"/>
            <w:noWrap/>
            <w:vAlign w:val="bottom"/>
            <w:hideMark/>
          </w:tcPr>
          <w:p w14:paraId="2E68CDBD"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-39,936.4</w:t>
            </w:r>
          </w:p>
        </w:tc>
        <w:tc>
          <w:tcPr>
            <w:tcW w:w="1261" w:type="dxa"/>
            <w:gridSpan w:val="2"/>
            <w:tcBorders>
              <w:top w:val="nil"/>
              <w:left w:val="nil"/>
              <w:bottom w:val="single" w:sz="4" w:space="0" w:color="auto"/>
              <w:right w:val="nil"/>
            </w:tcBorders>
            <w:shd w:val="clear" w:color="auto" w:fill="auto"/>
            <w:noWrap/>
            <w:vAlign w:val="bottom"/>
            <w:hideMark/>
          </w:tcPr>
          <w:p w14:paraId="05A9873B"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-4,763.6</w:t>
            </w:r>
          </w:p>
        </w:tc>
        <w:tc>
          <w:tcPr>
            <w:tcW w:w="1261" w:type="dxa"/>
            <w:tcBorders>
              <w:top w:val="nil"/>
              <w:left w:val="nil"/>
              <w:bottom w:val="single" w:sz="4" w:space="0" w:color="auto"/>
              <w:right w:val="nil"/>
            </w:tcBorders>
            <w:shd w:val="clear" w:color="auto" w:fill="auto"/>
            <w:noWrap/>
            <w:vAlign w:val="bottom"/>
            <w:hideMark/>
          </w:tcPr>
          <w:p w14:paraId="53B5A56B"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158,188.1</w:t>
            </w:r>
          </w:p>
        </w:tc>
        <w:tc>
          <w:tcPr>
            <w:tcW w:w="1432" w:type="dxa"/>
            <w:gridSpan w:val="3"/>
            <w:tcBorders>
              <w:top w:val="nil"/>
              <w:left w:val="nil"/>
              <w:bottom w:val="single" w:sz="4" w:space="0" w:color="auto"/>
              <w:right w:val="nil"/>
            </w:tcBorders>
            <w:shd w:val="clear" w:color="auto" w:fill="auto"/>
            <w:noWrap/>
            <w:vAlign w:val="bottom"/>
            <w:hideMark/>
          </w:tcPr>
          <w:p w14:paraId="7A97E28B"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102,221.6</w:t>
            </w:r>
          </w:p>
        </w:tc>
        <w:tc>
          <w:tcPr>
            <w:tcW w:w="2178" w:type="dxa"/>
            <w:gridSpan w:val="2"/>
            <w:tcBorders>
              <w:top w:val="nil"/>
              <w:left w:val="nil"/>
              <w:bottom w:val="nil"/>
              <w:right w:val="nil"/>
            </w:tcBorders>
            <w:shd w:val="clear" w:color="auto" w:fill="auto"/>
            <w:noWrap/>
            <w:vAlign w:val="bottom"/>
            <w:hideMark/>
          </w:tcPr>
          <w:p w14:paraId="2FDAE52F"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2947BC37" w14:textId="77777777" w:rsidTr="00B52C55">
        <w:trPr>
          <w:trHeight w:val="300"/>
        </w:trPr>
        <w:tc>
          <w:tcPr>
            <w:tcW w:w="1353" w:type="dxa"/>
            <w:tcBorders>
              <w:top w:val="nil"/>
              <w:left w:val="nil"/>
              <w:bottom w:val="nil"/>
              <w:right w:val="nil"/>
            </w:tcBorders>
            <w:shd w:val="clear" w:color="auto" w:fill="auto"/>
            <w:noWrap/>
            <w:vAlign w:val="bottom"/>
            <w:hideMark/>
          </w:tcPr>
          <w:p w14:paraId="6C92964D"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Austria</w:t>
            </w:r>
          </w:p>
        </w:tc>
        <w:tc>
          <w:tcPr>
            <w:tcW w:w="1276" w:type="dxa"/>
            <w:gridSpan w:val="2"/>
            <w:tcBorders>
              <w:top w:val="nil"/>
              <w:left w:val="nil"/>
              <w:bottom w:val="nil"/>
              <w:right w:val="nil"/>
            </w:tcBorders>
            <w:shd w:val="clear" w:color="auto" w:fill="auto"/>
            <w:noWrap/>
            <w:vAlign w:val="bottom"/>
            <w:hideMark/>
          </w:tcPr>
          <w:p w14:paraId="4E9CF37F"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1999-1995</w:t>
            </w:r>
          </w:p>
        </w:tc>
        <w:tc>
          <w:tcPr>
            <w:tcW w:w="1276" w:type="dxa"/>
            <w:tcBorders>
              <w:top w:val="nil"/>
              <w:left w:val="nil"/>
              <w:bottom w:val="nil"/>
              <w:right w:val="nil"/>
            </w:tcBorders>
            <w:shd w:val="clear" w:color="auto" w:fill="auto"/>
            <w:noWrap/>
            <w:vAlign w:val="bottom"/>
            <w:hideMark/>
          </w:tcPr>
          <w:p w14:paraId="76361BC9"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-2,421.9</w:t>
            </w:r>
          </w:p>
        </w:tc>
        <w:tc>
          <w:tcPr>
            <w:tcW w:w="1417" w:type="dxa"/>
            <w:gridSpan w:val="2"/>
            <w:tcBorders>
              <w:top w:val="nil"/>
              <w:left w:val="nil"/>
              <w:bottom w:val="nil"/>
              <w:right w:val="nil"/>
            </w:tcBorders>
            <w:shd w:val="clear" w:color="auto" w:fill="auto"/>
            <w:noWrap/>
            <w:vAlign w:val="bottom"/>
            <w:hideMark/>
          </w:tcPr>
          <w:p w14:paraId="14D4E742"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-4,049.8</w:t>
            </w:r>
          </w:p>
        </w:tc>
        <w:tc>
          <w:tcPr>
            <w:tcW w:w="1261" w:type="dxa"/>
            <w:gridSpan w:val="2"/>
            <w:tcBorders>
              <w:top w:val="nil"/>
              <w:left w:val="nil"/>
              <w:bottom w:val="nil"/>
              <w:right w:val="nil"/>
            </w:tcBorders>
            <w:shd w:val="clear" w:color="auto" w:fill="auto"/>
            <w:noWrap/>
            <w:vAlign w:val="bottom"/>
            <w:hideMark/>
          </w:tcPr>
          <w:p w14:paraId="46B87E8E"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-1,230.1</w:t>
            </w:r>
          </w:p>
        </w:tc>
        <w:tc>
          <w:tcPr>
            <w:tcW w:w="1261" w:type="dxa"/>
            <w:tcBorders>
              <w:top w:val="nil"/>
              <w:left w:val="nil"/>
              <w:bottom w:val="nil"/>
              <w:right w:val="nil"/>
            </w:tcBorders>
            <w:shd w:val="clear" w:color="auto" w:fill="auto"/>
            <w:noWrap/>
            <w:vAlign w:val="bottom"/>
            <w:hideMark/>
          </w:tcPr>
          <w:p w14:paraId="2EDBF48A"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8,637.2</w:t>
            </w:r>
          </w:p>
        </w:tc>
        <w:tc>
          <w:tcPr>
            <w:tcW w:w="1432" w:type="dxa"/>
            <w:gridSpan w:val="3"/>
            <w:tcBorders>
              <w:top w:val="nil"/>
              <w:left w:val="nil"/>
              <w:bottom w:val="nil"/>
              <w:right w:val="nil"/>
            </w:tcBorders>
            <w:shd w:val="clear" w:color="auto" w:fill="auto"/>
            <w:noWrap/>
            <w:vAlign w:val="bottom"/>
            <w:hideMark/>
          </w:tcPr>
          <w:p w14:paraId="47411BA3"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935.4</w:t>
            </w:r>
          </w:p>
        </w:tc>
        <w:tc>
          <w:tcPr>
            <w:tcW w:w="2178" w:type="dxa"/>
            <w:gridSpan w:val="2"/>
            <w:tcBorders>
              <w:top w:val="nil"/>
              <w:left w:val="nil"/>
              <w:bottom w:val="nil"/>
              <w:right w:val="nil"/>
            </w:tcBorders>
            <w:shd w:val="clear" w:color="auto" w:fill="auto"/>
            <w:noWrap/>
            <w:vAlign w:val="bottom"/>
            <w:hideMark/>
          </w:tcPr>
          <w:p w14:paraId="27CE1D53"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43DE5A40" w14:textId="77777777" w:rsidTr="00B52C55">
        <w:trPr>
          <w:trHeight w:val="300"/>
        </w:trPr>
        <w:tc>
          <w:tcPr>
            <w:tcW w:w="1353" w:type="dxa"/>
            <w:tcBorders>
              <w:top w:val="nil"/>
              <w:left w:val="nil"/>
              <w:bottom w:val="nil"/>
              <w:right w:val="nil"/>
            </w:tcBorders>
            <w:shd w:val="clear" w:color="auto" w:fill="auto"/>
            <w:noWrap/>
            <w:vAlign w:val="bottom"/>
            <w:hideMark/>
          </w:tcPr>
          <w:p w14:paraId="400C5343"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33E2FD8B"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2003-1999</w:t>
            </w:r>
          </w:p>
        </w:tc>
        <w:tc>
          <w:tcPr>
            <w:tcW w:w="1276" w:type="dxa"/>
            <w:tcBorders>
              <w:top w:val="nil"/>
              <w:left w:val="nil"/>
              <w:bottom w:val="nil"/>
              <w:right w:val="nil"/>
            </w:tcBorders>
            <w:shd w:val="clear" w:color="auto" w:fill="auto"/>
            <w:noWrap/>
            <w:vAlign w:val="bottom"/>
            <w:hideMark/>
          </w:tcPr>
          <w:p w14:paraId="26258CEC"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4,803.6</w:t>
            </w:r>
          </w:p>
        </w:tc>
        <w:tc>
          <w:tcPr>
            <w:tcW w:w="1417" w:type="dxa"/>
            <w:gridSpan w:val="2"/>
            <w:tcBorders>
              <w:top w:val="nil"/>
              <w:left w:val="nil"/>
              <w:bottom w:val="nil"/>
              <w:right w:val="nil"/>
            </w:tcBorders>
            <w:shd w:val="clear" w:color="auto" w:fill="auto"/>
            <w:noWrap/>
            <w:vAlign w:val="bottom"/>
            <w:hideMark/>
          </w:tcPr>
          <w:p w14:paraId="099C01E5"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-311.6</w:t>
            </w:r>
          </w:p>
        </w:tc>
        <w:tc>
          <w:tcPr>
            <w:tcW w:w="1261" w:type="dxa"/>
            <w:gridSpan w:val="2"/>
            <w:tcBorders>
              <w:top w:val="nil"/>
              <w:left w:val="nil"/>
              <w:bottom w:val="nil"/>
              <w:right w:val="nil"/>
            </w:tcBorders>
            <w:shd w:val="clear" w:color="auto" w:fill="auto"/>
            <w:noWrap/>
            <w:vAlign w:val="bottom"/>
            <w:hideMark/>
          </w:tcPr>
          <w:p w14:paraId="41015E98"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-3,928.5</w:t>
            </w:r>
          </w:p>
        </w:tc>
        <w:tc>
          <w:tcPr>
            <w:tcW w:w="1261" w:type="dxa"/>
            <w:tcBorders>
              <w:top w:val="nil"/>
              <w:left w:val="nil"/>
              <w:bottom w:val="nil"/>
              <w:right w:val="nil"/>
            </w:tcBorders>
            <w:shd w:val="clear" w:color="auto" w:fill="auto"/>
            <w:noWrap/>
            <w:vAlign w:val="bottom"/>
            <w:hideMark/>
          </w:tcPr>
          <w:p w14:paraId="6C96D418"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8,612.0</w:t>
            </w:r>
          </w:p>
        </w:tc>
        <w:tc>
          <w:tcPr>
            <w:tcW w:w="1432" w:type="dxa"/>
            <w:gridSpan w:val="3"/>
            <w:tcBorders>
              <w:top w:val="nil"/>
              <w:left w:val="nil"/>
              <w:bottom w:val="nil"/>
              <w:right w:val="nil"/>
            </w:tcBorders>
            <w:shd w:val="clear" w:color="auto" w:fill="auto"/>
            <w:noWrap/>
            <w:vAlign w:val="bottom"/>
            <w:hideMark/>
          </w:tcPr>
          <w:p w14:paraId="7153859E"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9,175.6</w:t>
            </w:r>
          </w:p>
        </w:tc>
        <w:tc>
          <w:tcPr>
            <w:tcW w:w="2178" w:type="dxa"/>
            <w:gridSpan w:val="2"/>
            <w:tcBorders>
              <w:top w:val="nil"/>
              <w:left w:val="nil"/>
              <w:bottom w:val="nil"/>
              <w:right w:val="nil"/>
            </w:tcBorders>
            <w:shd w:val="clear" w:color="auto" w:fill="auto"/>
            <w:noWrap/>
            <w:vAlign w:val="bottom"/>
            <w:hideMark/>
          </w:tcPr>
          <w:p w14:paraId="2C39E3A1"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522F8844" w14:textId="77777777" w:rsidTr="00B52C55">
        <w:trPr>
          <w:trHeight w:val="300"/>
        </w:trPr>
        <w:tc>
          <w:tcPr>
            <w:tcW w:w="1353" w:type="dxa"/>
            <w:tcBorders>
              <w:top w:val="nil"/>
              <w:left w:val="nil"/>
              <w:bottom w:val="nil"/>
              <w:right w:val="nil"/>
            </w:tcBorders>
            <w:shd w:val="clear" w:color="auto" w:fill="auto"/>
            <w:noWrap/>
            <w:vAlign w:val="bottom"/>
            <w:hideMark/>
          </w:tcPr>
          <w:p w14:paraId="44391D05"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5E1B2580"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2007-2003</w:t>
            </w:r>
          </w:p>
        </w:tc>
        <w:tc>
          <w:tcPr>
            <w:tcW w:w="1276" w:type="dxa"/>
            <w:tcBorders>
              <w:top w:val="nil"/>
              <w:left w:val="nil"/>
              <w:bottom w:val="nil"/>
              <w:right w:val="nil"/>
            </w:tcBorders>
            <w:shd w:val="clear" w:color="auto" w:fill="auto"/>
            <w:noWrap/>
            <w:vAlign w:val="bottom"/>
            <w:hideMark/>
          </w:tcPr>
          <w:p w14:paraId="527A93CA"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-5,470.9</w:t>
            </w:r>
          </w:p>
        </w:tc>
        <w:tc>
          <w:tcPr>
            <w:tcW w:w="1417" w:type="dxa"/>
            <w:gridSpan w:val="2"/>
            <w:tcBorders>
              <w:top w:val="nil"/>
              <w:left w:val="nil"/>
              <w:bottom w:val="nil"/>
              <w:right w:val="nil"/>
            </w:tcBorders>
            <w:shd w:val="clear" w:color="auto" w:fill="auto"/>
            <w:noWrap/>
            <w:vAlign w:val="bottom"/>
            <w:hideMark/>
          </w:tcPr>
          <w:p w14:paraId="438482A0"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-5,020.0</w:t>
            </w:r>
          </w:p>
        </w:tc>
        <w:tc>
          <w:tcPr>
            <w:tcW w:w="1261" w:type="dxa"/>
            <w:gridSpan w:val="2"/>
            <w:tcBorders>
              <w:top w:val="nil"/>
              <w:left w:val="nil"/>
              <w:bottom w:val="nil"/>
              <w:right w:val="nil"/>
            </w:tcBorders>
            <w:shd w:val="clear" w:color="auto" w:fill="auto"/>
            <w:noWrap/>
            <w:vAlign w:val="bottom"/>
            <w:hideMark/>
          </w:tcPr>
          <w:p w14:paraId="4D941096"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-3,945.7</w:t>
            </w:r>
          </w:p>
        </w:tc>
        <w:tc>
          <w:tcPr>
            <w:tcW w:w="1261" w:type="dxa"/>
            <w:tcBorders>
              <w:top w:val="nil"/>
              <w:left w:val="nil"/>
              <w:bottom w:val="nil"/>
              <w:right w:val="nil"/>
            </w:tcBorders>
            <w:shd w:val="clear" w:color="auto" w:fill="auto"/>
            <w:noWrap/>
            <w:vAlign w:val="bottom"/>
            <w:hideMark/>
          </w:tcPr>
          <w:p w14:paraId="444D29E0"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12,598.9</w:t>
            </w:r>
          </w:p>
        </w:tc>
        <w:tc>
          <w:tcPr>
            <w:tcW w:w="1432" w:type="dxa"/>
            <w:gridSpan w:val="3"/>
            <w:tcBorders>
              <w:top w:val="nil"/>
              <w:left w:val="nil"/>
              <w:bottom w:val="nil"/>
              <w:right w:val="nil"/>
            </w:tcBorders>
            <w:shd w:val="clear" w:color="auto" w:fill="auto"/>
            <w:noWrap/>
            <w:vAlign w:val="bottom"/>
            <w:hideMark/>
          </w:tcPr>
          <w:p w14:paraId="5F4C58FB"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-1,837.7</w:t>
            </w:r>
          </w:p>
        </w:tc>
        <w:tc>
          <w:tcPr>
            <w:tcW w:w="2178" w:type="dxa"/>
            <w:gridSpan w:val="2"/>
            <w:tcBorders>
              <w:top w:val="nil"/>
              <w:left w:val="nil"/>
              <w:bottom w:val="nil"/>
              <w:right w:val="nil"/>
            </w:tcBorders>
            <w:shd w:val="clear" w:color="auto" w:fill="auto"/>
            <w:noWrap/>
            <w:vAlign w:val="bottom"/>
            <w:hideMark/>
          </w:tcPr>
          <w:p w14:paraId="0EFE7086"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02A12739" w14:textId="77777777" w:rsidTr="00B52C55">
        <w:trPr>
          <w:trHeight w:val="300"/>
        </w:trPr>
        <w:tc>
          <w:tcPr>
            <w:tcW w:w="1353" w:type="dxa"/>
            <w:tcBorders>
              <w:top w:val="nil"/>
              <w:left w:val="nil"/>
              <w:bottom w:val="single" w:sz="4" w:space="0" w:color="auto"/>
              <w:right w:val="nil"/>
            </w:tcBorders>
            <w:shd w:val="clear" w:color="auto" w:fill="auto"/>
            <w:noWrap/>
            <w:vAlign w:val="bottom"/>
            <w:hideMark/>
          </w:tcPr>
          <w:p w14:paraId="048B6C67"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 </w:t>
            </w:r>
          </w:p>
        </w:tc>
        <w:tc>
          <w:tcPr>
            <w:tcW w:w="1276" w:type="dxa"/>
            <w:gridSpan w:val="2"/>
            <w:tcBorders>
              <w:top w:val="nil"/>
              <w:left w:val="nil"/>
              <w:bottom w:val="single" w:sz="4" w:space="0" w:color="auto"/>
              <w:right w:val="nil"/>
            </w:tcBorders>
            <w:shd w:val="clear" w:color="auto" w:fill="auto"/>
            <w:noWrap/>
            <w:vAlign w:val="bottom"/>
            <w:hideMark/>
          </w:tcPr>
          <w:p w14:paraId="73CA5AC5"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2007-1995</w:t>
            </w:r>
          </w:p>
        </w:tc>
        <w:tc>
          <w:tcPr>
            <w:tcW w:w="1276" w:type="dxa"/>
            <w:tcBorders>
              <w:top w:val="nil"/>
              <w:left w:val="nil"/>
              <w:bottom w:val="single" w:sz="4" w:space="0" w:color="auto"/>
              <w:right w:val="nil"/>
            </w:tcBorders>
            <w:shd w:val="clear" w:color="auto" w:fill="auto"/>
            <w:noWrap/>
            <w:vAlign w:val="bottom"/>
            <w:hideMark/>
          </w:tcPr>
          <w:p w14:paraId="35092FFA"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-2,971.4</w:t>
            </w:r>
          </w:p>
        </w:tc>
        <w:tc>
          <w:tcPr>
            <w:tcW w:w="1417" w:type="dxa"/>
            <w:gridSpan w:val="2"/>
            <w:tcBorders>
              <w:top w:val="nil"/>
              <w:left w:val="nil"/>
              <w:bottom w:val="single" w:sz="4" w:space="0" w:color="auto"/>
              <w:right w:val="nil"/>
            </w:tcBorders>
            <w:shd w:val="clear" w:color="auto" w:fill="auto"/>
            <w:noWrap/>
            <w:vAlign w:val="bottom"/>
            <w:hideMark/>
          </w:tcPr>
          <w:p w14:paraId="3C825FC3"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-9,414.4</w:t>
            </w:r>
          </w:p>
        </w:tc>
        <w:tc>
          <w:tcPr>
            <w:tcW w:w="1261" w:type="dxa"/>
            <w:gridSpan w:val="2"/>
            <w:tcBorders>
              <w:top w:val="nil"/>
              <w:left w:val="nil"/>
              <w:bottom w:val="single" w:sz="4" w:space="0" w:color="auto"/>
              <w:right w:val="nil"/>
            </w:tcBorders>
            <w:shd w:val="clear" w:color="auto" w:fill="auto"/>
            <w:noWrap/>
            <w:vAlign w:val="bottom"/>
            <w:hideMark/>
          </w:tcPr>
          <w:p w14:paraId="70A0A2CA"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-8,968.9</w:t>
            </w:r>
          </w:p>
        </w:tc>
        <w:tc>
          <w:tcPr>
            <w:tcW w:w="1261" w:type="dxa"/>
            <w:tcBorders>
              <w:top w:val="nil"/>
              <w:left w:val="nil"/>
              <w:bottom w:val="single" w:sz="4" w:space="0" w:color="auto"/>
              <w:right w:val="nil"/>
            </w:tcBorders>
            <w:shd w:val="clear" w:color="auto" w:fill="auto"/>
            <w:noWrap/>
            <w:vAlign w:val="bottom"/>
            <w:hideMark/>
          </w:tcPr>
          <w:p w14:paraId="5D920F40"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29,628.0</w:t>
            </w:r>
          </w:p>
        </w:tc>
        <w:tc>
          <w:tcPr>
            <w:tcW w:w="1432" w:type="dxa"/>
            <w:gridSpan w:val="3"/>
            <w:tcBorders>
              <w:top w:val="nil"/>
              <w:left w:val="nil"/>
              <w:bottom w:val="single" w:sz="4" w:space="0" w:color="auto"/>
              <w:right w:val="nil"/>
            </w:tcBorders>
            <w:shd w:val="clear" w:color="auto" w:fill="auto"/>
            <w:noWrap/>
            <w:vAlign w:val="bottom"/>
            <w:hideMark/>
          </w:tcPr>
          <w:p w14:paraId="475FEB6F"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8,273.3</w:t>
            </w:r>
          </w:p>
        </w:tc>
        <w:tc>
          <w:tcPr>
            <w:tcW w:w="2178" w:type="dxa"/>
            <w:gridSpan w:val="2"/>
            <w:tcBorders>
              <w:top w:val="nil"/>
              <w:left w:val="nil"/>
              <w:bottom w:val="nil"/>
              <w:right w:val="nil"/>
            </w:tcBorders>
            <w:shd w:val="clear" w:color="auto" w:fill="auto"/>
            <w:noWrap/>
            <w:vAlign w:val="bottom"/>
            <w:hideMark/>
          </w:tcPr>
          <w:p w14:paraId="45D7CB5A"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1BCA56AE" w14:textId="77777777" w:rsidTr="00B52C55">
        <w:trPr>
          <w:trHeight w:val="300"/>
        </w:trPr>
        <w:tc>
          <w:tcPr>
            <w:tcW w:w="1353" w:type="dxa"/>
            <w:tcBorders>
              <w:top w:val="nil"/>
              <w:left w:val="nil"/>
              <w:bottom w:val="nil"/>
              <w:right w:val="nil"/>
            </w:tcBorders>
            <w:shd w:val="clear" w:color="auto" w:fill="auto"/>
            <w:noWrap/>
            <w:vAlign w:val="bottom"/>
            <w:hideMark/>
          </w:tcPr>
          <w:p w14:paraId="7B6A5BEB"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Belgium</w:t>
            </w:r>
          </w:p>
        </w:tc>
        <w:tc>
          <w:tcPr>
            <w:tcW w:w="1276" w:type="dxa"/>
            <w:gridSpan w:val="2"/>
            <w:tcBorders>
              <w:top w:val="nil"/>
              <w:left w:val="nil"/>
              <w:bottom w:val="nil"/>
              <w:right w:val="nil"/>
            </w:tcBorders>
            <w:shd w:val="clear" w:color="auto" w:fill="auto"/>
            <w:noWrap/>
            <w:vAlign w:val="bottom"/>
            <w:hideMark/>
          </w:tcPr>
          <w:p w14:paraId="3A5538A4"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1999-1995</w:t>
            </w:r>
          </w:p>
        </w:tc>
        <w:tc>
          <w:tcPr>
            <w:tcW w:w="1276" w:type="dxa"/>
            <w:tcBorders>
              <w:top w:val="nil"/>
              <w:left w:val="nil"/>
              <w:bottom w:val="nil"/>
              <w:right w:val="nil"/>
            </w:tcBorders>
            <w:shd w:val="clear" w:color="auto" w:fill="auto"/>
            <w:noWrap/>
            <w:vAlign w:val="bottom"/>
            <w:hideMark/>
          </w:tcPr>
          <w:p w14:paraId="726AB621"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-12,774.4</w:t>
            </w:r>
          </w:p>
        </w:tc>
        <w:tc>
          <w:tcPr>
            <w:tcW w:w="1417" w:type="dxa"/>
            <w:gridSpan w:val="2"/>
            <w:tcBorders>
              <w:top w:val="nil"/>
              <w:left w:val="nil"/>
              <w:bottom w:val="nil"/>
              <w:right w:val="nil"/>
            </w:tcBorders>
            <w:shd w:val="clear" w:color="auto" w:fill="auto"/>
            <w:noWrap/>
            <w:vAlign w:val="bottom"/>
            <w:hideMark/>
          </w:tcPr>
          <w:p w14:paraId="02DA05EE"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-609.7</w:t>
            </w:r>
          </w:p>
        </w:tc>
        <w:tc>
          <w:tcPr>
            <w:tcW w:w="1261" w:type="dxa"/>
            <w:gridSpan w:val="2"/>
            <w:tcBorders>
              <w:top w:val="nil"/>
              <w:left w:val="nil"/>
              <w:bottom w:val="nil"/>
              <w:right w:val="nil"/>
            </w:tcBorders>
            <w:shd w:val="clear" w:color="auto" w:fill="auto"/>
            <w:noWrap/>
            <w:vAlign w:val="bottom"/>
            <w:hideMark/>
          </w:tcPr>
          <w:p w14:paraId="01222B58"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-4,531.9</w:t>
            </w:r>
          </w:p>
        </w:tc>
        <w:tc>
          <w:tcPr>
            <w:tcW w:w="1261" w:type="dxa"/>
            <w:tcBorders>
              <w:top w:val="nil"/>
              <w:left w:val="nil"/>
              <w:bottom w:val="nil"/>
              <w:right w:val="nil"/>
            </w:tcBorders>
            <w:shd w:val="clear" w:color="auto" w:fill="auto"/>
            <w:noWrap/>
            <w:vAlign w:val="bottom"/>
            <w:hideMark/>
          </w:tcPr>
          <w:p w14:paraId="16E58512"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18,405.6</w:t>
            </w:r>
          </w:p>
        </w:tc>
        <w:tc>
          <w:tcPr>
            <w:tcW w:w="1432" w:type="dxa"/>
            <w:gridSpan w:val="3"/>
            <w:tcBorders>
              <w:top w:val="nil"/>
              <w:left w:val="nil"/>
              <w:bottom w:val="nil"/>
              <w:right w:val="nil"/>
            </w:tcBorders>
            <w:shd w:val="clear" w:color="auto" w:fill="auto"/>
            <w:noWrap/>
            <w:vAlign w:val="bottom"/>
            <w:hideMark/>
          </w:tcPr>
          <w:p w14:paraId="7E2ED38E"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489.6</w:t>
            </w:r>
          </w:p>
        </w:tc>
        <w:tc>
          <w:tcPr>
            <w:tcW w:w="2178" w:type="dxa"/>
            <w:gridSpan w:val="2"/>
            <w:tcBorders>
              <w:top w:val="nil"/>
              <w:left w:val="nil"/>
              <w:bottom w:val="nil"/>
              <w:right w:val="nil"/>
            </w:tcBorders>
            <w:shd w:val="clear" w:color="auto" w:fill="auto"/>
            <w:noWrap/>
            <w:vAlign w:val="bottom"/>
            <w:hideMark/>
          </w:tcPr>
          <w:p w14:paraId="6576DB5C"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2717D671" w14:textId="77777777" w:rsidTr="00B52C55">
        <w:trPr>
          <w:trHeight w:val="300"/>
        </w:trPr>
        <w:tc>
          <w:tcPr>
            <w:tcW w:w="1353" w:type="dxa"/>
            <w:tcBorders>
              <w:top w:val="nil"/>
              <w:left w:val="nil"/>
              <w:bottom w:val="nil"/>
              <w:right w:val="nil"/>
            </w:tcBorders>
            <w:shd w:val="clear" w:color="auto" w:fill="auto"/>
            <w:noWrap/>
            <w:vAlign w:val="bottom"/>
            <w:hideMark/>
          </w:tcPr>
          <w:p w14:paraId="3C6C0729"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175B8158"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2003-1999</w:t>
            </w:r>
          </w:p>
        </w:tc>
        <w:tc>
          <w:tcPr>
            <w:tcW w:w="1276" w:type="dxa"/>
            <w:tcBorders>
              <w:top w:val="nil"/>
              <w:left w:val="nil"/>
              <w:bottom w:val="nil"/>
              <w:right w:val="nil"/>
            </w:tcBorders>
            <w:shd w:val="clear" w:color="auto" w:fill="auto"/>
            <w:noWrap/>
            <w:vAlign w:val="bottom"/>
            <w:hideMark/>
          </w:tcPr>
          <w:p w14:paraId="2C7DD174"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3,987.1</w:t>
            </w:r>
          </w:p>
        </w:tc>
        <w:tc>
          <w:tcPr>
            <w:tcW w:w="1417" w:type="dxa"/>
            <w:gridSpan w:val="2"/>
            <w:tcBorders>
              <w:top w:val="nil"/>
              <w:left w:val="nil"/>
              <w:bottom w:val="nil"/>
              <w:right w:val="nil"/>
            </w:tcBorders>
            <w:shd w:val="clear" w:color="auto" w:fill="auto"/>
            <w:noWrap/>
            <w:vAlign w:val="bottom"/>
            <w:hideMark/>
          </w:tcPr>
          <w:p w14:paraId="71D929BA"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-11,090.5</w:t>
            </w:r>
          </w:p>
        </w:tc>
        <w:tc>
          <w:tcPr>
            <w:tcW w:w="1261" w:type="dxa"/>
            <w:gridSpan w:val="2"/>
            <w:tcBorders>
              <w:top w:val="nil"/>
              <w:left w:val="nil"/>
              <w:bottom w:val="nil"/>
              <w:right w:val="nil"/>
            </w:tcBorders>
            <w:shd w:val="clear" w:color="auto" w:fill="auto"/>
            <w:noWrap/>
            <w:vAlign w:val="bottom"/>
            <w:hideMark/>
          </w:tcPr>
          <w:p w14:paraId="3322B590"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-8,390.3</w:t>
            </w:r>
          </w:p>
        </w:tc>
        <w:tc>
          <w:tcPr>
            <w:tcW w:w="1261" w:type="dxa"/>
            <w:tcBorders>
              <w:top w:val="nil"/>
              <w:left w:val="nil"/>
              <w:bottom w:val="nil"/>
              <w:right w:val="nil"/>
            </w:tcBorders>
            <w:shd w:val="clear" w:color="auto" w:fill="auto"/>
            <w:noWrap/>
            <w:vAlign w:val="bottom"/>
            <w:hideMark/>
          </w:tcPr>
          <w:p w14:paraId="559C2BDB"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17,152.5</w:t>
            </w:r>
          </w:p>
        </w:tc>
        <w:tc>
          <w:tcPr>
            <w:tcW w:w="1432" w:type="dxa"/>
            <w:gridSpan w:val="3"/>
            <w:tcBorders>
              <w:top w:val="nil"/>
              <w:left w:val="nil"/>
              <w:bottom w:val="nil"/>
              <w:right w:val="nil"/>
            </w:tcBorders>
            <w:shd w:val="clear" w:color="auto" w:fill="auto"/>
            <w:noWrap/>
            <w:vAlign w:val="bottom"/>
            <w:hideMark/>
          </w:tcPr>
          <w:p w14:paraId="634B4287"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1,658.7</w:t>
            </w:r>
          </w:p>
        </w:tc>
        <w:tc>
          <w:tcPr>
            <w:tcW w:w="2178" w:type="dxa"/>
            <w:gridSpan w:val="2"/>
            <w:tcBorders>
              <w:top w:val="nil"/>
              <w:left w:val="nil"/>
              <w:bottom w:val="nil"/>
              <w:right w:val="nil"/>
            </w:tcBorders>
            <w:shd w:val="clear" w:color="auto" w:fill="auto"/>
            <w:noWrap/>
            <w:vAlign w:val="bottom"/>
            <w:hideMark/>
          </w:tcPr>
          <w:p w14:paraId="59442A4E"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74D9E5DF" w14:textId="77777777" w:rsidTr="00B52C55">
        <w:trPr>
          <w:trHeight w:val="300"/>
        </w:trPr>
        <w:tc>
          <w:tcPr>
            <w:tcW w:w="1353" w:type="dxa"/>
            <w:tcBorders>
              <w:top w:val="nil"/>
              <w:left w:val="nil"/>
              <w:bottom w:val="nil"/>
              <w:right w:val="nil"/>
            </w:tcBorders>
            <w:shd w:val="clear" w:color="auto" w:fill="auto"/>
            <w:noWrap/>
            <w:vAlign w:val="bottom"/>
            <w:hideMark/>
          </w:tcPr>
          <w:p w14:paraId="588A7A4D"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5382C03A"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2007-2003</w:t>
            </w:r>
          </w:p>
        </w:tc>
        <w:tc>
          <w:tcPr>
            <w:tcW w:w="1276" w:type="dxa"/>
            <w:tcBorders>
              <w:top w:val="nil"/>
              <w:left w:val="nil"/>
              <w:bottom w:val="nil"/>
              <w:right w:val="nil"/>
            </w:tcBorders>
            <w:shd w:val="clear" w:color="auto" w:fill="auto"/>
            <w:noWrap/>
            <w:vAlign w:val="bottom"/>
            <w:hideMark/>
          </w:tcPr>
          <w:p w14:paraId="5A154C42"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-4,976.6</w:t>
            </w:r>
          </w:p>
        </w:tc>
        <w:tc>
          <w:tcPr>
            <w:tcW w:w="1417" w:type="dxa"/>
            <w:gridSpan w:val="2"/>
            <w:tcBorders>
              <w:top w:val="nil"/>
              <w:left w:val="nil"/>
              <w:bottom w:val="nil"/>
              <w:right w:val="nil"/>
            </w:tcBorders>
            <w:shd w:val="clear" w:color="auto" w:fill="auto"/>
            <w:noWrap/>
            <w:vAlign w:val="bottom"/>
            <w:hideMark/>
          </w:tcPr>
          <w:p w14:paraId="7E1B5BFC"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-18,432.4</w:t>
            </w:r>
          </w:p>
        </w:tc>
        <w:tc>
          <w:tcPr>
            <w:tcW w:w="1261" w:type="dxa"/>
            <w:gridSpan w:val="2"/>
            <w:tcBorders>
              <w:top w:val="nil"/>
              <w:left w:val="nil"/>
              <w:bottom w:val="nil"/>
              <w:right w:val="nil"/>
            </w:tcBorders>
            <w:shd w:val="clear" w:color="auto" w:fill="auto"/>
            <w:noWrap/>
            <w:vAlign w:val="bottom"/>
            <w:hideMark/>
          </w:tcPr>
          <w:p w14:paraId="7AA4D4D8"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-9,458.3</w:t>
            </w:r>
          </w:p>
        </w:tc>
        <w:tc>
          <w:tcPr>
            <w:tcW w:w="1261" w:type="dxa"/>
            <w:tcBorders>
              <w:top w:val="nil"/>
              <w:left w:val="nil"/>
              <w:bottom w:val="nil"/>
              <w:right w:val="nil"/>
            </w:tcBorders>
            <w:shd w:val="clear" w:color="auto" w:fill="auto"/>
            <w:noWrap/>
            <w:vAlign w:val="bottom"/>
            <w:hideMark/>
          </w:tcPr>
          <w:p w14:paraId="20865DE1"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23,021.3</w:t>
            </w:r>
          </w:p>
        </w:tc>
        <w:tc>
          <w:tcPr>
            <w:tcW w:w="1432" w:type="dxa"/>
            <w:gridSpan w:val="3"/>
            <w:tcBorders>
              <w:top w:val="nil"/>
              <w:left w:val="nil"/>
              <w:bottom w:val="nil"/>
              <w:right w:val="nil"/>
            </w:tcBorders>
            <w:shd w:val="clear" w:color="auto" w:fill="auto"/>
            <w:noWrap/>
            <w:vAlign w:val="bottom"/>
            <w:hideMark/>
          </w:tcPr>
          <w:p w14:paraId="5DCC3A82"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-9,845.9</w:t>
            </w:r>
          </w:p>
        </w:tc>
        <w:tc>
          <w:tcPr>
            <w:tcW w:w="2178" w:type="dxa"/>
            <w:gridSpan w:val="2"/>
            <w:tcBorders>
              <w:top w:val="nil"/>
              <w:left w:val="nil"/>
              <w:bottom w:val="nil"/>
              <w:right w:val="nil"/>
            </w:tcBorders>
            <w:shd w:val="clear" w:color="auto" w:fill="auto"/>
            <w:noWrap/>
            <w:vAlign w:val="bottom"/>
            <w:hideMark/>
          </w:tcPr>
          <w:p w14:paraId="7EED68C9"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06F945AD" w14:textId="77777777" w:rsidTr="00B52C55">
        <w:trPr>
          <w:trHeight w:val="300"/>
        </w:trPr>
        <w:tc>
          <w:tcPr>
            <w:tcW w:w="1353" w:type="dxa"/>
            <w:tcBorders>
              <w:top w:val="nil"/>
              <w:left w:val="nil"/>
              <w:bottom w:val="single" w:sz="4" w:space="0" w:color="auto"/>
              <w:right w:val="nil"/>
            </w:tcBorders>
            <w:shd w:val="clear" w:color="auto" w:fill="auto"/>
            <w:noWrap/>
            <w:vAlign w:val="bottom"/>
            <w:hideMark/>
          </w:tcPr>
          <w:p w14:paraId="665489C8"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 </w:t>
            </w:r>
          </w:p>
        </w:tc>
        <w:tc>
          <w:tcPr>
            <w:tcW w:w="1276" w:type="dxa"/>
            <w:gridSpan w:val="2"/>
            <w:tcBorders>
              <w:top w:val="nil"/>
              <w:left w:val="nil"/>
              <w:bottom w:val="single" w:sz="4" w:space="0" w:color="auto"/>
              <w:right w:val="nil"/>
            </w:tcBorders>
            <w:shd w:val="clear" w:color="auto" w:fill="auto"/>
            <w:noWrap/>
            <w:vAlign w:val="bottom"/>
            <w:hideMark/>
          </w:tcPr>
          <w:p w14:paraId="54369B8A"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2007-1995</w:t>
            </w:r>
          </w:p>
        </w:tc>
        <w:tc>
          <w:tcPr>
            <w:tcW w:w="1276" w:type="dxa"/>
            <w:tcBorders>
              <w:top w:val="nil"/>
              <w:left w:val="nil"/>
              <w:bottom w:val="single" w:sz="4" w:space="0" w:color="auto"/>
              <w:right w:val="nil"/>
            </w:tcBorders>
            <w:shd w:val="clear" w:color="auto" w:fill="auto"/>
            <w:noWrap/>
            <w:vAlign w:val="bottom"/>
            <w:hideMark/>
          </w:tcPr>
          <w:p w14:paraId="4DF9EDD3"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-13,756.5</w:t>
            </w:r>
          </w:p>
        </w:tc>
        <w:tc>
          <w:tcPr>
            <w:tcW w:w="1417" w:type="dxa"/>
            <w:gridSpan w:val="2"/>
            <w:tcBorders>
              <w:top w:val="nil"/>
              <w:left w:val="nil"/>
              <w:bottom w:val="single" w:sz="4" w:space="0" w:color="auto"/>
              <w:right w:val="nil"/>
            </w:tcBorders>
            <w:shd w:val="clear" w:color="auto" w:fill="auto"/>
            <w:noWrap/>
            <w:vAlign w:val="bottom"/>
            <w:hideMark/>
          </w:tcPr>
          <w:p w14:paraId="082598B0"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-30,115.0</w:t>
            </w:r>
          </w:p>
        </w:tc>
        <w:tc>
          <w:tcPr>
            <w:tcW w:w="1261" w:type="dxa"/>
            <w:gridSpan w:val="2"/>
            <w:tcBorders>
              <w:top w:val="nil"/>
              <w:left w:val="nil"/>
              <w:bottom w:val="single" w:sz="4" w:space="0" w:color="auto"/>
              <w:right w:val="nil"/>
            </w:tcBorders>
            <w:shd w:val="clear" w:color="auto" w:fill="auto"/>
            <w:noWrap/>
            <w:vAlign w:val="bottom"/>
            <w:hideMark/>
          </w:tcPr>
          <w:p w14:paraId="255F5408"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-22,275.9</w:t>
            </w:r>
          </w:p>
        </w:tc>
        <w:tc>
          <w:tcPr>
            <w:tcW w:w="1261" w:type="dxa"/>
            <w:tcBorders>
              <w:top w:val="nil"/>
              <w:left w:val="nil"/>
              <w:bottom w:val="single" w:sz="4" w:space="0" w:color="auto"/>
              <w:right w:val="nil"/>
            </w:tcBorders>
            <w:shd w:val="clear" w:color="auto" w:fill="auto"/>
            <w:noWrap/>
            <w:vAlign w:val="bottom"/>
            <w:hideMark/>
          </w:tcPr>
          <w:p w14:paraId="5527844E"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58,449.7</w:t>
            </w:r>
          </w:p>
        </w:tc>
        <w:tc>
          <w:tcPr>
            <w:tcW w:w="1432" w:type="dxa"/>
            <w:gridSpan w:val="3"/>
            <w:tcBorders>
              <w:top w:val="nil"/>
              <w:left w:val="nil"/>
              <w:bottom w:val="single" w:sz="4" w:space="0" w:color="auto"/>
              <w:right w:val="nil"/>
            </w:tcBorders>
            <w:shd w:val="clear" w:color="auto" w:fill="auto"/>
            <w:noWrap/>
            <w:vAlign w:val="bottom"/>
            <w:hideMark/>
          </w:tcPr>
          <w:p w14:paraId="680B9686"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-7,697.6</w:t>
            </w:r>
          </w:p>
        </w:tc>
        <w:tc>
          <w:tcPr>
            <w:tcW w:w="2178" w:type="dxa"/>
            <w:gridSpan w:val="2"/>
            <w:tcBorders>
              <w:top w:val="nil"/>
              <w:left w:val="nil"/>
              <w:bottom w:val="nil"/>
              <w:right w:val="nil"/>
            </w:tcBorders>
            <w:shd w:val="clear" w:color="auto" w:fill="auto"/>
            <w:noWrap/>
            <w:vAlign w:val="bottom"/>
            <w:hideMark/>
          </w:tcPr>
          <w:p w14:paraId="1F9A8BFE"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3A3212F8" w14:textId="77777777" w:rsidTr="00B52C55">
        <w:trPr>
          <w:trHeight w:val="300"/>
        </w:trPr>
        <w:tc>
          <w:tcPr>
            <w:tcW w:w="1353" w:type="dxa"/>
            <w:tcBorders>
              <w:top w:val="nil"/>
              <w:left w:val="nil"/>
              <w:bottom w:val="nil"/>
              <w:right w:val="nil"/>
            </w:tcBorders>
            <w:shd w:val="clear" w:color="auto" w:fill="auto"/>
            <w:noWrap/>
            <w:vAlign w:val="bottom"/>
            <w:hideMark/>
          </w:tcPr>
          <w:p w14:paraId="23F2AC61"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Canada</w:t>
            </w:r>
          </w:p>
        </w:tc>
        <w:tc>
          <w:tcPr>
            <w:tcW w:w="1276" w:type="dxa"/>
            <w:gridSpan w:val="2"/>
            <w:tcBorders>
              <w:top w:val="nil"/>
              <w:left w:val="nil"/>
              <w:bottom w:val="nil"/>
              <w:right w:val="nil"/>
            </w:tcBorders>
            <w:shd w:val="clear" w:color="auto" w:fill="auto"/>
            <w:noWrap/>
            <w:vAlign w:val="bottom"/>
            <w:hideMark/>
          </w:tcPr>
          <w:p w14:paraId="2FCBD75C"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1999-1995</w:t>
            </w:r>
          </w:p>
        </w:tc>
        <w:tc>
          <w:tcPr>
            <w:tcW w:w="1276" w:type="dxa"/>
            <w:tcBorders>
              <w:top w:val="nil"/>
              <w:left w:val="nil"/>
              <w:bottom w:val="nil"/>
              <w:right w:val="nil"/>
            </w:tcBorders>
            <w:shd w:val="clear" w:color="auto" w:fill="auto"/>
            <w:noWrap/>
            <w:vAlign w:val="bottom"/>
            <w:hideMark/>
          </w:tcPr>
          <w:p w14:paraId="3A11C142"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23,674.5</w:t>
            </w:r>
          </w:p>
        </w:tc>
        <w:tc>
          <w:tcPr>
            <w:tcW w:w="1417" w:type="dxa"/>
            <w:gridSpan w:val="2"/>
            <w:tcBorders>
              <w:top w:val="nil"/>
              <w:left w:val="nil"/>
              <w:bottom w:val="nil"/>
              <w:right w:val="nil"/>
            </w:tcBorders>
            <w:shd w:val="clear" w:color="auto" w:fill="auto"/>
            <w:noWrap/>
            <w:vAlign w:val="bottom"/>
            <w:hideMark/>
          </w:tcPr>
          <w:p w14:paraId="562FDCD6"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-48,952.8</w:t>
            </w:r>
          </w:p>
        </w:tc>
        <w:tc>
          <w:tcPr>
            <w:tcW w:w="1261" w:type="dxa"/>
            <w:gridSpan w:val="2"/>
            <w:tcBorders>
              <w:top w:val="nil"/>
              <w:left w:val="nil"/>
              <w:bottom w:val="nil"/>
              <w:right w:val="nil"/>
            </w:tcBorders>
            <w:shd w:val="clear" w:color="auto" w:fill="auto"/>
            <w:noWrap/>
            <w:vAlign w:val="bottom"/>
            <w:hideMark/>
          </w:tcPr>
          <w:p w14:paraId="0537F21C"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4,266.2</w:t>
            </w:r>
          </w:p>
        </w:tc>
        <w:tc>
          <w:tcPr>
            <w:tcW w:w="1261" w:type="dxa"/>
            <w:tcBorders>
              <w:top w:val="nil"/>
              <w:left w:val="nil"/>
              <w:bottom w:val="nil"/>
              <w:right w:val="nil"/>
            </w:tcBorders>
            <w:shd w:val="clear" w:color="auto" w:fill="auto"/>
            <w:noWrap/>
            <w:vAlign w:val="bottom"/>
            <w:hideMark/>
          </w:tcPr>
          <w:p w14:paraId="4E4FD305"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67,939.7</w:t>
            </w:r>
          </w:p>
        </w:tc>
        <w:tc>
          <w:tcPr>
            <w:tcW w:w="1432" w:type="dxa"/>
            <w:gridSpan w:val="3"/>
            <w:tcBorders>
              <w:top w:val="nil"/>
              <w:left w:val="nil"/>
              <w:bottom w:val="nil"/>
              <w:right w:val="nil"/>
            </w:tcBorders>
            <w:shd w:val="clear" w:color="auto" w:fill="auto"/>
            <w:noWrap/>
            <w:vAlign w:val="bottom"/>
            <w:hideMark/>
          </w:tcPr>
          <w:p w14:paraId="675F3F28"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46,927.6</w:t>
            </w:r>
          </w:p>
        </w:tc>
        <w:tc>
          <w:tcPr>
            <w:tcW w:w="2178" w:type="dxa"/>
            <w:gridSpan w:val="2"/>
            <w:tcBorders>
              <w:top w:val="nil"/>
              <w:left w:val="nil"/>
              <w:bottom w:val="nil"/>
              <w:right w:val="nil"/>
            </w:tcBorders>
            <w:shd w:val="clear" w:color="auto" w:fill="auto"/>
            <w:noWrap/>
            <w:vAlign w:val="bottom"/>
            <w:hideMark/>
          </w:tcPr>
          <w:p w14:paraId="4C06C14A"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076022E8" w14:textId="77777777" w:rsidTr="00B52C55">
        <w:trPr>
          <w:trHeight w:val="300"/>
        </w:trPr>
        <w:tc>
          <w:tcPr>
            <w:tcW w:w="1353" w:type="dxa"/>
            <w:tcBorders>
              <w:top w:val="nil"/>
              <w:left w:val="nil"/>
              <w:bottom w:val="nil"/>
              <w:right w:val="nil"/>
            </w:tcBorders>
            <w:shd w:val="clear" w:color="auto" w:fill="auto"/>
            <w:noWrap/>
            <w:vAlign w:val="bottom"/>
            <w:hideMark/>
          </w:tcPr>
          <w:p w14:paraId="2E0E7AD4"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7C8ADC79"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2003-1999</w:t>
            </w:r>
          </w:p>
        </w:tc>
        <w:tc>
          <w:tcPr>
            <w:tcW w:w="1276" w:type="dxa"/>
            <w:tcBorders>
              <w:top w:val="nil"/>
              <w:left w:val="nil"/>
              <w:bottom w:val="nil"/>
              <w:right w:val="nil"/>
            </w:tcBorders>
            <w:shd w:val="clear" w:color="auto" w:fill="auto"/>
            <w:noWrap/>
            <w:vAlign w:val="bottom"/>
            <w:hideMark/>
          </w:tcPr>
          <w:p w14:paraId="7638F667"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5,845.0</w:t>
            </w:r>
          </w:p>
        </w:tc>
        <w:tc>
          <w:tcPr>
            <w:tcW w:w="1417" w:type="dxa"/>
            <w:gridSpan w:val="2"/>
            <w:tcBorders>
              <w:top w:val="nil"/>
              <w:left w:val="nil"/>
              <w:bottom w:val="nil"/>
              <w:right w:val="nil"/>
            </w:tcBorders>
            <w:shd w:val="clear" w:color="auto" w:fill="auto"/>
            <w:noWrap/>
            <w:vAlign w:val="bottom"/>
            <w:hideMark/>
          </w:tcPr>
          <w:p w14:paraId="0251D5B7"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-27,060.2</w:t>
            </w:r>
          </w:p>
        </w:tc>
        <w:tc>
          <w:tcPr>
            <w:tcW w:w="1261" w:type="dxa"/>
            <w:gridSpan w:val="2"/>
            <w:tcBorders>
              <w:top w:val="nil"/>
              <w:left w:val="nil"/>
              <w:bottom w:val="nil"/>
              <w:right w:val="nil"/>
            </w:tcBorders>
            <w:shd w:val="clear" w:color="auto" w:fill="auto"/>
            <w:noWrap/>
            <w:vAlign w:val="bottom"/>
            <w:hideMark/>
          </w:tcPr>
          <w:p w14:paraId="1880908B"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-8,001.9</w:t>
            </w:r>
          </w:p>
        </w:tc>
        <w:tc>
          <w:tcPr>
            <w:tcW w:w="1261" w:type="dxa"/>
            <w:tcBorders>
              <w:top w:val="nil"/>
              <w:left w:val="nil"/>
              <w:bottom w:val="nil"/>
              <w:right w:val="nil"/>
            </w:tcBorders>
            <w:shd w:val="clear" w:color="auto" w:fill="auto"/>
            <w:noWrap/>
            <w:vAlign w:val="bottom"/>
            <w:hideMark/>
          </w:tcPr>
          <w:p w14:paraId="1735EDC8"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68,321.4</w:t>
            </w:r>
          </w:p>
        </w:tc>
        <w:tc>
          <w:tcPr>
            <w:tcW w:w="1432" w:type="dxa"/>
            <w:gridSpan w:val="3"/>
            <w:tcBorders>
              <w:top w:val="nil"/>
              <w:left w:val="nil"/>
              <w:bottom w:val="nil"/>
              <w:right w:val="nil"/>
            </w:tcBorders>
            <w:shd w:val="clear" w:color="auto" w:fill="auto"/>
            <w:noWrap/>
            <w:vAlign w:val="bottom"/>
            <w:hideMark/>
          </w:tcPr>
          <w:p w14:paraId="0AEFCE80"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39,104.3</w:t>
            </w:r>
          </w:p>
        </w:tc>
        <w:tc>
          <w:tcPr>
            <w:tcW w:w="2178" w:type="dxa"/>
            <w:gridSpan w:val="2"/>
            <w:tcBorders>
              <w:top w:val="nil"/>
              <w:left w:val="nil"/>
              <w:bottom w:val="nil"/>
              <w:right w:val="nil"/>
            </w:tcBorders>
            <w:shd w:val="clear" w:color="auto" w:fill="auto"/>
            <w:noWrap/>
            <w:vAlign w:val="bottom"/>
            <w:hideMark/>
          </w:tcPr>
          <w:p w14:paraId="2CD1CADC"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5945ABEC" w14:textId="77777777" w:rsidTr="00B52C55">
        <w:trPr>
          <w:trHeight w:val="300"/>
        </w:trPr>
        <w:tc>
          <w:tcPr>
            <w:tcW w:w="1353" w:type="dxa"/>
            <w:tcBorders>
              <w:top w:val="nil"/>
              <w:left w:val="nil"/>
              <w:bottom w:val="nil"/>
              <w:right w:val="nil"/>
            </w:tcBorders>
            <w:shd w:val="clear" w:color="auto" w:fill="auto"/>
            <w:noWrap/>
            <w:vAlign w:val="bottom"/>
            <w:hideMark/>
          </w:tcPr>
          <w:p w14:paraId="0E27CE9D"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282E1695"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2007-2003</w:t>
            </w:r>
          </w:p>
        </w:tc>
        <w:tc>
          <w:tcPr>
            <w:tcW w:w="1276" w:type="dxa"/>
            <w:tcBorders>
              <w:top w:val="nil"/>
              <w:left w:val="nil"/>
              <w:bottom w:val="nil"/>
              <w:right w:val="nil"/>
            </w:tcBorders>
            <w:shd w:val="clear" w:color="auto" w:fill="auto"/>
            <w:noWrap/>
            <w:vAlign w:val="bottom"/>
            <w:hideMark/>
          </w:tcPr>
          <w:p w14:paraId="0B2518CA"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-9,137.1</w:t>
            </w:r>
          </w:p>
        </w:tc>
        <w:tc>
          <w:tcPr>
            <w:tcW w:w="1417" w:type="dxa"/>
            <w:gridSpan w:val="2"/>
            <w:tcBorders>
              <w:top w:val="nil"/>
              <w:left w:val="nil"/>
              <w:bottom w:val="nil"/>
              <w:right w:val="nil"/>
            </w:tcBorders>
            <w:shd w:val="clear" w:color="auto" w:fill="auto"/>
            <w:noWrap/>
            <w:vAlign w:val="bottom"/>
            <w:hideMark/>
          </w:tcPr>
          <w:p w14:paraId="2934BBE0"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-34,246.8</w:t>
            </w:r>
          </w:p>
        </w:tc>
        <w:tc>
          <w:tcPr>
            <w:tcW w:w="1261" w:type="dxa"/>
            <w:gridSpan w:val="2"/>
            <w:tcBorders>
              <w:top w:val="nil"/>
              <w:left w:val="nil"/>
              <w:bottom w:val="nil"/>
              <w:right w:val="nil"/>
            </w:tcBorders>
            <w:shd w:val="clear" w:color="auto" w:fill="auto"/>
            <w:noWrap/>
            <w:vAlign w:val="bottom"/>
            <w:hideMark/>
          </w:tcPr>
          <w:p w14:paraId="67184695"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-39,016.5</w:t>
            </w:r>
          </w:p>
        </w:tc>
        <w:tc>
          <w:tcPr>
            <w:tcW w:w="1261" w:type="dxa"/>
            <w:tcBorders>
              <w:top w:val="nil"/>
              <w:left w:val="nil"/>
              <w:bottom w:val="nil"/>
              <w:right w:val="nil"/>
            </w:tcBorders>
            <w:shd w:val="clear" w:color="auto" w:fill="auto"/>
            <w:noWrap/>
            <w:vAlign w:val="bottom"/>
            <w:hideMark/>
          </w:tcPr>
          <w:p w14:paraId="2958A38A"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99,520.5</w:t>
            </w:r>
          </w:p>
        </w:tc>
        <w:tc>
          <w:tcPr>
            <w:tcW w:w="1432" w:type="dxa"/>
            <w:gridSpan w:val="3"/>
            <w:tcBorders>
              <w:top w:val="nil"/>
              <w:left w:val="nil"/>
              <w:bottom w:val="nil"/>
              <w:right w:val="nil"/>
            </w:tcBorders>
            <w:shd w:val="clear" w:color="auto" w:fill="auto"/>
            <w:noWrap/>
            <w:vAlign w:val="bottom"/>
            <w:hideMark/>
          </w:tcPr>
          <w:p w14:paraId="48869DB4"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17,120.0</w:t>
            </w:r>
          </w:p>
        </w:tc>
        <w:tc>
          <w:tcPr>
            <w:tcW w:w="2178" w:type="dxa"/>
            <w:gridSpan w:val="2"/>
            <w:tcBorders>
              <w:top w:val="nil"/>
              <w:left w:val="nil"/>
              <w:bottom w:val="nil"/>
              <w:right w:val="nil"/>
            </w:tcBorders>
            <w:shd w:val="clear" w:color="auto" w:fill="auto"/>
            <w:noWrap/>
            <w:vAlign w:val="bottom"/>
            <w:hideMark/>
          </w:tcPr>
          <w:p w14:paraId="6F5CE18C"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19B4857A" w14:textId="77777777" w:rsidTr="00B52C55">
        <w:trPr>
          <w:trHeight w:val="300"/>
        </w:trPr>
        <w:tc>
          <w:tcPr>
            <w:tcW w:w="1353" w:type="dxa"/>
            <w:tcBorders>
              <w:top w:val="nil"/>
              <w:left w:val="nil"/>
              <w:bottom w:val="single" w:sz="4" w:space="0" w:color="auto"/>
              <w:right w:val="nil"/>
            </w:tcBorders>
            <w:shd w:val="clear" w:color="auto" w:fill="auto"/>
            <w:noWrap/>
            <w:vAlign w:val="bottom"/>
            <w:hideMark/>
          </w:tcPr>
          <w:p w14:paraId="60E16482"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 </w:t>
            </w:r>
          </w:p>
        </w:tc>
        <w:tc>
          <w:tcPr>
            <w:tcW w:w="1276" w:type="dxa"/>
            <w:gridSpan w:val="2"/>
            <w:tcBorders>
              <w:top w:val="nil"/>
              <w:left w:val="nil"/>
              <w:bottom w:val="single" w:sz="4" w:space="0" w:color="auto"/>
              <w:right w:val="nil"/>
            </w:tcBorders>
            <w:shd w:val="clear" w:color="auto" w:fill="auto"/>
            <w:noWrap/>
            <w:vAlign w:val="bottom"/>
            <w:hideMark/>
          </w:tcPr>
          <w:p w14:paraId="41D9BF05"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2007-1995</w:t>
            </w:r>
          </w:p>
        </w:tc>
        <w:tc>
          <w:tcPr>
            <w:tcW w:w="1276" w:type="dxa"/>
            <w:tcBorders>
              <w:top w:val="nil"/>
              <w:left w:val="nil"/>
              <w:bottom w:val="single" w:sz="4" w:space="0" w:color="auto"/>
              <w:right w:val="nil"/>
            </w:tcBorders>
            <w:shd w:val="clear" w:color="auto" w:fill="auto"/>
            <w:noWrap/>
            <w:vAlign w:val="bottom"/>
            <w:hideMark/>
          </w:tcPr>
          <w:p w14:paraId="5981FCF4"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22,642.7</w:t>
            </w:r>
          </w:p>
        </w:tc>
        <w:tc>
          <w:tcPr>
            <w:tcW w:w="1417" w:type="dxa"/>
            <w:gridSpan w:val="2"/>
            <w:tcBorders>
              <w:top w:val="nil"/>
              <w:left w:val="nil"/>
              <w:bottom w:val="single" w:sz="4" w:space="0" w:color="auto"/>
              <w:right w:val="nil"/>
            </w:tcBorders>
            <w:shd w:val="clear" w:color="auto" w:fill="auto"/>
            <w:noWrap/>
            <w:vAlign w:val="bottom"/>
            <w:hideMark/>
          </w:tcPr>
          <w:p w14:paraId="6AD20A2F"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-111,706.7</w:t>
            </w:r>
          </w:p>
        </w:tc>
        <w:tc>
          <w:tcPr>
            <w:tcW w:w="1261" w:type="dxa"/>
            <w:gridSpan w:val="2"/>
            <w:tcBorders>
              <w:top w:val="nil"/>
              <w:left w:val="nil"/>
              <w:bottom w:val="single" w:sz="4" w:space="0" w:color="auto"/>
              <w:right w:val="nil"/>
            </w:tcBorders>
            <w:shd w:val="clear" w:color="auto" w:fill="auto"/>
            <w:noWrap/>
            <w:vAlign w:val="bottom"/>
            <w:hideMark/>
          </w:tcPr>
          <w:p w14:paraId="16DD9C58"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-39,897.0</w:t>
            </w:r>
          </w:p>
        </w:tc>
        <w:tc>
          <w:tcPr>
            <w:tcW w:w="1261" w:type="dxa"/>
            <w:tcBorders>
              <w:top w:val="nil"/>
              <w:left w:val="nil"/>
              <w:bottom w:val="single" w:sz="4" w:space="0" w:color="auto"/>
              <w:right w:val="nil"/>
            </w:tcBorders>
            <w:shd w:val="clear" w:color="auto" w:fill="auto"/>
            <w:noWrap/>
            <w:vAlign w:val="bottom"/>
            <w:hideMark/>
          </w:tcPr>
          <w:p w14:paraId="4EC3ABC4"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232,112.8</w:t>
            </w:r>
          </w:p>
        </w:tc>
        <w:tc>
          <w:tcPr>
            <w:tcW w:w="1432" w:type="dxa"/>
            <w:gridSpan w:val="3"/>
            <w:tcBorders>
              <w:top w:val="nil"/>
              <w:left w:val="nil"/>
              <w:bottom w:val="single" w:sz="4" w:space="0" w:color="auto"/>
              <w:right w:val="nil"/>
            </w:tcBorders>
            <w:shd w:val="clear" w:color="auto" w:fill="auto"/>
            <w:noWrap/>
            <w:vAlign w:val="bottom"/>
            <w:hideMark/>
          </w:tcPr>
          <w:p w14:paraId="43A16933"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103,151.8</w:t>
            </w:r>
          </w:p>
        </w:tc>
        <w:tc>
          <w:tcPr>
            <w:tcW w:w="2178" w:type="dxa"/>
            <w:gridSpan w:val="2"/>
            <w:tcBorders>
              <w:top w:val="nil"/>
              <w:left w:val="nil"/>
              <w:bottom w:val="nil"/>
              <w:right w:val="nil"/>
            </w:tcBorders>
            <w:shd w:val="clear" w:color="auto" w:fill="auto"/>
            <w:noWrap/>
            <w:vAlign w:val="bottom"/>
            <w:hideMark/>
          </w:tcPr>
          <w:p w14:paraId="224DB20E"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58F9FBCC" w14:textId="77777777" w:rsidTr="00B52C55">
        <w:trPr>
          <w:trHeight w:val="300"/>
        </w:trPr>
        <w:tc>
          <w:tcPr>
            <w:tcW w:w="1353" w:type="dxa"/>
            <w:tcBorders>
              <w:top w:val="nil"/>
              <w:left w:val="nil"/>
              <w:bottom w:val="nil"/>
              <w:right w:val="nil"/>
            </w:tcBorders>
            <w:shd w:val="clear" w:color="auto" w:fill="auto"/>
            <w:noWrap/>
            <w:vAlign w:val="bottom"/>
            <w:hideMark/>
          </w:tcPr>
          <w:p w14:paraId="3D714A40" w14:textId="77777777" w:rsidR="00560991" w:rsidRPr="00560991" w:rsidRDefault="00DD2AD7" w:rsidP="00560991">
            <w:pPr>
              <w:spacing w:after="0" w:line="240" w:lineRule="auto"/>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China</w:t>
            </w:r>
          </w:p>
        </w:tc>
        <w:tc>
          <w:tcPr>
            <w:tcW w:w="1276" w:type="dxa"/>
            <w:gridSpan w:val="2"/>
            <w:tcBorders>
              <w:top w:val="nil"/>
              <w:left w:val="nil"/>
              <w:bottom w:val="nil"/>
              <w:right w:val="nil"/>
            </w:tcBorders>
            <w:shd w:val="clear" w:color="auto" w:fill="auto"/>
            <w:noWrap/>
            <w:vAlign w:val="bottom"/>
            <w:hideMark/>
          </w:tcPr>
          <w:p w14:paraId="3E3A442E"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1999-1995</w:t>
            </w:r>
          </w:p>
        </w:tc>
        <w:tc>
          <w:tcPr>
            <w:tcW w:w="1276" w:type="dxa"/>
            <w:tcBorders>
              <w:top w:val="nil"/>
              <w:left w:val="nil"/>
              <w:bottom w:val="nil"/>
              <w:right w:val="nil"/>
            </w:tcBorders>
            <w:shd w:val="clear" w:color="auto" w:fill="auto"/>
            <w:noWrap/>
            <w:vAlign w:val="bottom"/>
            <w:hideMark/>
          </w:tcPr>
          <w:p w14:paraId="5C5664C3"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-114,991.4</w:t>
            </w:r>
          </w:p>
        </w:tc>
        <w:tc>
          <w:tcPr>
            <w:tcW w:w="1417" w:type="dxa"/>
            <w:gridSpan w:val="2"/>
            <w:tcBorders>
              <w:top w:val="nil"/>
              <w:left w:val="nil"/>
              <w:bottom w:val="nil"/>
              <w:right w:val="nil"/>
            </w:tcBorders>
            <w:shd w:val="clear" w:color="auto" w:fill="auto"/>
            <w:noWrap/>
            <w:vAlign w:val="bottom"/>
            <w:hideMark/>
          </w:tcPr>
          <w:p w14:paraId="796474B0"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-900,918.7</w:t>
            </w:r>
          </w:p>
        </w:tc>
        <w:tc>
          <w:tcPr>
            <w:tcW w:w="1261" w:type="dxa"/>
            <w:gridSpan w:val="2"/>
            <w:tcBorders>
              <w:top w:val="nil"/>
              <w:left w:val="nil"/>
              <w:bottom w:val="nil"/>
              <w:right w:val="nil"/>
            </w:tcBorders>
            <w:shd w:val="clear" w:color="auto" w:fill="auto"/>
            <w:noWrap/>
            <w:vAlign w:val="bottom"/>
            <w:hideMark/>
          </w:tcPr>
          <w:p w14:paraId="1DDD7AB4"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606,518.4</w:t>
            </w:r>
          </w:p>
        </w:tc>
        <w:tc>
          <w:tcPr>
            <w:tcW w:w="1261" w:type="dxa"/>
            <w:tcBorders>
              <w:top w:val="nil"/>
              <w:left w:val="nil"/>
              <w:bottom w:val="nil"/>
              <w:right w:val="nil"/>
            </w:tcBorders>
            <w:shd w:val="clear" w:color="auto" w:fill="auto"/>
            <w:noWrap/>
            <w:vAlign w:val="bottom"/>
            <w:hideMark/>
          </w:tcPr>
          <w:p w14:paraId="54B8FB1E"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433,792.1</w:t>
            </w:r>
          </w:p>
        </w:tc>
        <w:tc>
          <w:tcPr>
            <w:tcW w:w="1432" w:type="dxa"/>
            <w:gridSpan w:val="3"/>
            <w:tcBorders>
              <w:top w:val="nil"/>
              <w:left w:val="nil"/>
              <w:bottom w:val="nil"/>
              <w:right w:val="nil"/>
            </w:tcBorders>
            <w:shd w:val="clear" w:color="auto" w:fill="auto"/>
            <w:noWrap/>
            <w:vAlign w:val="bottom"/>
            <w:hideMark/>
          </w:tcPr>
          <w:p w14:paraId="5786A2C9"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24,400.4</w:t>
            </w:r>
          </w:p>
        </w:tc>
        <w:tc>
          <w:tcPr>
            <w:tcW w:w="2178" w:type="dxa"/>
            <w:gridSpan w:val="2"/>
            <w:tcBorders>
              <w:top w:val="nil"/>
              <w:left w:val="nil"/>
              <w:bottom w:val="nil"/>
              <w:right w:val="nil"/>
            </w:tcBorders>
            <w:shd w:val="clear" w:color="auto" w:fill="auto"/>
            <w:noWrap/>
            <w:vAlign w:val="bottom"/>
            <w:hideMark/>
          </w:tcPr>
          <w:p w14:paraId="631FE0A5"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5D627412" w14:textId="77777777" w:rsidTr="00B52C55">
        <w:trPr>
          <w:trHeight w:val="300"/>
        </w:trPr>
        <w:tc>
          <w:tcPr>
            <w:tcW w:w="1353" w:type="dxa"/>
            <w:tcBorders>
              <w:top w:val="nil"/>
              <w:left w:val="nil"/>
              <w:bottom w:val="nil"/>
              <w:right w:val="nil"/>
            </w:tcBorders>
            <w:shd w:val="clear" w:color="auto" w:fill="auto"/>
            <w:noWrap/>
            <w:vAlign w:val="bottom"/>
            <w:hideMark/>
          </w:tcPr>
          <w:p w14:paraId="093DA37E"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1CB5DF35"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2003-1999</w:t>
            </w:r>
          </w:p>
        </w:tc>
        <w:tc>
          <w:tcPr>
            <w:tcW w:w="1276" w:type="dxa"/>
            <w:tcBorders>
              <w:top w:val="nil"/>
              <w:left w:val="nil"/>
              <w:bottom w:val="nil"/>
              <w:right w:val="nil"/>
            </w:tcBorders>
            <w:shd w:val="clear" w:color="auto" w:fill="auto"/>
            <w:noWrap/>
            <w:vAlign w:val="bottom"/>
            <w:hideMark/>
          </w:tcPr>
          <w:p w14:paraId="0840C435"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15,968.8</w:t>
            </w:r>
          </w:p>
        </w:tc>
        <w:tc>
          <w:tcPr>
            <w:tcW w:w="1417" w:type="dxa"/>
            <w:gridSpan w:val="2"/>
            <w:tcBorders>
              <w:top w:val="nil"/>
              <w:left w:val="nil"/>
              <w:bottom w:val="nil"/>
              <w:right w:val="nil"/>
            </w:tcBorders>
            <w:shd w:val="clear" w:color="auto" w:fill="auto"/>
            <w:noWrap/>
            <w:vAlign w:val="bottom"/>
            <w:hideMark/>
          </w:tcPr>
          <w:p w14:paraId="37B3D176"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-419,113.2</w:t>
            </w:r>
          </w:p>
        </w:tc>
        <w:tc>
          <w:tcPr>
            <w:tcW w:w="1261" w:type="dxa"/>
            <w:gridSpan w:val="2"/>
            <w:tcBorders>
              <w:top w:val="nil"/>
              <w:left w:val="nil"/>
              <w:bottom w:val="nil"/>
              <w:right w:val="nil"/>
            </w:tcBorders>
            <w:shd w:val="clear" w:color="auto" w:fill="auto"/>
            <w:noWrap/>
            <w:vAlign w:val="bottom"/>
            <w:hideMark/>
          </w:tcPr>
          <w:p w14:paraId="08777C27"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749,188.3</w:t>
            </w:r>
          </w:p>
        </w:tc>
        <w:tc>
          <w:tcPr>
            <w:tcW w:w="1261" w:type="dxa"/>
            <w:tcBorders>
              <w:top w:val="nil"/>
              <w:left w:val="nil"/>
              <w:bottom w:val="nil"/>
              <w:right w:val="nil"/>
            </w:tcBorders>
            <w:shd w:val="clear" w:color="auto" w:fill="auto"/>
            <w:noWrap/>
            <w:vAlign w:val="bottom"/>
            <w:hideMark/>
          </w:tcPr>
          <w:p w14:paraId="6AE2A74D"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448,878.9</w:t>
            </w:r>
          </w:p>
        </w:tc>
        <w:tc>
          <w:tcPr>
            <w:tcW w:w="1432" w:type="dxa"/>
            <w:gridSpan w:val="3"/>
            <w:tcBorders>
              <w:top w:val="nil"/>
              <w:left w:val="nil"/>
              <w:bottom w:val="nil"/>
              <w:right w:val="nil"/>
            </w:tcBorders>
            <w:shd w:val="clear" w:color="auto" w:fill="auto"/>
            <w:noWrap/>
            <w:vAlign w:val="bottom"/>
            <w:hideMark/>
          </w:tcPr>
          <w:p w14:paraId="14392B96"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794,922.7</w:t>
            </w:r>
          </w:p>
        </w:tc>
        <w:tc>
          <w:tcPr>
            <w:tcW w:w="2178" w:type="dxa"/>
            <w:gridSpan w:val="2"/>
            <w:tcBorders>
              <w:top w:val="nil"/>
              <w:left w:val="nil"/>
              <w:bottom w:val="nil"/>
              <w:right w:val="nil"/>
            </w:tcBorders>
            <w:shd w:val="clear" w:color="auto" w:fill="auto"/>
            <w:noWrap/>
            <w:vAlign w:val="bottom"/>
            <w:hideMark/>
          </w:tcPr>
          <w:p w14:paraId="7049E1A5"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445A59A1" w14:textId="77777777" w:rsidTr="00B52C55">
        <w:trPr>
          <w:trHeight w:val="300"/>
        </w:trPr>
        <w:tc>
          <w:tcPr>
            <w:tcW w:w="1353" w:type="dxa"/>
            <w:tcBorders>
              <w:top w:val="nil"/>
              <w:left w:val="nil"/>
              <w:bottom w:val="nil"/>
              <w:right w:val="nil"/>
            </w:tcBorders>
            <w:shd w:val="clear" w:color="auto" w:fill="auto"/>
            <w:noWrap/>
            <w:vAlign w:val="bottom"/>
            <w:hideMark/>
          </w:tcPr>
          <w:p w14:paraId="250BBD91"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4E743426"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2007-2003</w:t>
            </w:r>
          </w:p>
        </w:tc>
        <w:tc>
          <w:tcPr>
            <w:tcW w:w="1276" w:type="dxa"/>
            <w:tcBorders>
              <w:top w:val="nil"/>
              <w:left w:val="nil"/>
              <w:bottom w:val="nil"/>
              <w:right w:val="nil"/>
            </w:tcBorders>
            <w:shd w:val="clear" w:color="auto" w:fill="auto"/>
            <w:noWrap/>
            <w:vAlign w:val="bottom"/>
            <w:hideMark/>
          </w:tcPr>
          <w:p w14:paraId="5B0172CA"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196,901.2</w:t>
            </w:r>
          </w:p>
        </w:tc>
        <w:tc>
          <w:tcPr>
            <w:tcW w:w="1417" w:type="dxa"/>
            <w:gridSpan w:val="2"/>
            <w:tcBorders>
              <w:top w:val="nil"/>
              <w:left w:val="nil"/>
              <w:bottom w:val="nil"/>
              <w:right w:val="nil"/>
            </w:tcBorders>
            <w:shd w:val="clear" w:color="auto" w:fill="auto"/>
            <w:noWrap/>
            <w:vAlign w:val="bottom"/>
            <w:hideMark/>
          </w:tcPr>
          <w:p w14:paraId="619D992E"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-339,599.6</w:t>
            </w:r>
          </w:p>
        </w:tc>
        <w:tc>
          <w:tcPr>
            <w:tcW w:w="1261" w:type="dxa"/>
            <w:gridSpan w:val="2"/>
            <w:tcBorders>
              <w:top w:val="nil"/>
              <w:left w:val="nil"/>
              <w:bottom w:val="nil"/>
              <w:right w:val="nil"/>
            </w:tcBorders>
            <w:shd w:val="clear" w:color="auto" w:fill="auto"/>
            <w:noWrap/>
            <w:vAlign w:val="bottom"/>
            <w:hideMark/>
          </w:tcPr>
          <w:p w14:paraId="760A65D4"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1,348,176.5</w:t>
            </w:r>
          </w:p>
        </w:tc>
        <w:tc>
          <w:tcPr>
            <w:tcW w:w="1261" w:type="dxa"/>
            <w:tcBorders>
              <w:top w:val="nil"/>
              <w:left w:val="nil"/>
              <w:bottom w:val="nil"/>
              <w:right w:val="nil"/>
            </w:tcBorders>
            <w:shd w:val="clear" w:color="auto" w:fill="auto"/>
            <w:noWrap/>
            <w:vAlign w:val="bottom"/>
            <w:hideMark/>
          </w:tcPr>
          <w:p w14:paraId="07F17A58"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863,401.4</w:t>
            </w:r>
          </w:p>
        </w:tc>
        <w:tc>
          <w:tcPr>
            <w:tcW w:w="1432" w:type="dxa"/>
            <w:gridSpan w:val="3"/>
            <w:tcBorders>
              <w:top w:val="nil"/>
              <w:left w:val="nil"/>
              <w:bottom w:val="nil"/>
              <w:right w:val="nil"/>
            </w:tcBorders>
            <w:shd w:val="clear" w:color="auto" w:fill="auto"/>
            <w:noWrap/>
            <w:vAlign w:val="bottom"/>
            <w:hideMark/>
          </w:tcPr>
          <w:p w14:paraId="55EF2D0D"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2,068,879.6</w:t>
            </w:r>
          </w:p>
        </w:tc>
        <w:tc>
          <w:tcPr>
            <w:tcW w:w="2178" w:type="dxa"/>
            <w:gridSpan w:val="2"/>
            <w:tcBorders>
              <w:top w:val="nil"/>
              <w:left w:val="nil"/>
              <w:bottom w:val="nil"/>
              <w:right w:val="nil"/>
            </w:tcBorders>
            <w:shd w:val="clear" w:color="auto" w:fill="auto"/>
            <w:noWrap/>
            <w:vAlign w:val="bottom"/>
            <w:hideMark/>
          </w:tcPr>
          <w:p w14:paraId="53A03692"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2D024F4B" w14:textId="77777777" w:rsidTr="00B52C55">
        <w:trPr>
          <w:trHeight w:val="300"/>
        </w:trPr>
        <w:tc>
          <w:tcPr>
            <w:tcW w:w="1353" w:type="dxa"/>
            <w:tcBorders>
              <w:top w:val="nil"/>
              <w:left w:val="nil"/>
              <w:bottom w:val="single" w:sz="4" w:space="0" w:color="auto"/>
              <w:right w:val="nil"/>
            </w:tcBorders>
            <w:shd w:val="clear" w:color="auto" w:fill="auto"/>
            <w:noWrap/>
            <w:vAlign w:val="bottom"/>
            <w:hideMark/>
          </w:tcPr>
          <w:p w14:paraId="592D401E"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 </w:t>
            </w:r>
          </w:p>
        </w:tc>
        <w:tc>
          <w:tcPr>
            <w:tcW w:w="1276" w:type="dxa"/>
            <w:gridSpan w:val="2"/>
            <w:tcBorders>
              <w:top w:val="nil"/>
              <w:left w:val="nil"/>
              <w:bottom w:val="single" w:sz="4" w:space="0" w:color="auto"/>
              <w:right w:val="nil"/>
            </w:tcBorders>
            <w:shd w:val="clear" w:color="auto" w:fill="auto"/>
            <w:noWrap/>
            <w:vAlign w:val="bottom"/>
            <w:hideMark/>
          </w:tcPr>
          <w:p w14:paraId="38019571"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2007-1995</w:t>
            </w:r>
          </w:p>
        </w:tc>
        <w:tc>
          <w:tcPr>
            <w:tcW w:w="1276" w:type="dxa"/>
            <w:tcBorders>
              <w:top w:val="nil"/>
              <w:left w:val="nil"/>
              <w:bottom w:val="single" w:sz="4" w:space="0" w:color="auto"/>
              <w:right w:val="nil"/>
            </w:tcBorders>
            <w:shd w:val="clear" w:color="auto" w:fill="auto"/>
            <w:noWrap/>
            <w:vAlign w:val="bottom"/>
            <w:hideMark/>
          </w:tcPr>
          <w:p w14:paraId="2FCEE206"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37,398.7</w:t>
            </w:r>
          </w:p>
        </w:tc>
        <w:tc>
          <w:tcPr>
            <w:tcW w:w="1417" w:type="dxa"/>
            <w:gridSpan w:val="2"/>
            <w:tcBorders>
              <w:top w:val="nil"/>
              <w:left w:val="nil"/>
              <w:bottom w:val="single" w:sz="4" w:space="0" w:color="auto"/>
              <w:right w:val="nil"/>
            </w:tcBorders>
            <w:shd w:val="clear" w:color="auto" w:fill="auto"/>
            <w:noWrap/>
            <w:vAlign w:val="bottom"/>
            <w:hideMark/>
          </w:tcPr>
          <w:p w14:paraId="2EC1CF15"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-2,293,673.5</w:t>
            </w:r>
          </w:p>
        </w:tc>
        <w:tc>
          <w:tcPr>
            <w:tcW w:w="1261" w:type="dxa"/>
            <w:gridSpan w:val="2"/>
            <w:tcBorders>
              <w:top w:val="nil"/>
              <w:left w:val="nil"/>
              <w:bottom w:val="single" w:sz="4" w:space="0" w:color="auto"/>
              <w:right w:val="nil"/>
            </w:tcBorders>
            <w:shd w:val="clear" w:color="auto" w:fill="auto"/>
            <w:noWrap/>
            <w:vAlign w:val="bottom"/>
            <w:hideMark/>
          </w:tcPr>
          <w:p w14:paraId="5C32165E"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3,106,477.6</w:t>
            </w:r>
          </w:p>
        </w:tc>
        <w:tc>
          <w:tcPr>
            <w:tcW w:w="1261" w:type="dxa"/>
            <w:tcBorders>
              <w:top w:val="nil"/>
              <w:left w:val="nil"/>
              <w:bottom w:val="single" w:sz="4" w:space="0" w:color="auto"/>
              <w:right w:val="nil"/>
            </w:tcBorders>
            <w:shd w:val="clear" w:color="auto" w:fill="auto"/>
            <w:noWrap/>
            <w:vAlign w:val="bottom"/>
            <w:hideMark/>
          </w:tcPr>
          <w:p w14:paraId="089107C4"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2,038,000.0</w:t>
            </w:r>
          </w:p>
        </w:tc>
        <w:tc>
          <w:tcPr>
            <w:tcW w:w="1432" w:type="dxa"/>
            <w:gridSpan w:val="3"/>
            <w:tcBorders>
              <w:top w:val="nil"/>
              <w:left w:val="nil"/>
              <w:bottom w:val="single" w:sz="4" w:space="0" w:color="auto"/>
              <w:right w:val="nil"/>
            </w:tcBorders>
            <w:shd w:val="clear" w:color="auto" w:fill="auto"/>
            <w:noWrap/>
            <w:vAlign w:val="bottom"/>
            <w:hideMark/>
          </w:tcPr>
          <w:p w14:paraId="3EE3A818"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2,888,202.8</w:t>
            </w:r>
          </w:p>
        </w:tc>
        <w:tc>
          <w:tcPr>
            <w:tcW w:w="2178" w:type="dxa"/>
            <w:gridSpan w:val="2"/>
            <w:tcBorders>
              <w:top w:val="nil"/>
              <w:left w:val="nil"/>
              <w:bottom w:val="nil"/>
              <w:right w:val="nil"/>
            </w:tcBorders>
            <w:shd w:val="clear" w:color="auto" w:fill="auto"/>
            <w:noWrap/>
            <w:vAlign w:val="bottom"/>
            <w:hideMark/>
          </w:tcPr>
          <w:p w14:paraId="3EB47BE8"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1765D4E2" w14:textId="77777777" w:rsidTr="00B52C55">
        <w:trPr>
          <w:trHeight w:val="300"/>
        </w:trPr>
        <w:tc>
          <w:tcPr>
            <w:tcW w:w="1353" w:type="dxa"/>
            <w:tcBorders>
              <w:top w:val="nil"/>
              <w:left w:val="nil"/>
              <w:bottom w:val="nil"/>
              <w:right w:val="nil"/>
            </w:tcBorders>
            <w:shd w:val="clear" w:color="auto" w:fill="auto"/>
            <w:noWrap/>
            <w:vAlign w:val="bottom"/>
            <w:hideMark/>
          </w:tcPr>
          <w:p w14:paraId="4CA8CC2F" w14:textId="77777777" w:rsidR="00560991" w:rsidRPr="00560991" w:rsidRDefault="00DD2AD7" w:rsidP="00560991">
            <w:pPr>
              <w:spacing w:after="0" w:line="240" w:lineRule="auto"/>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Czech</w:t>
            </w:r>
            <w:r w:rsidR="00560991" w:rsidRPr="00560991">
              <w:rPr>
                <w:rFonts w:ascii="Times New Roman" w:eastAsia="Times New Roman" w:hAnsi="Times New Roman" w:cs="Times New Roman"/>
                <w:color w:val="000000"/>
                <w:lang w:eastAsia="en-GB"/>
              </w:rPr>
              <w:t xml:space="preserve"> </w:t>
            </w:r>
          </w:p>
        </w:tc>
        <w:tc>
          <w:tcPr>
            <w:tcW w:w="1276" w:type="dxa"/>
            <w:gridSpan w:val="2"/>
            <w:tcBorders>
              <w:top w:val="nil"/>
              <w:left w:val="nil"/>
              <w:bottom w:val="nil"/>
              <w:right w:val="nil"/>
            </w:tcBorders>
            <w:shd w:val="clear" w:color="auto" w:fill="auto"/>
            <w:noWrap/>
            <w:vAlign w:val="bottom"/>
            <w:hideMark/>
          </w:tcPr>
          <w:p w14:paraId="02ADFC0C"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1999-1995</w:t>
            </w:r>
          </w:p>
        </w:tc>
        <w:tc>
          <w:tcPr>
            <w:tcW w:w="1276" w:type="dxa"/>
            <w:tcBorders>
              <w:top w:val="nil"/>
              <w:left w:val="nil"/>
              <w:bottom w:val="nil"/>
              <w:right w:val="nil"/>
            </w:tcBorders>
            <w:shd w:val="clear" w:color="auto" w:fill="auto"/>
            <w:noWrap/>
            <w:vAlign w:val="bottom"/>
            <w:hideMark/>
          </w:tcPr>
          <w:p w14:paraId="67AB0B15"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-4,866.6</w:t>
            </w:r>
          </w:p>
        </w:tc>
        <w:tc>
          <w:tcPr>
            <w:tcW w:w="1417" w:type="dxa"/>
            <w:gridSpan w:val="2"/>
            <w:tcBorders>
              <w:top w:val="nil"/>
              <w:left w:val="nil"/>
              <w:bottom w:val="nil"/>
              <w:right w:val="nil"/>
            </w:tcBorders>
            <w:shd w:val="clear" w:color="auto" w:fill="auto"/>
            <w:noWrap/>
            <w:vAlign w:val="bottom"/>
            <w:hideMark/>
          </w:tcPr>
          <w:p w14:paraId="27D523B6"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-12,310.1</w:t>
            </w:r>
          </w:p>
        </w:tc>
        <w:tc>
          <w:tcPr>
            <w:tcW w:w="1261" w:type="dxa"/>
            <w:gridSpan w:val="2"/>
            <w:tcBorders>
              <w:top w:val="nil"/>
              <w:left w:val="nil"/>
              <w:bottom w:val="nil"/>
              <w:right w:val="nil"/>
            </w:tcBorders>
            <w:shd w:val="clear" w:color="auto" w:fill="auto"/>
            <w:noWrap/>
            <w:vAlign w:val="bottom"/>
            <w:hideMark/>
          </w:tcPr>
          <w:p w14:paraId="36C7C9FF"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-10,040.2</w:t>
            </w:r>
          </w:p>
        </w:tc>
        <w:tc>
          <w:tcPr>
            <w:tcW w:w="1261" w:type="dxa"/>
            <w:tcBorders>
              <w:top w:val="nil"/>
              <w:left w:val="nil"/>
              <w:bottom w:val="nil"/>
              <w:right w:val="nil"/>
            </w:tcBorders>
            <w:shd w:val="clear" w:color="auto" w:fill="auto"/>
            <w:noWrap/>
            <w:vAlign w:val="bottom"/>
            <w:hideMark/>
          </w:tcPr>
          <w:p w14:paraId="299CFD0D"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15,739.0</w:t>
            </w:r>
          </w:p>
        </w:tc>
        <w:tc>
          <w:tcPr>
            <w:tcW w:w="1432" w:type="dxa"/>
            <w:gridSpan w:val="3"/>
            <w:tcBorders>
              <w:top w:val="nil"/>
              <w:left w:val="nil"/>
              <w:bottom w:val="nil"/>
              <w:right w:val="nil"/>
            </w:tcBorders>
            <w:shd w:val="clear" w:color="auto" w:fill="auto"/>
            <w:noWrap/>
            <w:vAlign w:val="bottom"/>
            <w:hideMark/>
          </w:tcPr>
          <w:p w14:paraId="06A4A528"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-11,477.9</w:t>
            </w:r>
          </w:p>
        </w:tc>
        <w:tc>
          <w:tcPr>
            <w:tcW w:w="2178" w:type="dxa"/>
            <w:gridSpan w:val="2"/>
            <w:tcBorders>
              <w:top w:val="nil"/>
              <w:left w:val="nil"/>
              <w:bottom w:val="nil"/>
              <w:right w:val="nil"/>
            </w:tcBorders>
            <w:shd w:val="clear" w:color="auto" w:fill="auto"/>
            <w:noWrap/>
            <w:vAlign w:val="bottom"/>
            <w:hideMark/>
          </w:tcPr>
          <w:p w14:paraId="7560A34E"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44048C7B" w14:textId="77777777" w:rsidTr="00B52C55">
        <w:trPr>
          <w:trHeight w:val="300"/>
        </w:trPr>
        <w:tc>
          <w:tcPr>
            <w:tcW w:w="1353" w:type="dxa"/>
            <w:tcBorders>
              <w:top w:val="nil"/>
              <w:left w:val="nil"/>
              <w:bottom w:val="nil"/>
              <w:right w:val="nil"/>
            </w:tcBorders>
            <w:shd w:val="clear" w:color="auto" w:fill="auto"/>
            <w:noWrap/>
            <w:vAlign w:val="bottom"/>
            <w:hideMark/>
          </w:tcPr>
          <w:p w14:paraId="38A4AB28"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Republic</w:t>
            </w:r>
          </w:p>
        </w:tc>
        <w:tc>
          <w:tcPr>
            <w:tcW w:w="1276" w:type="dxa"/>
            <w:gridSpan w:val="2"/>
            <w:tcBorders>
              <w:top w:val="nil"/>
              <w:left w:val="nil"/>
              <w:bottom w:val="nil"/>
              <w:right w:val="nil"/>
            </w:tcBorders>
            <w:shd w:val="clear" w:color="auto" w:fill="auto"/>
            <w:noWrap/>
            <w:vAlign w:val="bottom"/>
            <w:hideMark/>
          </w:tcPr>
          <w:p w14:paraId="2046FB32"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2003-1999</w:t>
            </w:r>
          </w:p>
        </w:tc>
        <w:tc>
          <w:tcPr>
            <w:tcW w:w="1276" w:type="dxa"/>
            <w:tcBorders>
              <w:top w:val="nil"/>
              <w:left w:val="nil"/>
              <w:bottom w:val="nil"/>
              <w:right w:val="nil"/>
            </w:tcBorders>
            <w:shd w:val="clear" w:color="auto" w:fill="auto"/>
            <w:noWrap/>
            <w:vAlign w:val="bottom"/>
            <w:hideMark/>
          </w:tcPr>
          <w:p w14:paraId="5E1F6296"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-7,057.2</w:t>
            </w:r>
          </w:p>
        </w:tc>
        <w:tc>
          <w:tcPr>
            <w:tcW w:w="1417" w:type="dxa"/>
            <w:gridSpan w:val="2"/>
            <w:tcBorders>
              <w:top w:val="nil"/>
              <w:left w:val="nil"/>
              <w:bottom w:val="nil"/>
              <w:right w:val="nil"/>
            </w:tcBorders>
            <w:shd w:val="clear" w:color="auto" w:fill="auto"/>
            <w:noWrap/>
            <w:vAlign w:val="bottom"/>
            <w:hideMark/>
          </w:tcPr>
          <w:p w14:paraId="751601E2"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36.8</w:t>
            </w:r>
          </w:p>
        </w:tc>
        <w:tc>
          <w:tcPr>
            <w:tcW w:w="1261" w:type="dxa"/>
            <w:gridSpan w:val="2"/>
            <w:tcBorders>
              <w:top w:val="nil"/>
              <w:left w:val="nil"/>
              <w:bottom w:val="nil"/>
              <w:right w:val="nil"/>
            </w:tcBorders>
            <w:shd w:val="clear" w:color="auto" w:fill="auto"/>
            <w:noWrap/>
            <w:vAlign w:val="bottom"/>
            <w:hideMark/>
          </w:tcPr>
          <w:p w14:paraId="685342CB"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144.8</w:t>
            </w:r>
          </w:p>
        </w:tc>
        <w:tc>
          <w:tcPr>
            <w:tcW w:w="1261" w:type="dxa"/>
            <w:tcBorders>
              <w:top w:val="nil"/>
              <w:left w:val="nil"/>
              <w:bottom w:val="nil"/>
              <w:right w:val="nil"/>
            </w:tcBorders>
            <w:shd w:val="clear" w:color="auto" w:fill="auto"/>
            <w:noWrap/>
            <w:vAlign w:val="bottom"/>
            <w:hideMark/>
          </w:tcPr>
          <w:p w14:paraId="5D366426"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14,243.6</w:t>
            </w:r>
          </w:p>
        </w:tc>
        <w:tc>
          <w:tcPr>
            <w:tcW w:w="1432" w:type="dxa"/>
            <w:gridSpan w:val="3"/>
            <w:tcBorders>
              <w:top w:val="nil"/>
              <w:left w:val="nil"/>
              <w:bottom w:val="nil"/>
              <w:right w:val="nil"/>
            </w:tcBorders>
            <w:shd w:val="clear" w:color="auto" w:fill="auto"/>
            <w:noWrap/>
            <w:vAlign w:val="bottom"/>
            <w:hideMark/>
          </w:tcPr>
          <w:p w14:paraId="0AACF00E"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7,367.9</w:t>
            </w:r>
          </w:p>
        </w:tc>
        <w:tc>
          <w:tcPr>
            <w:tcW w:w="2178" w:type="dxa"/>
            <w:gridSpan w:val="2"/>
            <w:tcBorders>
              <w:top w:val="nil"/>
              <w:left w:val="nil"/>
              <w:bottom w:val="nil"/>
              <w:right w:val="nil"/>
            </w:tcBorders>
            <w:shd w:val="clear" w:color="auto" w:fill="auto"/>
            <w:noWrap/>
            <w:vAlign w:val="bottom"/>
            <w:hideMark/>
          </w:tcPr>
          <w:p w14:paraId="2782124B"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3784E5FD" w14:textId="77777777" w:rsidTr="00B52C55">
        <w:trPr>
          <w:trHeight w:val="300"/>
        </w:trPr>
        <w:tc>
          <w:tcPr>
            <w:tcW w:w="1353" w:type="dxa"/>
            <w:tcBorders>
              <w:top w:val="nil"/>
              <w:left w:val="nil"/>
              <w:bottom w:val="nil"/>
              <w:right w:val="nil"/>
            </w:tcBorders>
            <w:shd w:val="clear" w:color="auto" w:fill="auto"/>
            <w:noWrap/>
            <w:vAlign w:val="bottom"/>
            <w:hideMark/>
          </w:tcPr>
          <w:p w14:paraId="7D8E1E3A"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502A8537"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2007-2003</w:t>
            </w:r>
          </w:p>
        </w:tc>
        <w:tc>
          <w:tcPr>
            <w:tcW w:w="1276" w:type="dxa"/>
            <w:tcBorders>
              <w:top w:val="nil"/>
              <w:left w:val="nil"/>
              <w:bottom w:val="nil"/>
              <w:right w:val="nil"/>
            </w:tcBorders>
            <w:shd w:val="clear" w:color="auto" w:fill="auto"/>
            <w:noWrap/>
            <w:vAlign w:val="bottom"/>
            <w:hideMark/>
          </w:tcPr>
          <w:p w14:paraId="0A45696C"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5,614.5</w:t>
            </w:r>
          </w:p>
        </w:tc>
        <w:tc>
          <w:tcPr>
            <w:tcW w:w="1417" w:type="dxa"/>
            <w:gridSpan w:val="2"/>
            <w:tcBorders>
              <w:top w:val="nil"/>
              <w:left w:val="nil"/>
              <w:bottom w:val="nil"/>
              <w:right w:val="nil"/>
            </w:tcBorders>
            <w:shd w:val="clear" w:color="auto" w:fill="auto"/>
            <w:noWrap/>
            <w:vAlign w:val="bottom"/>
            <w:hideMark/>
          </w:tcPr>
          <w:p w14:paraId="23EA10EE"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-25,683.5</w:t>
            </w:r>
          </w:p>
        </w:tc>
        <w:tc>
          <w:tcPr>
            <w:tcW w:w="1261" w:type="dxa"/>
            <w:gridSpan w:val="2"/>
            <w:tcBorders>
              <w:top w:val="nil"/>
              <w:left w:val="nil"/>
              <w:bottom w:val="nil"/>
              <w:right w:val="nil"/>
            </w:tcBorders>
            <w:shd w:val="clear" w:color="auto" w:fill="auto"/>
            <w:noWrap/>
            <w:vAlign w:val="bottom"/>
            <w:hideMark/>
          </w:tcPr>
          <w:p w14:paraId="659832E1"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6,919.8</w:t>
            </w:r>
          </w:p>
        </w:tc>
        <w:tc>
          <w:tcPr>
            <w:tcW w:w="1261" w:type="dxa"/>
            <w:tcBorders>
              <w:top w:val="nil"/>
              <w:left w:val="nil"/>
              <w:bottom w:val="nil"/>
              <w:right w:val="nil"/>
            </w:tcBorders>
            <w:shd w:val="clear" w:color="auto" w:fill="auto"/>
            <w:noWrap/>
            <w:vAlign w:val="bottom"/>
            <w:hideMark/>
          </w:tcPr>
          <w:p w14:paraId="1AE4D954"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21,122.5</w:t>
            </w:r>
          </w:p>
        </w:tc>
        <w:tc>
          <w:tcPr>
            <w:tcW w:w="1432" w:type="dxa"/>
            <w:gridSpan w:val="3"/>
            <w:tcBorders>
              <w:top w:val="nil"/>
              <w:left w:val="nil"/>
              <w:bottom w:val="nil"/>
              <w:right w:val="nil"/>
            </w:tcBorders>
            <w:shd w:val="clear" w:color="auto" w:fill="auto"/>
            <w:noWrap/>
            <w:vAlign w:val="bottom"/>
            <w:hideMark/>
          </w:tcPr>
          <w:p w14:paraId="58721B18"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7,973.2</w:t>
            </w:r>
          </w:p>
        </w:tc>
        <w:tc>
          <w:tcPr>
            <w:tcW w:w="2178" w:type="dxa"/>
            <w:gridSpan w:val="2"/>
            <w:tcBorders>
              <w:top w:val="nil"/>
              <w:left w:val="nil"/>
              <w:bottom w:val="nil"/>
              <w:right w:val="nil"/>
            </w:tcBorders>
            <w:shd w:val="clear" w:color="auto" w:fill="auto"/>
            <w:noWrap/>
            <w:vAlign w:val="bottom"/>
            <w:hideMark/>
          </w:tcPr>
          <w:p w14:paraId="2C864EAC"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6E924D62" w14:textId="77777777" w:rsidTr="00B52C55">
        <w:trPr>
          <w:trHeight w:val="300"/>
        </w:trPr>
        <w:tc>
          <w:tcPr>
            <w:tcW w:w="1353" w:type="dxa"/>
            <w:tcBorders>
              <w:top w:val="nil"/>
              <w:left w:val="nil"/>
              <w:bottom w:val="single" w:sz="4" w:space="0" w:color="auto"/>
              <w:right w:val="nil"/>
            </w:tcBorders>
            <w:shd w:val="clear" w:color="auto" w:fill="auto"/>
            <w:noWrap/>
            <w:vAlign w:val="bottom"/>
            <w:hideMark/>
          </w:tcPr>
          <w:p w14:paraId="0077FC05"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 </w:t>
            </w:r>
          </w:p>
        </w:tc>
        <w:tc>
          <w:tcPr>
            <w:tcW w:w="1276" w:type="dxa"/>
            <w:gridSpan w:val="2"/>
            <w:tcBorders>
              <w:top w:val="nil"/>
              <w:left w:val="nil"/>
              <w:bottom w:val="single" w:sz="4" w:space="0" w:color="auto"/>
              <w:right w:val="nil"/>
            </w:tcBorders>
            <w:shd w:val="clear" w:color="auto" w:fill="auto"/>
            <w:noWrap/>
            <w:vAlign w:val="bottom"/>
            <w:hideMark/>
          </w:tcPr>
          <w:p w14:paraId="160C0EE1"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2007-1995</w:t>
            </w:r>
          </w:p>
        </w:tc>
        <w:tc>
          <w:tcPr>
            <w:tcW w:w="1276" w:type="dxa"/>
            <w:tcBorders>
              <w:top w:val="nil"/>
              <w:left w:val="nil"/>
              <w:bottom w:val="single" w:sz="4" w:space="0" w:color="auto"/>
              <w:right w:val="nil"/>
            </w:tcBorders>
            <w:shd w:val="clear" w:color="auto" w:fill="auto"/>
            <w:noWrap/>
            <w:vAlign w:val="bottom"/>
            <w:hideMark/>
          </w:tcPr>
          <w:p w14:paraId="67A39704"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-7,359.7</w:t>
            </w:r>
          </w:p>
        </w:tc>
        <w:tc>
          <w:tcPr>
            <w:tcW w:w="1417" w:type="dxa"/>
            <w:gridSpan w:val="2"/>
            <w:tcBorders>
              <w:top w:val="nil"/>
              <w:left w:val="nil"/>
              <w:bottom w:val="single" w:sz="4" w:space="0" w:color="auto"/>
              <w:right w:val="nil"/>
            </w:tcBorders>
            <w:shd w:val="clear" w:color="auto" w:fill="auto"/>
            <w:noWrap/>
            <w:vAlign w:val="bottom"/>
            <w:hideMark/>
          </w:tcPr>
          <w:p w14:paraId="09E57286"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-40,047.6</w:t>
            </w:r>
          </w:p>
        </w:tc>
        <w:tc>
          <w:tcPr>
            <w:tcW w:w="1261" w:type="dxa"/>
            <w:gridSpan w:val="2"/>
            <w:tcBorders>
              <w:top w:val="nil"/>
              <w:left w:val="nil"/>
              <w:bottom w:val="single" w:sz="4" w:space="0" w:color="auto"/>
              <w:right w:val="nil"/>
            </w:tcBorders>
            <w:shd w:val="clear" w:color="auto" w:fill="auto"/>
            <w:noWrap/>
            <w:vAlign w:val="bottom"/>
            <w:hideMark/>
          </w:tcPr>
          <w:p w14:paraId="4267366D"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-3,641.8</w:t>
            </w:r>
          </w:p>
        </w:tc>
        <w:tc>
          <w:tcPr>
            <w:tcW w:w="1261" w:type="dxa"/>
            <w:tcBorders>
              <w:top w:val="nil"/>
              <w:left w:val="nil"/>
              <w:bottom w:val="single" w:sz="4" w:space="0" w:color="auto"/>
              <w:right w:val="nil"/>
            </w:tcBorders>
            <w:shd w:val="clear" w:color="auto" w:fill="auto"/>
            <w:noWrap/>
            <w:vAlign w:val="bottom"/>
            <w:hideMark/>
          </w:tcPr>
          <w:p w14:paraId="0C9FD2D6"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54,912.3</w:t>
            </w:r>
          </w:p>
        </w:tc>
        <w:tc>
          <w:tcPr>
            <w:tcW w:w="1432" w:type="dxa"/>
            <w:gridSpan w:val="3"/>
            <w:tcBorders>
              <w:top w:val="nil"/>
              <w:left w:val="nil"/>
              <w:bottom w:val="single" w:sz="4" w:space="0" w:color="auto"/>
              <w:right w:val="nil"/>
            </w:tcBorders>
            <w:shd w:val="clear" w:color="auto" w:fill="auto"/>
            <w:noWrap/>
            <w:vAlign w:val="bottom"/>
            <w:hideMark/>
          </w:tcPr>
          <w:p w14:paraId="6A680A0C"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3,863.2</w:t>
            </w:r>
          </w:p>
        </w:tc>
        <w:tc>
          <w:tcPr>
            <w:tcW w:w="2178" w:type="dxa"/>
            <w:gridSpan w:val="2"/>
            <w:tcBorders>
              <w:top w:val="nil"/>
              <w:left w:val="nil"/>
              <w:bottom w:val="nil"/>
              <w:right w:val="nil"/>
            </w:tcBorders>
            <w:shd w:val="clear" w:color="auto" w:fill="auto"/>
            <w:noWrap/>
            <w:vAlign w:val="bottom"/>
            <w:hideMark/>
          </w:tcPr>
          <w:p w14:paraId="345651F1"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3C0EF0A2" w14:textId="77777777" w:rsidTr="00B52C55">
        <w:trPr>
          <w:trHeight w:val="300"/>
        </w:trPr>
        <w:tc>
          <w:tcPr>
            <w:tcW w:w="1353" w:type="dxa"/>
            <w:tcBorders>
              <w:top w:val="nil"/>
              <w:left w:val="nil"/>
              <w:bottom w:val="nil"/>
              <w:right w:val="nil"/>
            </w:tcBorders>
            <w:shd w:val="clear" w:color="auto" w:fill="auto"/>
            <w:noWrap/>
            <w:vAlign w:val="bottom"/>
            <w:hideMark/>
          </w:tcPr>
          <w:p w14:paraId="7DAFA9B3"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Denmark</w:t>
            </w:r>
          </w:p>
        </w:tc>
        <w:tc>
          <w:tcPr>
            <w:tcW w:w="1276" w:type="dxa"/>
            <w:gridSpan w:val="2"/>
            <w:tcBorders>
              <w:top w:val="nil"/>
              <w:left w:val="nil"/>
              <w:bottom w:val="nil"/>
              <w:right w:val="nil"/>
            </w:tcBorders>
            <w:shd w:val="clear" w:color="auto" w:fill="auto"/>
            <w:noWrap/>
            <w:vAlign w:val="bottom"/>
            <w:hideMark/>
          </w:tcPr>
          <w:p w14:paraId="570E3708"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1999-1995</w:t>
            </w:r>
          </w:p>
        </w:tc>
        <w:tc>
          <w:tcPr>
            <w:tcW w:w="1276" w:type="dxa"/>
            <w:tcBorders>
              <w:top w:val="nil"/>
              <w:left w:val="nil"/>
              <w:bottom w:val="nil"/>
              <w:right w:val="nil"/>
            </w:tcBorders>
            <w:shd w:val="clear" w:color="auto" w:fill="auto"/>
            <w:noWrap/>
            <w:vAlign w:val="bottom"/>
            <w:hideMark/>
          </w:tcPr>
          <w:p w14:paraId="57620340"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-2,134.5</w:t>
            </w:r>
          </w:p>
        </w:tc>
        <w:tc>
          <w:tcPr>
            <w:tcW w:w="1417" w:type="dxa"/>
            <w:gridSpan w:val="2"/>
            <w:tcBorders>
              <w:top w:val="nil"/>
              <w:left w:val="nil"/>
              <w:bottom w:val="nil"/>
              <w:right w:val="nil"/>
            </w:tcBorders>
            <w:shd w:val="clear" w:color="auto" w:fill="auto"/>
            <w:noWrap/>
            <w:vAlign w:val="bottom"/>
            <w:hideMark/>
          </w:tcPr>
          <w:p w14:paraId="662383D1"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-3,764.4</w:t>
            </w:r>
          </w:p>
        </w:tc>
        <w:tc>
          <w:tcPr>
            <w:tcW w:w="1261" w:type="dxa"/>
            <w:gridSpan w:val="2"/>
            <w:tcBorders>
              <w:top w:val="nil"/>
              <w:left w:val="nil"/>
              <w:bottom w:val="nil"/>
              <w:right w:val="nil"/>
            </w:tcBorders>
            <w:shd w:val="clear" w:color="auto" w:fill="auto"/>
            <w:noWrap/>
            <w:vAlign w:val="bottom"/>
            <w:hideMark/>
          </w:tcPr>
          <w:p w14:paraId="7B84D365"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-2,466.6</w:t>
            </w:r>
          </w:p>
        </w:tc>
        <w:tc>
          <w:tcPr>
            <w:tcW w:w="1261" w:type="dxa"/>
            <w:tcBorders>
              <w:top w:val="nil"/>
              <w:left w:val="nil"/>
              <w:bottom w:val="nil"/>
              <w:right w:val="nil"/>
            </w:tcBorders>
            <w:shd w:val="clear" w:color="auto" w:fill="auto"/>
            <w:noWrap/>
            <w:vAlign w:val="bottom"/>
            <w:hideMark/>
          </w:tcPr>
          <w:p w14:paraId="31AECE2A"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10,436.2</w:t>
            </w:r>
          </w:p>
        </w:tc>
        <w:tc>
          <w:tcPr>
            <w:tcW w:w="1432" w:type="dxa"/>
            <w:gridSpan w:val="3"/>
            <w:tcBorders>
              <w:top w:val="nil"/>
              <w:left w:val="nil"/>
              <w:bottom w:val="nil"/>
              <w:right w:val="nil"/>
            </w:tcBorders>
            <w:shd w:val="clear" w:color="auto" w:fill="auto"/>
            <w:noWrap/>
            <w:vAlign w:val="bottom"/>
            <w:hideMark/>
          </w:tcPr>
          <w:p w14:paraId="1A28007F"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2,070.7</w:t>
            </w:r>
          </w:p>
        </w:tc>
        <w:tc>
          <w:tcPr>
            <w:tcW w:w="2178" w:type="dxa"/>
            <w:gridSpan w:val="2"/>
            <w:tcBorders>
              <w:top w:val="nil"/>
              <w:left w:val="nil"/>
              <w:bottom w:val="nil"/>
              <w:right w:val="nil"/>
            </w:tcBorders>
            <w:shd w:val="clear" w:color="auto" w:fill="auto"/>
            <w:noWrap/>
            <w:vAlign w:val="bottom"/>
            <w:hideMark/>
          </w:tcPr>
          <w:p w14:paraId="0BA7B672"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592CB1D9" w14:textId="77777777" w:rsidTr="00B52C55">
        <w:trPr>
          <w:trHeight w:val="300"/>
        </w:trPr>
        <w:tc>
          <w:tcPr>
            <w:tcW w:w="1353" w:type="dxa"/>
            <w:tcBorders>
              <w:top w:val="nil"/>
              <w:left w:val="nil"/>
              <w:bottom w:val="nil"/>
              <w:right w:val="nil"/>
            </w:tcBorders>
            <w:shd w:val="clear" w:color="auto" w:fill="auto"/>
            <w:noWrap/>
            <w:vAlign w:val="bottom"/>
            <w:hideMark/>
          </w:tcPr>
          <w:p w14:paraId="243239B1"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35DBEFAD"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2003-1999</w:t>
            </w:r>
          </w:p>
        </w:tc>
        <w:tc>
          <w:tcPr>
            <w:tcW w:w="1276" w:type="dxa"/>
            <w:tcBorders>
              <w:top w:val="nil"/>
              <w:left w:val="nil"/>
              <w:bottom w:val="nil"/>
              <w:right w:val="nil"/>
            </w:tcBorders>
            <w:shd w:val="clear" w:color="auto" w:fill="auto"/>
            <w:noWrap/>
            <w:vAlign w:val="bottom"/>
            <w:hideMark/>
          </w:tcPr>
          <w:p w14:paraId="5186986A"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1,763.3</w:t>
            </w:r>
          </w:p>
        </w:tc>
        <w:tc>
          <w:tcPr>
            <w:tcW w:w="1417" w:type="dxa"/>
            <w:gridSpan w:val="2"/>
            <w:tcBorders>
              <w:top w:val="nil"/>
              <w:left w:val="nil"/>
              <w:bottom w:val="nil"/>
              <w:right w:val="nil"/>
            </w:tcBorders>
            <w:shd w:val="clear" w:color="auto" w:fill="auto"/>
            <w:noWrap/>
            <w:vAlign w:val="bottom"/>
            <w:hideMark/>
          </w:tcPr>
          <w:p w14:paraId="3391E8CF"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3,803.0</w:t>
            </w:r>
          </w:p>
        </w:tc>
        <w:tc>
          <w:tcPr>
            <w:tcW w:w="1261" w:type="dxa"/>
            <w:gridSpan w:val="2"/>
            <w:tcBorders>
              <w:top w:val="nil"/>
              <w:left w:val="nil"/>
              <w:bottom w:val="nil"/>
              <w:right w:val="nil"/>
            </w:tcBorders>
            <w:shd w:val="clear" w:color="auto" w:fill="auto"/>
            <w:noWrap/>
            <w:vAlign w:val="bottom"/>
            <w:hideMark/>
          </w:tcPr>
          <w:p w14:paraId="7F9D1FEB"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-6,337.9</w:t>
            </w:r>
          </w:p>
        </w:tc>
        <w:tc>
          <w:tcPr>
            <w:tcW w:w="1261" w:type="dxa"/>
            <w:tcBorders>
              <w:top w:val="nil"/>
              <w:left w:val="nil"/>
              <w:bottom w:val="nil"/>
              <w:right w:val="nil"/>
            </w:tcBorders>
            <w:shd w:val="clear" w:color="auto" w:fill="auto"/>
            <w:noWrap/>
            <w:vAlign w:val="bottom"/>
            <w:hideMark/>
          </w:tcPr>
          <w:p w14:paraId="49DE6897"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10,380.7</w:t>
            </w:r>
          </w:p>
        </w:tc>
        <w:tc>
          <w:tcPr>
            <w:tcW w:w="1432" w:type="dxa"/>
            <w:gridSpan w:val="3"/>
            <w:tcBorders>
              <w:top w:val="nil"/>
              <w:left w:val="nil"/>
              <w:bottom w:val="nil"/>
              <w:right w:val="nil"/>
            </w:tcBorders>
            <w:shd w:val="clear" w:color="auto" w:fill="auto"/>
            <w:noWrap/>
            <w:vAlign w:val="bottom"/>
            <w:hideMark/>
          </w:tcPr>
          <w:p w14:paraId="745F4A2F"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9,609.0</w:t>
            </w:r>
          </w:p>
        </w:tc>
        <w:tc>
          <w:tcPr>
            <w:tcW w:w="2178" w:type="dxa"/>
            <w:gridSpan w:val="2"/>
            <w:tcBorders>
              <w:top w:val="nil"/>
              <w:left w:val="nil"/>
              <w:bottom w:val="nil"/>
              <w:right w:val="nil"/>
            </w:tcBorders>
            <w:shd w:val="clear" w:color="auto" w:fill="auto"/>
            <w:noWrap/>
            <w:vAlign w:val="bottom"/>
            <w:hideMark/>
          </w:tcPr>
          <w:p w14:paraId="06ADEB68"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490FE9C1" w14:textId="77777777" w:rsidTr="00B52C55">
        <w:trPr>
          <w:trHeight w:val="300"/>
        </w:trPr>
        <w:tc>
          <w:tcPr>
            <w:tcW w:w="1353" w:type="dxa"/>
            <w:tcBorders>
              <w:top w:val="nil"/>
              <w:left w:val="nil"/>
              <w:bottom w:val="nil"/>
              <w:right w:val="nil"/>
            </w:tcBorders>
            <w:shd w:val="clear" w:color="auto" w:fill="auto"/>
            <w:noWrap/>
            <w:vAlign w:val="bottom"/>
            <w:hideMark/>
          </w:tcPr>
          <w:p w14:paraId="22AFAD19"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489054B3"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2007-2003</w:t>
            </w:r>
          </w:p>
        </w:tc>
        <w:tc>
          <w:tcPr>
            <w:tcW w:w="1276" w:type="dxa"/>
            <w:tcBorders>
              <w:top w:val="nil"/>
              <w:left w:val="nil"/>
              <w:bottom w:val="nil"/>
              <w:right w:val="nil"/>
            </w:tcBorders>
            <w:shd w:val="clear" w:color="auto" w:fill="auto"/>
            <w:noWrap/>
            <w:vAlign w:val="bottom"/>
            <w:hideMark/>
          </w:tcPr>
          <w:p w14:paraId="640E2ED7"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1,588.4</w:t>
            </w:r>
          </w:p>
        </w:tc>
        <w:tc>
          <w:tcPr>
            <w:tcW w:w="1417" w:type="dxa"/>
            <w:gridSpan w:val="2"/>
            <w:tcBorders>
              <w:top w:val="nil"/>
              <w:left w:val="nil"/>
              <w:bottom w:val="nil"/>
              <w:right w:val="nil"/>
            </w:tcBorders>
            <w:shd w:val="clear" w:color="auto" w:fill="auto"/>
            <w:noWrap/>
            <w:vAlign w:val="bottom"/>
            <w:hideMark/>
          </w:tcPr>
          <w:p w14:paraId="0F27E9D1"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9,707.4</w:t>
            </w:r>
          </w:p>
        </w:tc>
        <w:tc>
          <w:tcPr>
            <w:tcW w:w="1261" w:type="dxa"/>
            <w:gridSpan w:val="2"/>
            <w:tcBorders>
              <w:top w:val="nil"/>
              <w:left w:val="nil"/>
              <w:bottom w:val="nil"/>
              <w:right w:val="nil"/>
            </w:tcBorders>
            <w:shd w:val="clear" w:color="auto" w:fill="auto"/>
            <w:noWrap/>
            <w:vAlign w:val="bottom"/>
            <w:hideMark/>
          </w:tcPr>
          <w:p w14:paraId="0941A622"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-7,808.1</w:t>
            </w:r>
          </w:p>
        </w:tc>
        <w:tc>
          <w:tcPr>
            <w:tcW w:w="1261" w:type="dxa"/>
            <w:tcBorders>
              <w:top w:val="nil"/>
              <w:left w:val="nil"/>
              <w:bottom w:val="nil"/>
              <w:right w:val="nil"/>
            </w:tcBorders>
            <w:shd w:val="clear" w:color="auto" w:fill="auto"/>
            <w:noWrap/>
            <w:vAlign w:val="bottom"/>
            <w:hideMark/>
          </w:tcPr>
          <w:p w14:paraId="368F2A76"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16,944.8</w:t>
            </w:r>
          </w:p>
        </w:tc>
        <w:tc>
          <w:tcPr>
            <w:tcW w:w="1432" w:type="dxa"/>
            <w:gridSpan w:val="3"/>
            <w:tcBorders>
              <w:top w:val="nil"/>
              <w:left w:val="nil"/>
              <w:bottom w:val="nil"/>
              <w:right w:val="nil"/>
            </w:tcBorders>
            <w:shd w:val="clear" w:color="auto" w:fill="auto"/>
            <w:noWrap/>
            <w:vAlign w:val="bottom"/>
            <w:hideMark/>
          </w:tcPr>
          <w:p w14:paraId="2D5CCEFB"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20,432.5</w:t>
            </w:r>
          </w:p>
        </w:tc>
        <w:tc>
          <w:tcPr>
            <w:tcW w:w="2178" w:type="dxa"/>
            <w:gridSpan w:val="2"/>
            <w:tcBorders>
              <w:top w:val="nil"/>
              <w:left w:val="nil"/>
              <w:bottom w:val="nil"/>
              <w:right w:val="nil"/>
            </w:tcBorders>
            <w:shd w:val="clear" w:color="auto" w:fill="auto"/>
            <w:noWrap/>
            <w:vAlign w:val="bottom"/>
            <w:hideMark/>
          </w:tcPr>
          <w:p w14:paraId="5C7D2C0E"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3415D5E0" w14:textId="77777777" w:rsidTr="00B52C55">
        <w:trPr>
          <w:trHeight w:val="300"/>
        </w:trPr>
        <w:tc>
          <w:tcPr>
            <w:tcW w:w="1353" w:type="dxa"/>
            <w:tcBorders>
              <w:top w:val="nil"/>
              <w:left w:val="nil"/>
              <w:bottom w:val="single" w:sz="4" w:space="0" w:color="auto"/>
              <w:right w:val="nil"/>
            </w:tcBorders>
            <w:shd w:val="clear" w:color="auto" w:fill="auto"/>
            <w:noWrap/>
            <w:vAlign w:val="bottom"/>
            <w:hideMark/>
          </w:tcPr>
          <w:p w14:paraId="028774B2"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 </w:t>
            </w:r>
          </w:p>
        </w:tc>
        <w:tc>
          <w:tcPr>
            <w:tcW w:w="1276" w:type="dxa"/>
            <w:gridSpan w:val="2"/>
            <w:tcBorders>
              <w:top w:val="nil"/>
              <w:left w:val="nil"/>
              <w:bottom w:val="single" w:sz="4" w:space="0" w:color="auto"/>
              <w:right w:val="nil"/>
            </w:tcBorders>
            <w:shd w:val="clear" w:color="auto" w:fill="auto"/>
            <w:noWrap/>
            <w:vAlign w:val="bottom"/>
            <w:hideMark/>
          </w:tcPr>
          <w:p w14:paraId="21949381"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2007-1995</w:t>
            </w:r>
          </w:p>
        </w:tc>
        <w:tc>
          <w:tcPr>
            <w:tcW w:w="1276" w:type="dxa"/>
            <w:tcBorders>
              <w:top w:val="nil"/>
              <w:left w:val="nil"/>
              <w:bottom w:val="single" w:sz="4" w:space="0" w:color="auto"/>
              <w:right w:val="nil"/>
            </w:tcBorders>
            <w:shd w:val="clear" w:color="auto" w:fill="auto"/>
            <w:noWrap/>
            <w:vAlign w:val="bottom"/>
            <w:hideMark/>
          </w:tcPr>
          <w:p w14:paraId="5BEB703D"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905.3</w:t>
            </w:r>
          </w:p>
        </w:tc>
        <w:tc>
          <w:tcPr>
            <w:tcW w:w="1417" w:type="dxa"/>
            <w:gridSpan w:val="2"/>
            <w:tcBorders>
              <w:top w:val="nil"/>
              <w:left w:val="nil"/>
              <w:bottom w:val="single" w:sz="4" w:space="0" w:color="auto"/>
              <w:right w:val="nil"/>
            </w:tcBorders>
            <w:shd w:val="clear" w:color="auto" w:fill="auto"/>
            <w:noWrap/>
            <w:vAlign w:val="bottom"/>
            <w:hideMark/>
          </w:tcPr>
          <w:p w14:paraId="723DC3BA"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8,912.5</w:t>
            </w:r>
          </w:p>
        </w:tc>
        <w:tc>
          <w:tcPr>
            <w:tcW w:w="1261" w:type="dxa"/>
            <w:gridSpan w:val="2"/>
            <w:tcBorders>
              <w:top w:val="nil"/>
              <w:left w:val="nil"/>
              <w:bottom w:val="single" w:sz="4" w:space="0" w:color="auto"/>
              <w:right w:val="nil"/>
            </w:tcBorders>
            <w:shd w:val="clear" w:color="auto" w:fill="auto"/>
            <w:noWrap/>
            <w:vAlign w:val="bottom"/>
            <w:hideMark/>
          </w:tcPr>
          <w:p w14:paraId="468AA22B"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-17,584.4</w:t>
            </w:r>
          </w:p>
        </w:tc>
        <w:tc>
          <w:tcPr>
            <w:tcW w:w="1261" w:type="dxa"/>
            <w:tcBorders>
              <w:top w:val="nil"/>
              <w:left w:val="nil"/>
              <w:bottom w:val="single" w:sz="4" w:space="0" w:color="auto"/>
              <w:right w:val="nil"/>
            </w:tcBorders>
            <w:shd w:val="clear" w:color="auto" w:fill="auto"/>
            <w:noWrap/>
            <w:vAlign w:val="bottom"/>
            <w:hideMark/>
          </w:tcPr>
          <w:p w14:paraId="4F7C1F2A"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39,878.9</w:t>
            </w:r>
          </w:p>
        </w:tc>
        <w:tc>
          <w:tcPr>
            <w:tcW w:w="1432" w:type="dxa"/>
            <w:gridSpan w:val="3"/>
            <w:tcBorders>
              <w:top w:val="nil"/>
              <w:left w:val="nil"/>
              <w:bottom w:val="single" w:sz="4" w:space="0" w:color="auto"/>
              <w:right w:val="nil"/>
            </w:tcBorders>
            <w:shd w:val="clear" w:color="auto" w:fill="auto"/>
            <w:noWrap/>
            <w:vAlign w:val="bottom"/>
            <w:hideMark/>
          </w:tcPr>
          <w:p w14:paraId="67C47C66"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32,112.3</w:t>
            </w:r>
          </w:p>
        </w:tc>
        <w:tc>
          <w:tcPr>
            <w:tcW w:w="2178" w:type="dxa"/>
            <w:gridSpan w:val="2"/>
            <w:tcBorders>
              <w:top w:val="nil"/>
              <w:left w:val="nil"/>
              <w:bottom w:val="nil"/>
              <w:right w:val="nil"/>
            </w:tcBorders>
            <w:shd w:val="clear" w:color="auto" w:fill="auto"/>
            <w:noWrap/>
            <w:vAlign w:val="bottom"/>
            <w:hideMark/>
          </w:tcPr>
          <w:p w14:paraId="77E555B4"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4E91D2B9" w14:textId="77777777" w:rsidTr="00B52C55">
        <w:trPr>
          <w:trHeight w:val="300"/>
        </w:trPr>
        <w:tc>
          <w:tcPr>
            <w:tcW w:w="1353" w:type="dxa"/>
            <w:tcBorders>
              <w:top w:val="nil"/>
              <w:left w:val="nil"/>
              <w:bottom w:val="nil"/>
              <w:right w:val="nil"/>
            </w:tcBorders>
            <w:shd w:val="clear" w:color="auto" w:fill="auto"/>
            <w:noWrap/>
            <w:vAlign w:val="bottom"/>
            <w:hideMark/>
          </w:tcPr>
          <w:p w14:paraId="44BAB30A"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Estonia</w:t>
            </w:r>
          </w:p>
        </w:tc>
        <w:tc>
          <w:tcPr>
            <w:tcW w:w="1276" w:type="dxa"/>
            <w:gridSpan w:val="2"/>
            <w:tcBorders>
              <w:top w:val="nil"/>
              <w:left w:val="nil"/>
              <w:bottom w:val="nil"/>
              <w:right w:val="nil"/>
            </w:tcBorders>
            <w:shd w:val="clear" w:color="auto" w:fill="auto"/>
            <w:noWrap/>
            <w:vAlign w:val="bottom"/>
            <w:hideMark/>
          </w:tcPr>
          <w:p w14:paraId="4973571B"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1999-1995</w:t>
            </w:r>
          </w:p>
        </w:tc>
        <w:tc>
          <w:tcPr>
            <w:tcW w:w="1276" w:type="dxa"/>
            <w:tcBorders>
              <w:top w:val="nil"/>
              <w:left w:val="nil"/>
              <w:bottom w:val="nil"/>
              <w:right w:val="nil"/>
            </w:tcBorders>
            <w:shd w:val="clear" w:color="auto" w:fill="auto"/>
            <w:noWrap/>
            <w:vAlign w:val="bottom"/>
            <w:hideMark/>
          </w:tcPr>
          <w:p w14:paraId="68E183CB"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-1,998.1</w:t>
            </w:r>
          </w:p>
        </w:tc>
        <w:tc>
          <w:tcPr>
            <w:tcW w:w="1417" w:type="dxa"/>
            <w:gridSpan w:val="2"/>
            <w:tcBorders>
              <w:top w:val="nil"/>
              <w:left w:val="nil"/>
              <w:bottom w:val="nil"/>
              <w:right w:val="nil"/>
            </w:tcBorders>
            <w:shd w:val="clear" w:color="auto" w:fill="auto"/>
            <w:noWrap/>
            <w:vAlign w:val="bottom"/>
            <w:hideMark/>
          </w:tcPr>
          <w:p w14:paraId="2E89EC8C"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-4,527.9</w:t>
            </w:r>
          </w:p>
        </w:tc>
        <w:tc>
          <w:tcPr>
            <w:tcW w:w="1261" w:type="dxa"/>
            <w:gridSpan w:val="2"/>
            <w:tcBorders>
              <w:top w:val="nil"/>
              <w:left w:val="nil"/>
              <w:bottom w:val="nil"/>
              <w:right w:val="nil"/>
            </w:tcBorders>
            <w:shd w:val="clear" w:color="auto" w:fill="auto"/>
            <w:noWrap/>
            <w:vAlign w:val="bottom"/>
            <w:hideMark/>
          </w:tcPr>
          <w:p w14:paraId="7C447C9D"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1,581.3</w:t>
            </w:r>
          </w:p>
        </w:tc>
        <w:tc>
          <w:tcPr>
            <w:tcW w:w="1261" w:type="dxa"/>
            <w:tcBorders>
              <w:top w:val="nil"/>
              <w:left w:val="nil"/>
              <w:bottom w:val="nil"/>
              <w:right w:val="nil"/>
            </w:tcBorders>
            <w:shd w:val="clear" w:color="auto" w:fill="auto"/>
            <w:noWrap/>
            <w:vAlign w:val="bottom"/>
            <w:hideMark/>
          </w:tcPr>
          <w:p w14:paraId="6A6D975B"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2,377.2</w:t>
            </w:r>
          </w:p>
        </w:tc>
        <w:tc>
          <w:tcPr>
            <w:tcW w:w="1432" w:type="dxa"/>
            <w:gridSpan w:val="3"/>
            <w:tcBorders>
              <w:top w:val="nil"/>
              <w:left w:val="nil"/>
              <w:bottom w:val="nil"/>
              <w:right w:val="nil"/>
            </w:tcBorders>
            <w:shd w:val="clear" w:color="auto" w:fill="auto"/>
            <w:noWrap/>
            <w:vAlign w:val="bottom"/>
            <w:hideMark/>
          </w:tcPr>
          <w:p w14:paraId="095475DF"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-2,567.5</w:t>
            </w:r>
          </w:p>
        </w:tc>
        <w:tc>
          <w:tcPr>
            <w:tcW w:w="2178" w:type="dxa"/>
            <w:gridSpan w:val="2"/>
            <w:tcBorders>
              <w:top w:val="nil"/>
              <w:left w:val="nil"/>
              <w:bottom w:val="nil"/>
              <w:right w:val="nil"/>
            </w:tcBorders>
            <w:shd w:val="clear" w:color="auto" w:fill="auto"/>
            <w:noWrap/>
            <w:vAlign w:val="bottom"/>
            <w:hideMark/>
          </w:tcPr>
          <w:p w14:paraId="083AB080"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31D8083E" w14:textId="77777777" w:rsidTr="00B52C55">
        <w:trPr>
          <w:trHeight w:val="300"/>
        </w:trPr>
        <w:tc>
          <w:tcPr>
            <w:tcW w:w="1353" w:type="dxa"/>
            <w:tcBorders>
              <w:top w:val="nil"/>
              <w:left w:val="nil"/>
              <w:bottom w:val="nil"/>
              <w:right w:val="nil"/>
            </w:tcBorders>
            <w:shd w:val="clear" w:color="auto" w:fill="auto"/>
            <w:noWrap/>
            <w:vAlign w:val="bottom"/>
            <w:hideMark/>
          </w:tcPr>
          <w:p w14:paraId="4B4DF433"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089E1F13"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2003-1999</w:t>
            </w:r>
          </w:p>
        </w:tc>
        <w:tc>
          <w:tcPr>
            <w:tcW w:w="1276" w:type="dxa"/>
            <w:tcBorders>
              <w:top w:val="nil"/>
              <w:left w:val="nil"/>
              <w:bottom w:val="nil"/>
              <w:right w:val="nil"/>
            </w:tcBorders>
            <w:shd w:val="clear" w:color="auto" w:fill="auto"/>
            <w:noWrap/>
            <w:vAlign w:val="bottom"/>
            <w:hideMark/>
          </w:tcPr>
          <w:p w14:paraId="351AC783"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325.9</w:t>
            </w:r>
          </w:p>
        </w:tc>
        <w:tc>
          <w:tcPr>
            <w:tcW w:w="1417" w:type="dxa"/>
            <w:gridSpan w:val="2"/>
            <w:tcBorders>
              <w:top w:val="nil"/>
              <w:left w:val="nil"/>
              <w:bottom w:val="nil"/>
              <w:right w:val="nil"/>
            </w:tcBorders>
            <w:shd w:val="clear" w:color="auto" w:fill="auto"/>
            <w:noWrap/>
            <w:vAlign w:val="bottom"/>
            <w:hideMark/>
          </w:tcPr>
          <w:p w14:paraId="5F64BB7D"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-3,623.3</w:t>
            </w:r>
          </w:p>
        </w:tc>
        <w:tc>
          <w:tcPr>
            <w:tcW w:w="1261" w:type="dxa"/>
            <w:gridSpan w:val="2"/>
            <w:tcBorders>
              <w:top w:val="nil"/>
              <w:left w:val="nil"/>
              <w:bottom w:val="nil"/>
              <w:right w:val="nil"/>
            </w:tcBorders>
            <w:shd w:val="clear" w:color="auto" w:fill="auto"/>
            <w:noWrap/>
            <w:vAlign w:val="bottom"/>
            <w:hideMark/>
          </w:tcPr>
          <w:p w14:paraId="36798E84"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2,700.3</w:t>
            </w:r>
          </w:p>
        </w:tc>
        <w:tc>
          <w:tcPr>
            <w:tcW w:w="1261" w:type="dxa"/>
            <w:tcBorders>
              <w:top w:val="nil"/>
              <w:left w:val="nil"/>
              <w:bottom w:val="nil"/>
              <w:right w:val="nil"/>
            </w:tcBorders>
            <w:shd w:val="clear" w:color="auto" w:fill="auto"/>
            <w:noWrap/>
            <w:vAlign w:val="bottom"/>
            <w:hideMark/>
          </w:tcPr>
          <w:p w14:paraId="705D2B34"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2,123.6</w:t>
            </w:r>
          </w:p>
        </w:tc>
        <w:tc>
          <w:tcPr>
            <w:tcW w:w="1432" w:type="dxa"/>
            <w:gridSpan w:val="3"/>
            <w:tcBorders>
              <w:top w:val="nil"/>
              <w:left w:val="nil"/>
              <w:bottom w:val="nil"/>
              <w:right w:val="nil"/>
            </w:tcBorders>
            <w:shd w:val="clear" w:color="auto" w:fill="auto"/>
            <w:noWrap/>
            <w:vAlign w:val="bottom"/>
            <w:hideMark/>
          </w:tcPr>
          <w:p w14:paraId="414F4E25"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1,526.5</w:t>
            </w:r>
          </w:p>
        </w:tc>
        <w:tc>
          <w:tcPr>
            <w:tcW w:w="2178" w:type="dxa"/>
            <w:gridSpan w:val="2"/>
            <w:tcBorders>
              <w:top w:val="nil"/>
              <w:left w:val="nil"/>
              <w:bottom w:val="nil"/>
              <w:right w:val="nil"/>
            </w:tcBorders>
            <w:shd w:val="clear" w:color="auto" w:fill="auto"/>
            <w:noWrap/>
            <w:vAlign w:val="bottom"/>
            <w:hideMark/>
          </w:tcPr>
          <w:p w14:paraId="1A75BCC8"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3275677E" w14:textId="77777777" w:rsidTr="00B52C55">
        <w:trPr>
          <w:trHeight w:val="300"/>
        </w:trPr>
        <w:tc>
          <w:tcPr>
            <w:tcW w:w="1353" w:type="dxa"/>
            <w:tcBorders>
              <w:top w:val="nil"/>
              <w:left w:val="nil"/>
              <w:bottom w:val="nil"/>
              <w:right w:val="nil"/>
            </w:tcBorders>
            <w:shd w:val="clear" w:color="auto" w:fill="auto"/>
            <w:noWrap/>
            <w:vAlign w:val="bottom"/>
            <w:hideMark/>
          </w:tcPr>
          <w:p w14:paraId="47C10638"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53186810"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2007-2003</w:t>
            </w:r>
          </w:p>
        </w:tc>
        <w:tc>
          <w:tcPr>
            <w:tcW w:w="1276" w:type="dxa"/>
            <w:tcBorders>
              <w:top w:val="nil"/>
              <w:left w:val="nil"/>
              <w:bottom w:val="nil"/>
              <w:right w:val="nil"/>
            </w:tcBorders>
            <w:shd w:val="clear" w:color="auto" w:fill="auto"/>
            <w:noWrap/>
            <w:vAlign w:val="bottom"/>
            <w:hideMark/>
          </w:tcPr>
          <w:p w14:paraId="6A5CFFDB"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-390.0</w:t>
            </w:r>
          </w:p>
        </w:tc>
        <w:tc>
          <w:tcPr>
            <w:tcW w:w="1417" w:type="dxa"/>
            <w:gridSpan w:val="2"/>
            <w:tcBorders>
              <w:top w:val="nil"/>
              <w:left w:val="nil"/>
              <w:bottom w:val="nil"/>
              <w:right w:val="nil"/>
            </w:tcBorders>
            <w:shd w:val="clear" w:color="auto" w:fill="auto"/>
            <w:noWrap/>
            <w:vAlign w:val="bottom"/>
            <w:hideMark/>
          </w:tcPr>
          <w:p w14:paraId="0CD070CB"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-3,342.3</w:t>
            </w:r>
          </w:p>
        </w:tc>
        <w:tc>
          <w:tcPr>
            <w:tcW w:w="1261" w:type="dxa"/>
            <w:gridSpan w:val="2"/>
            <w:tcBorders>
              <w:top w:val="nil"/>
              <w:left w:val="nil"/>
              <w:bottom w:val="nil"/>
              <w:right w:val="nil"/>
            </w:tcBorders>
            <w:shd w:val="clear" w:color="auto" w:fill="auto"/>
            <w:noWrap/>
            <w:vAlign w:val="bottom"/>
            <w:hideMark/>
          </w:tcPr>
          <w:p w14:paraId="3383D55E"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2,516.3</w:t>
            </w:r>
          </w:p>
        </w:tc>
        <w:tc>
          <w:tcPr>
            <w:tcW w:w="1261" w:type="dxa"/>
            <w:tcBorders>
              <w:top w:val="nil"/>
              <w:left w:val="nil"/>
              <w:bottom w:val="nil"/>
              <w:right w:val="nil"/>
            </w:tcBorders>
            <w:shd w:val="clear" w:color="auto" w:fill="auto"/>
            <w:noWrap/>
            <w:vAlign w:val="bottom"/>
            <w:hideMark/>
          </w:tcPr>
          <w:p w14:paraId="639D44C6"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3,242.4</w:t>
            </w:r>
          </w:p>
        </w:tc>
        <w:tc>
          <w:tcPr>
            <w:tcW w:w="1432" w:type="dxa"/>
            <w:gridSpan w:val="3"/>
            <w:tcBorders>
              <w:top w:val="nil"/>
              <w:left w:val="nil"/>
              <w:bottom w:val="nil"/>
              <w:right w:val="nil"/>
            </w:tcBorders>
            <w:shd w:val="clear" w:color="auto" w:fill="auto"/>
            <w:noWrap/>
            <w:vAlign w:val="bottom"/>
            <w:hideMark/>
          </w:tcPr>
          <w:p w14:paraId="236440AA"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2,026.4</w:t>
            </w:r>
          </w:p>
        </w:tc>
        <w:tc>
          <w:tcPr>
            <w:tcW w:w="2178" w:type="dxa"/>
            <w:gridSpan w:val="2"/>
            <w:tcBorders>
              <w:top w:val="nil"/>
              <w:left w:val="nil"/>
              <w:bottom w:val="nil"/>
              <w:right w:val="nil"/>
            </w:tcBorders>
            <w:shd w:val="clear" w:color="auto" w:fill="auto"/>
            <w:noWrap/>
            <w:vAlign w:val="bottom"/>
            <w:hideMark/>
          </w:tcPr>
          <w:p w14:paraId="58118057"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524474C1" w14:textId="77777777" w:rsidTr="00B52C55">
        <w:trPr>
          <w:trHeight w:val="300"/>
        </w:trPr>
        <w:tc>
          <w:tcPr>
            <w:tcW w:w="1353" w:type="dxa"/>
            <w:tcBorders>
              <w:top w:val="nil"/>
              <w:left w:val="nil"/>
              <w:bottom w:val="single" w:sz="4" w:space="0" w:color="auto"/>
              <w:right w:val="nil"/>
            </w:tcBorders>
            <w:shd w:val="clear" w:color="auto" w:fill="auto"/>
            <w:noWrap/>
            <w:vAlign w:val="bottom"/>
            <w:hideMark/>
          </w:tcPr>
          <w:p w14:paraId="5D10171A"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 </w:t>
            </w:r>
          </w:p>
        </w:tc>
        <w:tc>
          <w:tcPr>
            <w:tcW w:w="1276" w:type="dxa"/>
            <w:gridSpan w:val="2"/>
            <w:tcBorders>
              <w:top w:val="nil"/>
              <w:left w:val="nil"/>
              <w:bottom w:val="single" w:sz="4" w:space="0" w:color="auto"/>
              <w:right w:val="nil"/>
            </w:tcBorders>
            <w:shd w:val="clear" w:color="auto" w:fill="auto"/>
            <w:noWrap/>
            <w:vAlign w:val="bottom"/>
            <w:hideMark/>
          </w:tcPr>
          <w:p w14:paraId="4D53217A"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2007-1995</w:t>
            </w:r>
          </w:p>
        </w:tc>
        <w:tc>
          <w:tcPr>
            <w:tcW w:w="1276" w:type="dxa"/>
            <w:tcBorders>
              <w:top w:val="nil"/>
              <w:left w:val="nil"/>
              <w:bottom w:val="single" w:sz="4" w:space="0" w:color="auto"/>
              <w:right w:val="nil"/>
            </w:tcBorders>
            <w:shd w:val="clear" w:color="auto" w:fill="auto"/>
            <w:noWrap/>
            <w:vAlign w:val="bottom"/>
            <w:hideMark/>
          </w:tcPr>
          <w:p w14:paraId="093827C8"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-2,380.4</w:t>
            </w:r>
          </w:p>
        </w:tc>
        <w:tc>
          <w:tcPr>
            <w:tcW w:w="1417" w:type="dxa"/>
            <w:gridSpan w:val="2"/>
            <w:tcBorders>
              <w:top w:val="nil"/>
              <w:left w:val="nil"/>
              <w:bottom w:val="single" w:sz="4" w:space="0" w:color="auto"/>
              <w:right w:val="nil"/>
            </w:tcBorders>
            <w:shd w:val="clear" w:color="auto" w:fill="auto"/>
            <w:noWrap/>
            <w:vAlign w:val="bottom"/>
            <w:hideMark/>
          </w:tcPr>
          <w:p w14:paraId="4A5ACAB2"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-13,387.5</w:t>
            </w:r>
          </w:p>
        </w:tc>
        <w:tc>
          <w:tcPr>
            <w:tcW w:w="1261" w:type="dxa"/>
            <w:gridSpan w:val="2"/>
            <w:tcBorders>
              <w:top w:val="nil"/>
              <w:left w:val="nil"/>
              <w:bottom w:val="single" w:sz="4" w:space="0" w:color="auto"/>
              <w:right w:val="nil"/>
            </w:tcBorders>
            <w:shd w:val="clear" w:color="auto" w:fill="auto"/>
            <w:noWrap/>
            <w:vAlign w:val="bottom"/>
            <w:hideMark/>
          </w:tcPr>
          <w:p w14:paraId="181EDA7F"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7,865.4</w:t>
            </w:r>
          </w:p>
        </w:tc>
        <w:tc>
          <w:tcPr>
            <w:tcW w:w="1261" w:type="dxa"/>
            <w:tcBorders>
              <w:top w:val="nil"/>
              <w:left w:val="nil"/>
              <w:bottom w:val="single" w:sz="4" w:space="0" w:color="auto"/>
              <w:right w:val="nil"/>
            </w:tcBorders>
            <w:shd w:val="clear" w:color="auto" w:fill="auto"/>
            <w:noWrap/>
            <w:vAlign w:val="bottom"/>
            <w:hideMark/>
          </w:tcPr>
          <w:p w14:paraId="72B0E6B7"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8,887.9</w:t>
            </w:r>
          </w:p>
        </w:tc>
        <w:tc>
          <w:tcPr>
            <w:tcW w:w="1432" w:type="dxa"/>
            <w:gridSpan w:val="3"/>
            <w:tcBorders>
              <w:top w:val="nil"/>
              <w:left w:val="nil"/>
              <w:bottom w:val="single" w:sz="4" w:space="0" w:color="auto"/>
              <w:right w:val="nil"/>
            </w:tcBorders>
            <w:shd w:val="clear" w:color="auto" w:fill="auto"/>
            <w:noWrap/>
            <w:vAlign w:val="bottom"/>
            <w:hideMark/>
          </w:tcPr>
          <w:p w14:paraId="078FFD9C"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985.4</w:t>
            </w:r>
          </w:p>
        </w:tc>
        <w:tc>
          <w:tcPr>
            <w:tcW w:w="2178" w:type="dxa"/>
            <w:gridSpan w:val="2"/>
            <w:tcBorders>
              <w:top w:val="nil"/>
              <w:left w:val="nil"/>
              <w:bottom w:val="nil"/>
              <w:right w:val="nil"/>
            </w:tcBorders>
            <w:shd w:val="clear" w:color="auto" w:fill="auto"/>
            <w:noWrap/>
            <w:vAlign w:val="bottom"/>
            <w:hideMark/>
          </w:tcPr>
          <w:p w14:paraId="3A00F85A"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3BABE00E" w14:textId="77777777" w:rsidTr="00B52C55">
        <w:trPr>
          <w:trHeight w:val="300"/>
        </w:trPr>
        <w:tc>
          <w:tcPr>
            <w:tcW w:w="1353" w:type="dxa"/>
            <w:tcBorders>
              <w:top w:val="nil"/>
              <w:left w:val="nil"/>
              <w:bottom w:val="nil"/>
              <w:right w:val="nil"/>
            </w:tcBorders>
            <w:shd w:val="clear" w:color="auto" w:fill="auto"/>
            <w:noWrap/>
            <w:vAlign w:val="bottom"/>
            <w:hideMark/>
          </w:tcPr>
          <w:p w14:paraId="273FE4B6"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Finland</w:t>
            </w:r>
          </w:p>
        </w:tc>
        <w:tc>
          <w:tcPr>
            <w:tcW w:w="1276" w:type="dxa"/>
            <w:gridSpan w:val="2"/>
            <w:tcBorders>
              <w:top w:val="nil"/>
              <w:left w:val="nil"/>
              <w:bottom w:val="nil"/>
              <w:right w:val="nil"/>
            </w:tcBorders>
            <w:shd w:val="clear" w:color="auto" w:fill="auto"/>
            <w:noWrap/>
            <w:vAlign w:val="bottom"/>
            <w:hideMark/>
          </w:tcPr>
          <w:p w14:paraId="5935D05D"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1999-1995</w:t>
            </w:r>
          </w:p>
        </w:tc>
        <w:tc>
          <w:tcPr>
            <w:tcW w:w="1276" w:type="dxa"/>
            <w:tcBorders>
              <w:top w:val="nil"/>
              <w:left w:val="nil"/>
              <w:bottom w:val="nil"/>
              <w:right w:val="nil"/>
            </w:tcBorders>
            <w:shd w:val="clear" w:color="auto" w:fill="auto"/>
            <w:noWrap/>
            <w:vAlign w:val="bottom"/>
            <w:hideMark/>
          </w:tcPr>
          <w:p w14:paraId="00876D1C"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-3,158.6</w:t>
            </w:r>
          </w:p>
        </w:tc>
        <w:tc>
          <w:tcPr>
            <w:tcW w:w="1417" w:type="dxa"/>
            <w:gridSpan w:val="2"/>
            <w:tcBorders>
              <w:top w:val="nil"/>
              <w:left w:val="nil"/>
              <w:bottom w:val="nil"/>
              <w:right w:val="nil"/>
            </w:tcBorders>
            <w:shd w:val="clear" w:color="auto" w:fill="auto"/>
            <w:noWrap/>
            <w:vAlign w:val="bottom"/>
            <w:hideMark/>
          </w:tcPr>
          <w:p w14:paraId="66717F2C"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-5,641.5</w:t>
            </w:r>
          </w:p>
        </w:tc>
        <w:tc>
          <w:tcPr>
            <w:tcW w:w="1261" w:type="dxa"/>
            <w:gridSpan w:val="2"/>
            <w:tcBorders>
              <w:top w:val="nil"/>
              <w:left w:val="nil"/>
              <w:bottom w:val="nil"/>
              <w:right w:val="nil"/>
            </w:tcBorders>
            <w:shd w:val="clear" w:color="auto" w:fill="auto"/>
            <w:noWrap/>
            <w:vAlign w:val="bottom"/>
            <w:hideMark/>
          </w:tcPr>
          <w:p w14:paraId="2B289713"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2,709.7</w:t>
            </w:r>
          </w:p>
        </w:tc>
        <w:tc>
          <w:tcPr>
            <w:tcW w:w="1261" w:type="dxa"/>
            <w:tcBorders>
              <w:top w:val="nil"/>
              <w:left w:val="nil"/>
              <w:bottom w:val="nil"/>
              <w:right w:val="nil"/>
            </w:tcBorders>
            <w:shd w:val="clear" w:color="auto" w:fill="auto"/>
            <w:noWrap/>
            <w:vAlign w:val="bottom"/>
            <w:hideMark/>
          </w:tcPr>
          <w:p w14:paraId="4F387BE8"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8,591.6</w:t>
            </w:r>
          </w:p>
        </w:tc>
        <w:tc>
          <w:tcPr>
            <w:tcW w:w="1432" w:type="dxa"/>
            <w:gridSpan w:val="3"/>
            <w:tcBorders>
              <w:top w:val="nil"/>
              <w:left w:val="nil"/>
              <w:bottom w:val="nil"/>
              <w:right w:val="nil"/>
            </w:tcBorders>
            <w:shd w:val="clear" w:color="auto" w:fill="auto"/>
            <w:noWrap/>
            <w:vAlign w:val="bottom"/>
            <w:hideMark/>
          </w:tcPr>
          <w:p w14:paraId="44F6627A"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2,501.2</w:t>
            </w:r>
          </w:p>
        </w:tc>
        <w:tc>
          <w:tcPr>
            <w:tcW w:w="2178" w:type="dxa"/>
            <w:gridSpan w:val="2"/>
            <w:tcBorders>
              <w:top w:val="nil"/>
              <w:left w:val="nil"/>
              <w:bottom w:val="nil"/>
              <w:right w:val="nil"/>
            </w:tcBorders>
            <w:shd w:val="clear" w:color="auto" w:fill="auto"/>
            <w:noWrap/>
            <w:vAlign w:val="bottom"/>
            <w:hideMark/>
          </w:tcPr>
          <w:p w14:paraId="3B2CAB14"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2FB73AE8" w14:textId="77777777" w:rsidTr="00B52C55">
        <w:trPr>
          <w:trHeight w:val="300"/>
        </w:trPr>
        <w:tc>
          <w:tcPr>
            <w:tcW w:w="1353" w:type="dxa"/>
            <w:tcBorders>
              <w:top w:val="nil"/>
              <w:left w:val="nil"/>
              <w:bottom w:val="nil"/>
              <w:right w:val="nil"/>
            </w:tcBorders>
            <w:shd w:val="clear" w:color="auto" w:fill="auto"/>
            <w:noWrap/>
            <w:vAlign w:val="bottom"/>
            <w:hideMark/>
          </w:tcPr>
          <w:p w14:paraId="4BBF3EFE"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02E0822D"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2003-1999</w:t>
            </w:r>
          </w:p>
        </w:tc>
        <w:tc>
          <w:tcPr>
            <w:tcW w:w="1276" w:type="dxa"/>
            <w:tcBorders>
              <w:top w:val="nil"/>
              <w:left w:val="nil"/>
              <w:bottom w:val="nil"/>
              <w:right w:val="nil"/>
            </w:tcBorders>
            <w:shd w:val="clear" w:color="auto" w:fill="auto"/>
            <w:noWrap/>
            <w:vAlign w:val="bottom"/>
            <w:hideMark/>
          </w:tcPr>
          <w:p w14:paraId="79EE9B09"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2,627.8</w:t>
            </w:r>
          </w:p>
        </w:tc>
        <w:tc>
          <w:tcPr>
            <w:tcW w:w="1417" w:type="dxa"/>
            <w:gridSpan w:val="2"/>
            <w:tcBorders>
              <w:top w:val="nil"/>
              <w:left w:val="nil"/>
              <w:bottom w:val="nil"/>
              <w:right w:val="nil"/>
            </w:tcBorders>
            <w:shd w:val="clear" w:color="auto" w:fill="auto"/>
            <w:noWrap/>
            <w:vAlign w:val="bottom"/>
            <w:hideMark/>
          </w:tcPr>
          <w:p w14:paraId="51BEAC4B"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2,256.9</w:t>
            </w:r>
          </w:p>
        </w:tc>
        <w:tc>
          <w:tcPr>
            <w:tcW w:w="1261" w:type="dxa"/>
            <w:gridSpan w:val="2"/>
            <w:tcBorders>
              <w:top w:val="nil"/>
              <w:left w:val="nil"/>
              <w:bottom w:val="nil"/>
              <w:right w:val="nil"/>
            </w:tcBorders>
            <w:shd w:val="clear" w:color="auto" w:fill="auto"/>
            <w:noWrap/>
            <w:vAlign w:val="bottom"/>
            <w:hideMark/>
          </w:tcPr>
          <w:p w14:paraId="1AE4AC1D"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-1,100.1</w:t>
            </w:r>
          </w:p>
        </w:tc>
        <w:tc>
          <w:tcPr>
            <w:tcW w:w="1261" w:type="dxa"/>
            <w:tcBorders>
              <w:top w:val="nil"/>
              <w:left w:val="nil"/>
              <w:bottom w:val="nil"/>
              <w:right w:val="nil"/>
            </w:tcBorders>
            <w:shd w:val="clear" w:color="auto" w:fill="auto"/>
            <w:noWrap/>
            <w:vAlign w:val="bottom"/>
            <w:hideMark/>
          </w:tcPr>
          <w:p w14:paraId="51AB9978"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8,873.0</w:t>
            </w:r>
          </w:p>
        </w:tc>
        <w:tc>
          <w:tcPr>
            <w:tcW w:w="1432" w:type="dxa"/>
            <w:gridSpan w:val="3"/>
            <w:tcBorders>
              <w:top w:val="nil"/>
              <w:left w:val="nil"/>
              <w:bottom w:val="nil"/>
              <w:right w:val="nil"/>
            </w:tcBorders>
            <w:shd w:val="clear" w:color="auto" w:fill="auto"/>
            <w:noWrap/>
            <w:vAlign w:val="bottom"/>
            <w:hideMark/>
          </w:tcPr>
          <w:p w14:paraId="3F2B6EA1"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12,657.6</w:t>
            </w:r>
          </w:p>
        </w:tc>
        <w:tc>
          <w:tcPr>
            <w:tcW w:w="2178" w:type="dxa"/>
            <w:gridSpan w:val="2"/>
            <w:tcBorders>
              <w:top w:val="nil"/>
              <w:left w:val="nil"/>
              <w:bottom w:val="nil"/>
              <w:right w:val="nil"/>
            </w:tcBorders>
            <w:shd w:val="clear" w:color="auto" w:fill="auto"/>
            <w:noWrap/>
            <w:vAlign w:val="bottom"/>
            <w:hideMark/>
          </w:tcPr>
          <w:p w14:paraId="003FEEC2"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7A67FD65" w14:textId="77777777" w:rsidTr="00B52C55">
        <w:trPr>
          <w:trHeight w:val="300"/>
        </w:trPr>
        <w:tc>
          <w:tcPr>
            <w:tcW w:w="1353" w:type="dxa"/>
            <w:tcBorders>
              <w:top w:val="nil"/>
              <w:left w:val="nil"/>
              <w:bottom w:val="nil"/>
              <w:right w:val="nil"/>
            </w:tcBorders>
            <w:shd w:val="clear" w:color="auto" w:fill="auto"/>
            <w:noWrap/>
            <w:vAlign w:val="bottom"/>
            <w:hideMark/>
          </w:tcPr>
          <w:p w14:paraId="235B9320"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0B28075F"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2007-2003</w:t>
            </w:r>
          </w:p>
        </w:tc>
        <w:tc>
          <w:tcPr>
            <w:tcW w:w="1276" w:type="dxa"/>
            <w:tcBorders>
              <w:top w:val="nil"/>
              <w:left w:val="nil"/>
              <w:bottom w:val="nil"/>
              <w:right w:val="nil"/>
            </w:tcBorders>
            <w:shd w:val="clear" w:color="auto" w:fill="auto"/>
            <w:noWrap/>
            <w:vAlign w:val="bottom"/>
            <w:hideMark/>
          </w:tcPr>
          <w:p w14:paraId="19AF8BB3"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-3,978.7</w:t>
            </w:r>
          </w:p>
        </w:tc>
        <w:tc>
          <w:tcPr>
            <w:tcW w:w="1417" w:type="dxa"/>
            <w:gridSpan w:val="2"/>
            <w:tcBorders>
              <w:top w:val="nil"/>
              <w:left w:val="nil"/>
              <w:bottom w:val="nil"/>
              <w:right w:val="nil"/>
            </w:tcBorders>
            <w:shd w:val="clear" w:color="auto" w:fill="auto"/>
            <w:noWrap/>
            <w:vAlign w:val="bottom"/>
            <w:hideMark/>
          </w:tcPr>
          <w:p w14:paraId="7E8F10BD"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-12,124.7</w:t>
            </w:r>
          </w:p>
        </w:tc>
        <w:tc>
          <w:tcPr>
            <w:tcW w:w="1261" w:type="dxa"/>
            <w:gridSpan w:val="2"/>
            <w:tcBorders>
              <w:top w:val="nil"/>
              <w:left w:val="nil"/>
              <w:bottom w:val="nil"/>
              <w:right w:val="nil"/>
            </w:tcBorders>
            <w:shd w:val="clear" w:color="auto" w:fill="auto"/>
            <w:noWrap/>
            <w:vAlign w:val="bottom"/>
            <w:hideMark/>
          </w:tcPr>
          <w:p w14:paraId="51822423"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-959.2</w:t>
            </w:r>
          </w:p>
        </w:tc>
        <w:tc>
          <w:tcPr>
            <w:tcW w:w="1261" w:type="dxa"/>
            <w:tcBorders>
              <w:top w:val="nil"/>
              <w:left w:val="nil"/>
              <w:bottom w:val="nil"/>
              <w:right w:val="nil"/>
            </w:tcBorders>
            <w:shd w:val="clear" w:color="auto" w:fill="auto"/>
            <w:noWrap/>
            <w:vAlign w:val="bottom"/>
            <w:hideMark/>
          </w:tcPr>
          <w:p w14:paraId="08B127C3"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13,132.1</w:t>
            </w:r>
          </w:p>
        </w:tc>
        <w:tc>
          <w:tcPr>
            <w:tcW w:w="1432" w:type="dxa"/>
            <w:gridSpan w:val="3"/>
            <w:tcBorders>
              <w:top w:val="nil"/>
              <w:left w:val="nil"/>
              <w:bottom w:val="nil"/>
              <w:right w:val="nil"/>
            </w:tcBorders>
            <w:shd w:val="clear" w:color="auto" w:fill="auto"/>
            <w:noWrap/>
            <w:vAlign w:val="bottom"/>
            <w:hideMark/>
          </w:tcPr>
          <w:p w14:paraId="0F4F1D8A"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-3,930.5</w:t>
            </w:r>
          </w:p>
        </w:tc>
        <w:tc>
          <w:tcPr>
            <w:tcW w:w="2178" w:type="dxa"/>
            <w:gridSpan w:val="2"/>
            <w:tcBorders>
              <w:top w:val="nil"/>
              <w:left w:val="nil"/>
              <w:bottom w:val="nil"/>
              <w:right w:val="nil"/>
            </w:tcBorders>
            <w:shd w:val="clear" w:color="auto" w:fill="auto"/>
            <w:noWrap/>
            <w:vAlign w:val="bottom"/>
            <w:hideMark/>
          </w:tcPr>
          <w:p w14:paraId="692CE55D"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50FFD223" w14:textId="77777777" w:rsidTr="00B52C55">
        <w:trPr>
          <w:trHeight w:val="300"/>
        </w:trPr>
        <w:tc>
          <w:tcPr>
            <w:tcW w:w="1353" w:type="dxa"/>
            <w:tcBorders>
              <w:top w:val="nil"/>
              <w:left w:val="nil"/>
              <w:bottom w:val="single" w:sz="4" w:space="0" w:color="auto"/>
              <w:right w:val="nil"/>
            </w:tcBorders>
            <w:shd w:val="clear" w:color="auto" w:fill="auto"/>
            <w:noWrap/>
            <w:vAlign w:val="bottom"/>
            <w:hideMark/>
          </w:tcPr>
          <w:p w14:paraId="0270F904"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 </w:t>
            </w:r>
          </w:p>
        </w:tc>
        <w:tc>
          <w:tcPr>
            <w:tcW w:w="1276" w:type="dxa"/>
            <w:gridSpan w:val="2"/>
            <w:tcBorders>
              <w:top w:val="nil"/>
              <w:left w:val="nil"/>
              <w:bottom w:val="single" w:sz="4" w:space="0" w:color="auto"/>
              <w:right w:val="nil"/>
            </w:tcBorders>
            <w:shd w:val="clear" w:color="auto" w:fill="auto"/>
            <w:noWrap/>
            <w:vAlign w:val="bottom"/>
            <w:hideMark/>
          </w:tcPr>
          <w:p w14:paraId="430DC287"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2007-1995</w:t>
            </w:r>
          </w:p>
        </w:tc>
        <w:tc>
          <w:tcPr>
            <w:tcW w:w="1276" w:type="dxa"/>
            <w:tcBorders>
              <w:top w:val="nil"/>
              <w:left w:val="nil"/>
              <w:bottom w:val="single" w:sz="4" w:space="0" w:color="auto"/>
              <w:right w:val="nil"/>
            </w:tcBorders>
            <w:shd w:val="clear" w:color="auto" w:fill="auto"/>
            <w:noWrap/>
            <w:vAlign w:val="bottom"/>
            <w:hideMark/>
          </w:tcPr>
          <w:p w14:paraId="01EC981B"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-4,502.0</w:t>
            </w:r>
          </w:p>
        </w:tc>
        <w:tc>
          <w:tcPr>
            <w:tcW w:w="1417" w:type="dxa"/>
            <w:gridSpan w:val="2"/>
            <w:tcBorders>
              <w:top w:val="nil"/>
              <w:left w:val="nil"/>
              <w:bottom w:val="single" w:sz="4" w:space="0" w:color="auto"/>
              <w:right w:val="nil"/>
            </w:tcBorders>
            <w:shd w:val="clear" w:color="auto" w:fill="auto"/>
            <w:noWrap/>
            <w:vAlign w:val="bottom"/>
            <w:hideMark/>
          </w:tcPr>
          <w:p w14:paraId="6C93ECDE"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-15,020.0</w:t>
            </w:r>
          </w:p>
        </w:tc>
        <w:tc>
          <w:tcPr>
            <w:tcW w:w="1261" w:type="dxa"/>
            <w:gridSpan w:val="2"/>
            <w:tcBorders>
              <w:top w:val="nil"/>
              <w:left w:val="nil"/>
              <w:bottom w:val="single" w:sz="4" w:space="0" w:color="auto"/>
              <w:right w:val="nil"/>
            </w:tcBorders>
            <w:shd w:val="clear" w:color="auto" w:fill="auto"/>
            <w:noWrap/>
            <w:vAlign w:val="bottom"/>
            <w:hideMark/>
          </w:tcPr>
          <w:p w14:paraId="01F2EF2D"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1,006.1</w:t>
            </w:r>
          </w:p>
        </w:tc>
        <w:tc>
          <w:tcPr>
            <w:tcW w:w="1261" w:type="dxa"/>
            <w:tcBorders>
              <w:top w:val="nil"/>
              <w:left w:val="nil"/>
              <w:bottom w:val="single" w:sz="4" w:space="0" w:color="auto"/>
              <w:right w:val="nil"/>
            </w:tcBorders>
            <w:shd w:val="clear" w:color="auto" w:fill="auto"/>
            <w:noWrap/>
            <w:vAlign w:val="bottom"/>
            <w:hideMark/>
          </w:tcPr>
          <w:p w14:paraId="5FCE3264"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29,744.1</w:t>
            </w:r>
          </w:p>
        </w:tc>
        <w:tc>
          <w:tcPr>
            <w:tcW w:w="1432" w:type="dxa"/>
            <w:gridSpan w:val="3"/>
            <w:tcBorders>
              <w:top w:val="nil"/>
              <w:left w:val="nil"/>
              <w:bottom w:val="single" w:sz="4" w:space="0" w:color="auto"/>
              <w:right w:val="nil"/>
            </w:tcBorders>
            <w:shd w:val="clear" w:color="auto" w:fill="auto"/>
            <w:noWrap/>
            <w:vAlign w:val="bottom"/>
            <w:hideMark/>
          </w:tcPr>
          <w:p w14:paraId="04700425"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11,228.2</w:t>
            </w:r>
          </w:p>
        </w:tc>
        <w:tc>
          <w:tcPr>
            <w:tcW w:w="2178" w:type="dxa"/>
            <w:gridSpan w:val="2"/>
            <w:tcBorders>
              <w:top w:val="nil"/>
              <w:left w:val="nil"/>
              <w:bottom w:val="nil"/>
              <w:right w:val="nil"/>
            </w:tcBorders>
            <w:shd w:val="clear" w:color="auto" w:fill="auto"/>
            <w:noWrap/>
            <w:vAlign w:val="bottom"/>
            <w:hideMark/>
          </w:tcPr>
          <w:p w14:paraId="585BB371"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352509D3" w14:textId="77777777" w:rsidTr="00B52C55">
        <w:trPr>
          <w:trHeight w:val="300"/>
        </w:trPr>
        <w:tc>
          <w:tcPr>
            <w:tcW w:w="1353" w:type="dxa"/>
            <w:tcBorders>
              <w:top w:val="nil"/>
              <w:left w:val="nil"/>
              <w:bottom w:val="nil"/>
              <w:right w:val="nil"/>
            </w:tcBorders>
            <w:shd w:val="clear" w:color="auto" w:fill="auto"/>
            <w:noWrap/>
            <w:vAlign w:val="bottom"/>
            <w:hideMark/>
          </w:tcPr>
          <w:p w14:paraId="012D6BA0"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France</w:t>
            </w:r>
          </w:p>
        </w:tc>
        <w:tc>
          <w:tcPr>
            <w:tcW w:w="1276" w:type="dxa"/>
            <w:gridSpan w:val="2"/>
            <w:tcBorders>
              <w:top w:val="nil"/>
              <w:left w:val="nil"/>
              <w:bottom w:val="nil"/>
              <w:right w:val="nil"/>
            </w:tcBorders>
            <w:shd w:val="clear" w:color="auto" w:fill="auto"/>
            <w:noWrap/>
            <w:vAlign w:val="bottom"/>
            <w:hideMark/>
          </w:tcPr>
          <w:p w14:paraId="4686839C"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1999-1995</w:t>
            </w:r>
          </w:p>
        </w:tc>
        <w:tc>
          <w:tcPr>
            <w:tcW w:w="1276" w:type="dxa"/>
            <w:tcBorders>
              <w:top w:val="nil"/>
              <w:left w:val="nil"/>
              <w:bottom w:val="nil"/>
              <w:right w:val="nil"/>
            </w:tcBorders>
            <w:shd w:val="clear" w:color="auto" w:fill="auto"/>
            <w:noWrap/>
            <w:vAlign w:val="bottom"/>
            <w:hideMark/>
          </w:tcPr>
          <w:p w14:paraId="3173D123"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-3,067.7</w:t>
            </w:r>
          </w:p>
        </w:tc>
        <w:tc>
          <w:tcPr>
            <w:tcW w:w="1417" w:type="dxa"/>
            <w:gridSpan w:val="2"/>
            <w:tcBorders>
              <w:top w:val="nil"/>
              <w:left w:val="nil"/>
              <w:bottom w:val="nil"/>
              <w:right w:val="nil"/>
            </w:tcBorders>
            <w:shd w:val="clear" w:color="auto" w:fill="auto"/>
            <w:noWrap/>
            <w:vAlign w:val="bottom"/>
            <w:hideMark/>
          </w:tcPr>
          <w:p w14:paraId="432B0C5F"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-19,481.3</w:t>
            </w:r>
          </w:p>
        </w:tc>
        <w:tc>
          <w:tcPr>
            <w:tcW w:w="1261" w:type="dxa"/>
            <w:gridSpan w:val="2"/>
            <w:tcBorders>
              <w:top w:val="nil"/>
              <w:left w:val="nil"/>
              <w:bottom w:val="nil"/>
              <w:right w:val="nil"/>
            </w:tcBorders>
            <w:shd w:val="clear" w:color="auto" w:fill="auto"/>
            <w:noWrap/>
            <w:vAlign w:val="bottom"/>
            <w:hideMark/>
          </w:tcPr>
          <w:p w14:paraId="65867E7D"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-17,075.8</w:t>
            </w:r>
          </w:p>
        </w:tc>
        <w:tc>
          <w:tcPr>
            <w:tcW w:w="1261" w:type="dxa"/>
            <w:tcBorders>
              <w:top w:val="nil"/>
              <w:left w:val="nil"/>
              <w:bottom w:val="nil"/>
              <w:right w:val="nil"/>
            </w:tcBorders>
            <w:shd w:val="clear" w:color="auto" w:fill="auto"/>
            <w:noWrap/>
            <w:vAlign w:val="bottom"/>
            <w:hideMark/>
          </w:tcPr>
          <w:p w14:paraId="73AF636A"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57,713.4</w:t>
            </w:r>
          </w:p>
        </w:tc>
        <w:tc>
          <w:tcPr>
            <w:tcW w:w="1432" w:type="dxa"/>
            <w:gridSpan w:val="3"/>
            <w:tcBorders>
              <w:top w:val="nil"/>
              <w:left w:val="nil"/>
              <w:bottom w:val="nil"/>
              <w:right w:val="nil"/>
            </w:tcBorders>
            <w:shd w:val="clear" w:color="auto" w:fill="auto"/>
            <w:noWrap/>
            <w:vAlign w:val="bottom"/>
            <w:hideMark/>
          </w:tcPr>
          <w:p w14:paraId="2A85C9D4"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18,088.6</w:t>
            </w:r>
          </w:p>
        </w:tc>
        <w:tc>
          <w:tcPr>
            <w:tcW w:w="2178" w:type="dxa"/>
            <w:gridSpan w:val="2"/>
            <w:tcBorders>
              <w:top w:val="nil"/>
              <w:left w:val="nil"/>
              <w:bottom w:val="nil"/>
              <w:right w:val="nil"/>
            </w:tcBorders>
            <w:shd w:val="clear" w:color="auto" w:fill="auto"/>
            <w:noWrap/>
            <w:vAlign w:val="bottom"/>
            <w:hideMark/>
          </w:tcPr>
          <w:p w14:paraId="699C8847"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5AA64E58" w14:textId="77777777" w:rsidTr="00B52C55">
        <w:trPr>
          <w:trHeight w:val="300"/>
        </w:trPr>
        <w:tc>
          <w:tcPr>
            <w:tcW w:w="1353" w:type="dxa"/>
            <w:tcBorders>
              <w:top w:val="nil"/>
              <w:left w:val="nil"/>
              <w:bottom w:val="nil"/>
              <w:right w:val="nil"/>
            </w:tcBorders>
            <w:shd w:val="clear" w:color="auto" w:fill="auto"/>
            <w:noWrap/>
            <w:vAlign w:val="bottom"/>
            <w:hideMark/>
          </w:tcPr>
          <w:p w14:paraId="68F6AB0F"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5A0D3C42"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2003-1999</w:t>
            </w:r>
          </w:p>
        </w:tc>
        <w:tc>
          <w:tcPr>
            <w:tcW w:w="1276" w:type="dxa"/>
            <w:tcBorders>
              <w:top w:val="nil"/>
              <w:left w:val="nil"/>
              <w:bottom w:val="nil"/>
              <w:right w:val="nil"/>
            </w:tcBorders>
            <w:shd w:val="clear" w:color="auto" w:fill="auto"/>
            <w:noWrap/>
            <w:vAlign w:val="bottom"/>
            <w:hideMark/>
          </w:tcPr>
          <w:p w14:paraId="48CD99B3"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-30,469.9</w:t>
            </w:r>
          </w:p>
        </w:tc>
        <w:tc>
          <w:tcPr>
            <w:tcW w:w="1417" w:type="dxa"/>
            <w:gridSpan w:val="2"/>
            <w:tcBorders>
              <w:top w:val="nil"/>
              <w:left w:val="nil"/>
              <w:bottom w:val="nil"/>
              <w:right w:val="nil"/>
            </w:tcBorders>
            <w:shd w:val="clear" w:color="auto" w:fill="auto"/>
            <w:noWrap/>
            <w:vAlign w:val="bottom"/>
            <w:hideMark/>
          </w:tcPr>
          <w:p w14:paraId="128E4D2F"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-1,894.2</w:t>
            </w:r>
          </w:p>
        </w:tc>
        <w:tc>
          <w:tcPr>
            <w:tcW w:w="1261" w:type="dxa"/>
            <w:gridSpan w:val="2"/>
            <w:tcBorders>
              <w:top w:val="nil"/>
              <w:left w:val="nil"/>
              <w:bottom w:val="nil"/>
              <w:right w:val="nil"/>
            </w:tcBorders>
            <w:shd w:val="clear" w:color="auto" w:fill="auto"/>
            <w:noWrap/>
            <w:vAlign w:val="bottom"/>
            <w:hideMark/>
          </w:tcPr>
          <w:p w14:paraId="7833BFCA"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-23,707.9</w:t>
            </w:r>
          </w:p>
        </w:tc>
        <w:tc>
          <w:tcPr>
            <w:tcW w:w="1261" w:type="dxa"/>
            <w:tcBorders>
              <w:top w:val="nil"/>
              <w:left w:val="nil"/>
              <w:bottom w:val="nil"/>
              <w:right w:val="nil"/>
            </w:tcBorders>
            <w:shd w:val="clear" w:color="auto" w:fill="auto"/>
            <w:noWrap/>
            <w:vAlign w:val="bottom"/>
            <w:hideMark/>
          </w:tcPr>
          <w:p w14:paraId="74519FAA"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54,468.2</w:t>
            </w:r>
          </w:p>
        </w:tc>
        <w:tc>
          <w:tcPr>
            <w:tcW w:w="1432" w:type="dxa"/>
            <w:gridSpan w:val="3"/>
            <w:tcBorders>
              <w:top w:val="nil"/>
              <w:left w:val="nil"/>
              <w:bottom w:val="nil"/>
              <w:right w:val="nil"/>
            </w:tcBorders>
            <w:shd w:val="clear" w:color="auto" w:fill="auto"/>
            <w:noWrap/>
            <w:vAlign w:val="bottom"/>
            <w:hideMark/>
          </w:tcPr>
          <w:p w14:paraId="7A67438D"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-1,603.8</w:t>
            </w:r>
          </w:p>
        </w:tc>
        <w:tc>
          <w:tcPr>
            <w:tcW w:w="2178" w:type="dxa"/>
            <w:gridSpan w:val="2"/>
            <w:tcBorders>
              <w:top w:val="nil"/>
              <w:left w:val="nil"/>
              <w:bottom w:val="nil"/>
              <w:right w:val="nil"/>
            </w:tcBorders>
            <w:shd w:val="clear" w:color="auto" w:fill="auto"/>
            <w:noWrap/>
            <w:vAlign w:val="bottom"/>
            <w:hideMark/>
          </w:tcPr>
          <w:p w14:paraId="66976FBB"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04629E4F" w14:textId="77777777" w:rsidTr="00B52C55">
        <w:trPr>
          <w:trHeight w:val="300"/>
        </w:trPr>
        <w:tc>
          <w:tcPr>
            <w:tcW w:w="1353" w:type="dxa"/>
            <w:tcBorders>
              <w:top w:val="nil"/>
              <w:left w:val="nil"/>
              <w:bottom w:val="nil"/>
              <w:right w:val="nil"/>
            </w:tcBorders>
            <w:shd w:val="clear" w:color="auto" w:fill="auto"/>
            <w:noWrap/>
            <w:vAlign w:val="bottom"/>
            <w:hideMark/>
          </w:tcPr>
          <w:p w14:paraId="39187803"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7AC0D018"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2007-2003</w:t>
            </w:r>
          </w:p>
        </w:tc>
        <w:tc>
          <w:tcPr>
            <w:tcW w:w="1276" w:type="dxa"/>
            <w:tcBorders>
              <w:top w:val="nil"/>
              <w:left w:val="nil"/>
              <w:bottom w:val="nil"/>
              <w:right w:val="nil"/>
            </w:tcBorders>
            <w:shd w:val="clear" w:color="auto" w:fill="auto"/>
            <w:noWrap/>
            <w:vAlign w:val="bottom"/>
            <w:hideMark/>
          </w:tcPr>
          <w:p w14:paraId="51FC3416"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-15,583.8</w:t>
            </w:r>
          </w:p>
        </w:tc>
        <w:tc>
          <w:tcPr>
            <w:tcW w:w="1417" w:type="dxa"/>
            <w:gridSpan w:val="2"/>
            <w:tcBorders>
              <w:top w:val="nil"/>
              <w:left w:val="nil"/>
              <w:bottom w:val="nil"/>
              <w:right w:val="nil"/>
            </w:tcBorders>
            <w:shd w:val="clear" w:color="auto" w:fill="auto"/>
            <w:noWrap/>
            <w:vAlign w:val="bottom"/>
            <w:hideMark/>
          </w:tcPr>
          <w:p w14:paraId="53670423"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-42,968.1</w:t>
            </w:r>
          </w:p>
        </w:tc>
        <w:tc>
          <w:tcPr>
            <w:tcW w:w="1261" w:type="dxa"/>
            <w:gridSpan w:val="2"/>
            <w:tcBorders>
              <w:top w:val="nil"/>
              <w:left w:val="nil"/>
              <w:bottom w:val="nil"/>
              <w:right w:val="nil"/>
            </w:tcBorders>
            <w:shd w:val="clear" w:color="auto" w:fill="auto"/>
            <w:noWrap/>
            <w:vAlign w:val="bottom"/>
            <w:hideMark/>
          </w:tcPr>
          <w:p w14:paraId="32168BE1"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-35,986.3</w:t>
            </w:r>
          </w:p>
        </w:tc>
        <w:tc>
          <w:tcPr>
            <w:tcW w:w="1261" w:type="dxa"/>
            <w:tcBorders>
              <w:top w:val="nil"/>
              <w:left w:val="nil"/>
              <w:bottom w:val="nil"/>
              <w:right w:val="nil"/>
            </w:tcBorders>
            <w:shd w:val="clear" w:color="auto" w:fill="auto"/>
            <w:noWrap/>
            <w:vAlign w:val="bottom"/>
            <w:hideMark/>
          </w:tcPr>
          <w:p w14:paraId="2601166C"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73,346.4</w:t>
            </w:r>
          </w:p>
        </w:tc>
        <w:tc>
          <w:tcPr>
            <w:tcW w:w="1432" w:type="dxa"/>
            <w:gridSpan w:val="3"/>
            <w:tcBorders>
              <w:top w:val="nil"/>
              <w:left w:val="nil"/>
              <w:bottom w:val="nil"/>
              <w:right w:val="nil"/>
            </w:tcBorders>
            <w:shd w:val="clear" w:color="auto" w:fill="auto"/>
            <w:noWrap/>
            <w:vAlign w:val="bottom"/>
            <w:hideMark/>
          </w:tcPr>
          <w:p w14:paraId="12C6055A"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-21,191.7</w:t>
            </w:r>
          </w:p>
        </w:tc>
        <w:tc>
          <w:tcPr>
            <w:tcW w:w="2178" w:type="dxa"/>
            <w:gridSpan w:val="2"/>
            <w:tcBorders>
              <w:top w:val="nil"/>
              <w:left w:val="nil"/>
              <w:bottom w:val="nil"/>
              <w:right w:val="nil"/>
            </w:tcBorders>
            <w:shd w:val="clear" w:color="auto" w:fill="auto"/>
            <w:noWrap/>
            <w:vAlign w:val="bottom"/>
            <w:hideMark/>
          </w:tcPr>
          <w:p w14:paraId="51C8188C"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2D7D03CD" w14:textId="77777777" w:rsidTr="00B52C55">
        <w:trPr>
          <w:trHeight w:val="300"/>
        </w:trPr>
        <w:tc>
          <w:tcPr>
            <w:tcW w:w="1353" w:type="dxa"/>
            <w:tcBorders>
              <w:top w:val="nil"/>
              <w:left w:val="nil"/>
              <w:bottom w:val="single" w:sz="4" w:space="0" w:color="auto"/>
              <w:right w:val="nil"/>
            </w:tcBorders>
            <w:shd w:val="clear" w:color="auto" w:fill="auto"/>
            <w:noWrap/>
            <w:vAlign w:val="bottom"/>
            <w:hideMark/>
          </w:tcPr>
          <w:p w14:paraId="5660024E"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 </w:t>
            </w:r>
          </w:p>
        </w:tc>
        <w:tc>
          <w:tcPr>
            <w:tcW w:w="1276" w:type="dxa"/>
            <w:gridSpan w:val="2"/>
            <w:tcBorders>
              <w:top w:val="nil"/>
              <w:left w:val="nil"/>
              <w:bottom w:val="single" w:sz="4" w:space="0" w:color="auto"/>
              <w:right w:val="nil"/>
            </w:tcBorders>
            <w:shd w:val="clear" w:color="auto" w:fill="auto"/>
            <w:noWrap/>
            <w:vAlign w:val="bottom"/>
            <w:hideMark/>
          </w:tcPr>
          <w:p w14:paraId="3C4560B9"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2007-1995</w:t>
            </w:r>
          </w:p>
        </w:tc>
        <w:tc>
          <w:tcPr>
            <w:tcW w:w="1276" w:type="dxa"/>
            <w:tcBorders>
              <w:top w:val="nil"/>
              <w:left w:val="nil"/>
              <w:bottom w:val="single" w:sz="4" w:space="0" w:color="auto"/>
              <w:right w:val="nil"/>
            </w:tcBorders>
            <w:shd w:val="clear" w:color="auto" w:fill="auto"/>
            <w:noWrap/>
            <w:vAlign w:val="bottom"/>
            <w:hideMark/>
          </w:tcPr>
          <w:p w14:paraId="4C9C72BF"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-48,250.4</w:t>
            </w:r>
          </w:p>
        </w:tc>
        <w:tc>
          <w:tcPr>
            <w:tcW w:w="1417" w:type="dxa"/>
            <w:gridSpan w:val="2"/>
            <w:tcBorders>
              <w:top w:val="nil"/>
              <w:left w:val="nil"/>
              <w:bottom w:val="single" w:sz="4" w:space="0" w:color="auto"/>
              <w:right w:val="nil"/>
            </w:tcBorders>
            <w:shd w:val="clear" w:color="auto" w:fill="auto"/>
            <w:noWrap/>
            <w:vAlign w:val="bottom"/>
            <w:hideMark/>
          </w:tcPr>
          <w:p w14:paraId="28EAE58D"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-64,077.2</w:t>
            </w:r>
          </w:p>
        </w:tc>
        <w:tc>
          <w:tcPr>
            <w:tcW w:w="1261" w:type="dxa"/>
            <w:gridSpan w:val="2"/>
            <w:tcBorders>
              <w:top w:val="nil"/>
              <w:left w:val="nil"/>
              <w:bottom w:val="single" w:sz="4" w:space="0" w:color="auto"/>
              <w:right w:val="nil"/>
            </w:tcBorders>
            <w:shd w:val="clear" w:color="auto" w:fill="auto"/>
            <w:noWrap/>
            <w:vAlign w:val="bottom"/>
            <w:hideMark/>
          </w:tcPr>
          <w:p w14:paraId="567515BB"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-75,939.1</w:t>
            </w:r>
          </w:p>
        </w:tc>
        <w:tc>
          <w:tcPr>
            <w:tcW w:w="1261" w:type="dxa"/>
            <w:tcBorders>
              <w:top w:val="nil"/>
              <w:left w:val="nil"/>
              <w:bottom w:val="single" w:sz="4" w:space="0" w:color="auto"/>
              <w:right w:val="nil"/>
            </w:tcBorders>
            <w:shd w:val="clear" w:color="auto" w:fill="auto"/>
            <w:noWrap/>
            <w:vAlign w:val="bottom"/>
            <w:hideMark/>
          </w:tcPr>
          <w:p w14:paraId="64CF9A06"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183,559.9</w:t>
            </w:r>
          </w:p>
        </w:tc>
        <w:tc>
          <w:tcPr>
            <w:tcW w:w="1432" w:type="dxa"/>
            <w:gridSpan w:val="3"/>
            <w:tcBorders>
              <w:top w:val="nil"/>
              <w:left w:val="nil"/>
              <w:bottom w:val="single" w:sz="4" w:space="0" w:color="auto"/>
              <w:right w:val="nil"/>
            </w:tcBorders>
            <w:shd w:val="clear" w:color="auto" w:fill="auto"/>
            <w:noWrap/>
            <w:vAlign w:val="bottom"/>
            <w:hideMark/>
          </w:tcPr>
          <w:p w14:paraId="0B54B206"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-4,706.9</w:t>
            </w:r>
          </w:p>
        </w:tc>
        <w:tc>
          <w:tcPr>
            <w:tcW w:w="2178" w:type="dxa"/>
            <w:gridSpan w:val="2"/>
            <w:tcBorders>
              <w:top w:val="nil"/>
              <w:left w:val="nil"/>
              <w:bottom w:val="nil"/>
              <w:right w:val="nil"/>
            </w:tcBorders>
            <w:shd w:val="clear" w:color="auto" w:fill="auto"/>
            <w:noWrap/>
            <w:vAlign w:val="bottom"/>
            <w:hideMark/>
          </w:tcPr>
          <w:p w14:paraId="4B3E3B7D"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6648B413" w14:textId="77777777" w:rsidTr="00B52C55">
        <w:trPr>
          <w:trHeight w:val="300"/>
        </w:trPr>
        <w:tc>
          <w:tcPr>
            <w:tcW w:w="1353" w:type="dxa"/>
            <w:tcBorders>
              <w:top w:val="nil"/>
              <w:left w:val="nil"/>
              <w:bottom w:val="nil"/>
              <w:right w:val="nil"/>
            </w:tcBorders>
            <w:shd w:val="clear" w:color="auto" w:fill="auto"/>
            <w:noWrap/>
            <w:vAlign w:val="bottom"/>
            <w:hideMark/>
          </w:tcPr>
          <w:p w14:paraId="30079DB3"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Germany</w:t>
            </w:r>
          </w:p>
        </w:tc>
        <w:tc>
          <w:tcPr>
            <w:tcW w:w="1276" w:type="dxa"/>
            <w:gridSpan w:val="2"/>
            <w:tcBorders>
              <w:top w:val="nil"/>
              <w:left w:val="nil"/>
              <w:bottom w:val="nil"/>
              <w:right w:val="nil"/>
            </w:tcBorders>
            <w:shd w:val="clear" w:color="auto" w:fill="auto"/>
            <w:noWrap/>
            <w:vAlign w:val="bottom"/>
            <w:hideMark/>
          </w:tcPr>
          <w:p w14:paraId="2F39A7C8"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1999-1995</w:t>
            </w:r>
          </w:p>
        </w:tc>
        <w:tc>
          <w:tcPr>
            <w:tcW w:w="1276" w:type="dxa"/>
            <w:tcBorders>
              <w:top w:val="nil"/>
              <w:left w:val="nil"/>
              <w:bottom w:val="nil"/>
              <w:right w:val="nil"/>
            </w:tcBorders>
            <w:shd w:val="clear" w:color="auto" w:fill="auto"/>
            <w:noWrap/>
            <w:vAlign w:val="bottom"/>
            <w:hideMark/>
          </w:tcPr>
          <w:p w14:paraId="51E66FA2"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-35,196.8</w:t>
            </w:r>
          </w:p>
        </w:tc>
        <w:tc>
          <w:tcPr>
            <w:tcW w:w="1417" w:type="dxa"/>
            <w:gridSpan w:val="2"/>
            <w:tcBorders>
              <w:top w:val="nil"/>
              <w:left w:val="nil"/>
              <w:bottom w:val="nil"/>
              <w:right w:val="nil"/>
            </w:tcBorders>
            <w:shd w:val="clear" w:color="auto" w:fill="auto"/>
            <w:noWrap/>
            <w:vAlign w:val="bottom"/>
            <w:hideMark/>
          </w:tcPr>
          <w:p w14:paraId="10557ABD"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-60,159.5</w:t>
            </w:r>
          </w:p>
        </w:tc>
        <w:tc>
          <w:tcPr>
            <w:tcW w:w="1261" w:type="dxa"/>
            <w:gridSpan w:val="2"/>
            <w:tcBorders>
              <w:top w:val="nil"/>
              <w:left w:val="nil"/>
              <w:bottom w:val="nil"/>
              <w:right w:val="nil"/>
            </w:tcBorders>
            <w:shd w:val="clear" w:color="auto" w:fill="auto"/>
            <w:noWrap/>
            <w:vAlign w:val="bottom"/>
            <w:hideMark/>
          </w:tcPr>
          <w:p w14:paraId="3A5252D1"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-71,661.7</w:t>
            </w:r>
          </w:p>
        </w:tc>
        <w:tc>
          <w:tcPr>
            <w:tcW w:w="1261" w:type="dxa"/>
            <w:tcBorders>
              <w:top w:val="nil"/>
              <w:left w:val="nil"/>
              <w:bottom w:val="nil"/>
              <w:right w:val="nil"/>
            </w:tcBorders>
            <w:shd w:val="clear" w:color="auto" w:fill="auto"/>
            <w:noWrap/>
            <w:vAlign w:val="bottom"/>
            <w:hideMark/>
          </w:tcPr>
          <w:p w14:paraId="033FF193"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129,668.8</w:t>
            </w:r>
          </w:p>
        </w:tc>
        <w:tc>
          <w:tcPr>
            <w:tcW w:w="1432" w:type="dxa"/>
            <w:gridSpan w:val="3"/>
            <w:tcBorders>
              <w:top w:val="nil"/>
              <w:left w:val="nil"/>
              <w:bottom w:val="nil"/>
              <w:right w:val="nil"/>
            </w:tcBorders>
            <w:shd w:val="clear" w:color="auto" w:fill="auto"/>
            <w:noWrap/>
            <w:vAlign w:val="bottom"/>
            <w:hideMark/>
          </w:tcPr>
          <w:p w14:paraId="4723391E"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-37,349.3</w:t>
            </w:r>
          </w:p>
        </w:tc>
        <w:tc>
          <w:tcPr>
            <w:tcW w:w="2178" w:type="dxa"/>
            <w:gridSpan w:val="2"/>
            <w:tcBorders>
              <w:top w:val="nil"/>
              <w:left w:val="nil"/>
              <w:bottom w:val="nil"/>
              <w:right w:val="nil"/>
            </w:tcBorders>
            <w:shd w:val="clear" w:color="auto" w:fill="auto"/>
            <w:noWrap/>
            <w:vAlign w:val="bottom"/>
            <w:hideMark/>
          </w:tcPr>
          <w:p w14:paraId="2D530DE4"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5BF33C51" w14:textId="77777777" w:rsidTr="00B52C55">
        <w:trPr>
          <w:trHeight w:val="300"/>
        </w:trPr>
        <w:tc>
          <w:tcPr>
            <w:tcW w:w="1353" w:type="dxa"/>
            <w:tcBorders>
              <w:top w:val="nil"/>
              <w:left w:val="nil"/>
              <w:bottom w:val="nil"/>
              <w:right w:val="nil"/>
            </w:tcBorders>
            <w:shd w:val="clear" w:color="auto" w:fill="auto"/>
            <w:noWrap/>
            <w:vAlign w:val="bottom"/>
            <w:hideMark/>
          </w:tcPr>
          <w:p w14:paraId="0E312B5A"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0F58C522"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2003-1999</w:t>
            </w:r>
          </w:p>
        </w:tc>
        <w:tc>
          <w:tcPr>
            <w:tcW w:w="1276" w:type="dxa"/>
            <w:tcBorders>
              <w:top w:val="nil"/>
              <w:left w:val="nil"/>
              <w:bottom w:val="nil"/>
              <w:right w:val="nil"/>
            </w:tcBorders>
            <w:shd w:val="clear" w:color="auto" w:fill="auto"/>
            <w:noWrap/>
            <w:vAlign w:val="bottom"/>
            <w:hideMark/>
          </w:tcPr>
          <w:p w14:paraId="5B8F6DFC"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-31,947.9</w:t>
            </w:r>
          </w:p>
        </w:tc>
        <w:tc>
          <w:tcPr>
            <w:tcW w:w="1417" w:type="dxa"/>
            <w:gridSpan w:val="2"/>
            <w:tcBorders>
              <w:top w:val="nil"/>
              <w:left w:val="nil"/>
              <w:bottom w:val="nil"/>
              <w:right w:val="nil"/>
            </w:tcBorders>
            <w:shd w:val="clear" w:color="auto" w:fill="auto"/>
            <w:noWrap/>
            <w:vAlign w:val="bottom"/>
            <w:hideMark/>
          </w:tcPr>
          <w:p w14:paraId="287B4513"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5,062.7</w:t>
            </w:r>
          </w:p>
        </w:tc>
        <w:tc>
          <w:tcPr>
            <w:tcW w:w="1261" w:type="dxa"/>
            <w:gridSpan w:val="2"/>
            <w:tcBorders>
              <w:top w:val="nil"/>
              <w:left w:val="nil"/>
              <w:bottom w:val="nil"/>
              <w:right w:val="nil"/>
            </w:tcBorders>
            <w:shd w:val="clear" w:color="auto" w:fill="auto"/>
            <w:noWrap/>
            <w:vAlign w:val="bottom"/>
            <w:hideMark/>
          </w:tcPr>
          <w:p w14:paraId="1C15AC4B"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-79,970.5</w:t>
            </w:r>
          </w:p>
        </w:tc>
        <w:tc>
          <w:tcPr>
            <w:tcW w:w="1261" w:type="dxa"/>
            <w:tcBorders>
              <w:top w:val="nil"/>
              <w:left w:val="nil"/>
              <w:bottom w:val="nil"/>
              <w:right w:val="nil"/>
            </w:tcBorders>
            <w:shd w:val="clear" w:color="auto" w:fill="auto"/>
            <w:noWrap/>
            <w:vAlign w:val="bottom"/>
            <w:hideMark/>
          </w:tcPr>
          <w:p w14:paraId="067F6A2E"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118,103.0</w:t>
            </w:r>
          </w:p>
        </w:tc>
        <w:tc>
          <w:tcPr>
            <w:tcW w:w="1432" w:type="dxa"/>
            <w:gridSpan w:val="3"/>
            <w:tcBorders>
              <w:top w:val="nil"/>
              <w:left w:val="nil"/>
              <w:bottom w:val="nil"/>
              <w:right w:val="nil"/>
            </w:tcBorders>
            <w:shd w:val="clear" w:color="auto" w:fill="auto"/>
            <w:noWrap/>
            <w:vAlign w:val="bottom"/>
            <w:hideMark/>
          </w:tcPr>
          <w:p w14:paraId="61190B46"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11,247.2</w:t>
            </w:r>
          </w:p>
        </w:tc>
        <w:tc>
          <w:tcPr>
            <w:tcW w:w="2178" w:type="dxa"/>
            <w:gridSpan w:val="2"/>
            <w:tcBorders>
              <w:top w:val="nil"/>
              <w:left w:val="nil"/>
              <w:bottom w:val="nil"/>
              <w:right w:val="nil"/>
            </w:tcBorders>
            <w:shd w:val="clear" w:color="auto" w:fill="auto"/>
            <w:noWrap/>
            <w:vAlign w:val="bottom"/>
            <w:hideMark/>
          </w:tcPr>
          <w:p w14:paraId="18D26ED9"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788E3626" w14:textId="77777777" w:rsidTr="00B52C55">
        <w:trPr>
          <w:trHeight w:val="300"/>
        </w:trPr>
        <w:tc>
          <w:tcPr>
            <w:tcW w:w="1353" w:type="dxa"/>
            <w:tcBorders>
              <w:top w:val="nil"/>
              <w:left w:val="nil"/>
              <w:bottom w:val="nil"/>
              <w:right w:val="nil"/>
            </w:tcBorders>
            <w:shd w:val="clear" w:color="auto" w:fill="auto"/>
            <w:noWrap/>
            <w:vAlign w:val="bottom"/>
            <w:hideMark/>
          </w:tcPr>
          <w:p w14:paraId="1D5DE631"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36549575"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2007-2003</w:t>
            </w:r>
          </w:p>
        </w:tc>
        <w:tc>
          <w:tcPr>
            <w:tcW w:w="1276" w:type="dxa"/>
            <w:tcBorders>
              <w:top w:val="nil"/>
              <w:left w:val="nil"/>
              <w:bottom w:val="nil"/>
              <w:right w:val="nil"/>
            </w:tcBorders>
            <w:shd w:val="clear" w:color="auto" w:fill="auto"/>
            <w:noWrap/>
            <w:vAlign w:val="bottom"/>
            <w:hideMark/>
          </w:tcPr>
          <w:p w14:paraId="65F6710F"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-3,632.9</w:t>
            </w:r>
          </w:p>
        </w:tc>
        <w:tc>
          <w:tcPr>
            <w:tcW w:w="1417" w:type="dxa"/>
            <w:gridSpan w:val="2"/>
            <w:tcBorders>
              <w:top w:val="nil"/>
              <w:left w:val="nil"/>
              <w:bottom w:val="nil"/>
              <w:right w:val="nil"/>
            </w:tcBorders>
            <w:shd w:val="clear" w:color="auto" w:fill="auto"/>
            <w:noWrap/>
            <w:vAlign w:val="bottom"/>
            <w:hideMark/>
          </w:tcPr>
          <w:p w14:paraId="3A5C3832"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-116,083.7</w:t>
            </w:r>
          </w:p>
        </w:tc>
        <w:tc>
          <w:tcPr>
            <w:tcW w:w="1261" w:type="dxa"/>
            <w:gridSpan w:val="2"/>
            <w:tcBorders>
              <w:top w:val="nil"/>
              <w:left w:val="nil"/>
              <w:bottom w:val="nil"/>
              <w:right w:val="nil"/>
            </w:tcBorders>
            <w:shd w:val="clear" w:color="auto" w:fill="auto"/>
            <w:noWrap/>
            <w:vAlign w:val="bottom"/>
            <w:hideMark/>
          </w:tcPr>
          <w:p w14:paraId="7EE4B7A4"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-81,962.4</w:t>
            </w:r>
          </w:p>
        </w:tc>
        <w:tc>
          <w:tcPr>
            <w:tcW w:w="1261" w:type="dxa"/>
            <w:tcBorders>
              <w:top w:val="nil"/>
              <w:left w:val="nil"/>
              <w:bottom w:val="nil"/>
              <w:right w:val="nil"/>
            </w:tcBorders>
            <w:shd w:val="clear" w:color="auto" w:fill="auto"/>
            <w:noWrap/>
            <w:vAlign w:val="bottom"/>
            <w:hideMark/>
          </w:tcPr>
          <w:p w14:paraId="27661AD9"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160,887.7</w:t>
            </w:r>
          </w:p>
        </w:tc>
        <w:tc>
          <w:tcPr>
            <w:tcW w:w="1432" w:type="dxa"/>
            <w:gridSpan w:val="3"/>
            <w:tcBorders>
              <w:top w:val="nil"/>
              <w:left w:val="nil"/>
              <w:bottom w:val="nil"/>
              <w:right w:val="nil"/>
            </w:tcBorders>
            <w:shd w:val="clear" w:color="auto" w:fill="auto"/>
            <w:noWrap/>
            <w:vAlign w:val="bottom"/>
            <w:hideMark/>
          </w:tcPr>
          <w:p w14:paraId="1320AB82"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-40,791.3</w:t>
            </w:r>
          </w:p>
        </w:tc>
        <w:tc>
          <w:tcPr>
            <w:tcW w:w="2178" w:type="dxa"/>
            <w:gridSpan w:val="2"/>
            <w:tcBorders>
              <w:top w:val="nil"/>
              <w:left w:val="nil"/>
              <w:bottom w:val="nil"/>
              <w:right w:val="nil"/>
            </w:tcBorders>
            <w:shd w:val="clear" w:color="auto" w:fill="auto"/>
            <w:noWrap/>
            <w:vAlign w:val="bottom"/>
            <w:hideMark/>
          </w:tcPr>
          <w:p w14:paraId="6760684D"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2E0E276C" w14:textId="77777777" w:rsidTr="00B52C55">
        <w:trPr>
          <w:trHeight w:val="300"/>
        </w:trPr>
        <w:tc>
          <w:tcPr>
            <w:tcW w:w="1353" w:type="dxa"/>
            <w:tcBorders>
              <w:top w:val="nil"/>
              <w:left w:val="nil"/>
              <w:bottom w:val="single" w:sz="4" w:space="0" w:color="auto"/>
              <w:right w:val="nil"/>
            </w:tcBorders>
            <w:shd w:val="clear" w:color="auto" w:fill="auto"/>
            <w:noWrap/>
            <w:vAlign w:val="bottom"/>
            <w:hideMark/>
          </w:tcPr>
          <w:p w14:paraId="02C04A64"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 </w:t>
            </w:r>
          </w:p>
        </w:tc>
        <w:tc>
          <w:tcPr>
            <w:tcW w:w="1276" w:type="dxa"/>
            <w:gridSpan w:val="2"/>
            <w:tcBorders>
              <w:top w:val="nil"/>
              <w:left w:val="nil"/>
              <w:bottom w:val="single" w:sz="4" w:space="0" w:color="auto"/>
              <w:right w:val="nil"/>
            </w:tcBorders>
            <w:shd w:val="clear" w:color="auto" w:fill="auto"/>
            <w:noWrap/>
            <w:vAlign w:val="bottom"/>
            <w:hideMark/>
          </w:tcPr>
          <w:p w14:paraId="25F2981A"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2007-1995</w:t>
            </w:r>
          </w:p>
        </w:tc>
        <w:tc>
          <w:tcPr>
            <w:tcW w:w="1276" w:type="dxa"/>
            <w:tcBorders>
              <w:top w:val="nil"/>
              <w:left w:val="nil"/>
              <w:bottom w:val="single" w:sz="4" w:space="0" w:color="auto"/>
              <w:right w:val="nil"/>
            </w:tcBorders>
            <w:shd w:val="clear" w:color="auto" w:fill="auto"/>
            <w:noWrap/>
            <w:vAlign w:val="bottom"/>
            <w:hideMark/>
          </w:tcPr>
          <w:p w14:paraId="66C1D2A5"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-71,773.9</w:t>
            </w:r>
          </w:p>
        </w:tc>
        <w:tc>
          <w:tcPr>
            <w:tcW w:w="1417" w:type="dxa"/>
            <w:gridSpan w:val="2"/>
            <w:tcBorders>
              <w:top w:val="nil"/>
              <w:left w:val="nil"/>
              <w:bottom w:val="single" w:sz="4" w:space="0" w:color="auto"/>
              <w:right w:val="nil"/>
            </w:tcBorders>
            <w:shd w:val="clear" w:color="auto" w:fill="auto"/>
            <w:noWrap/>
            <w:vAlign w:val="bottom"/>
            <w:hideMark/>
          </w:tcPr>
          <w:p w14:paraId="34BAF370"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-175,418.9</w:t>
            </w:r>
          </w:p>
        </w:tc>
        <w:tc>
          <w:tcPr>
            <w:tcW w:w="1261" w:type="dxa"/>
            <w:gridSpan w:val="2"/>
            <w:tcBorders>
              <w:top w:val="nil"/>
              <w:left w:val="nil"/>
              <w:bottom w:val="single" w:sz="4" w:space="0" w:color="auto"/>
              <w:right w:val="nil"/>
            </w:tcBorders>
            <w:shd w:val="clear" w:color="auto" w:fill="auto"/>
            <w:noWrap/>
            <w:vAlign w:val="bottom"/>
            <w:hideMark/>
          </w:tcPr>
          <w:p w14:paraId="0319CDF5"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-238,283.9</w:t>
            </w:r>
          </w:p>
        </w:tc>
        <w:tc>
          <w:tcPr>
            <w:tcW w:w="1261" w:type="dxa"/>
            <w:tcBorders>
              <w:top w:val="nil"/>
              <w:left w:val="nil"/>
              <w:bottom w:val="single" w:sz="4" w:space="0" w:color="auto"/>
              <w:right w:val="nil"/>
            </w:tcBorders>
            <w:shd w:val="clear" w:color="auto" w:fill="auto"/>
            <w:noWrap/>
            <w:vAlign w:val="bottom"/>
            <w:hideMark/>
          </w:tcPr>
          <w:p w14:paraId="0FFEE14F"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418,583.4</w:t>
            </w:r>
          </w:p>
        </w:tc>
        <w:tc>
          <w:tcPr>
            <w:tcW w:w="1432" w:type="dxa"/>
            <w:gridSpan w:val="3"/>
            <w:tcBorders>
              <w:top w:val="nil"/>
              <w:left w:val="nil"/>
              <w:bottom w:val="single" w:sz="4" w:space="0" w:color="auto"/>
              <w:right w:val="nil"/>
            </w:tcBorders>
            <w:shd w:val="clear" w:color="auto" w:fill="auto"/>
            <w:noWrap/>
            <w:vAlign w:val="bottom"/>
            <w:hideMark/>
          </w:tcPr>
          <w:p w14:paraId="40165B1C"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-66,893.4</w:t>
            </w:r>
          </w:p>
        </w:tc>
        <w:tc>
          <w:tcPr>
            <w:tcW w:w="2178" w:type="dxa"/>
            <w:gridSpan w:val="2"/>
            <w:tcBorders>
              <w:top w:val="nil"/>
              <w:left w:val="nil"/>
              <w:bottom w:val="nil"/>
              <w:right w:val="nil"/>
            </w:tcBorders>
            <w:shd w:val="clear" w:color="auto" w:fill="auto"/>
            <w:noWrap/>
            <w:vAlign w:val="bottom"/>
            <w:hideMark/>
          </w:tcPr>
          <w:p w14:paraId="34B20F9F"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3A05A20A" w14:textId="77777777" w:rsidTr="00B52C55">
        <w:trPr>
          <w:trHeight w:val="300"/>
        </w:trPr>
        <w:tc>
          <w:tcPr>
            <w:tcW w:w="1353" w:type="dxa"/>
            <w:tcBorders>
              <w:top w:val="nil"/>
              <w:left w:val="nil"/>
              <w:bottom w:val="nil"/>
              <w:right w:val="nil"/>
            </w:tcBorders>
            <w:shd w:val="clear" w:color="auto" w:fill="auto"/>
            <w:noWrap/>
            <w:vAlign w:val="bottom"/>
            <w:hideMark/>
          </w:tcPr>
          <w:p w14:paraId="700B19D9"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Greece</w:t>
            </w:r>
          </w:p>
        </w:tc>
        <w:tc>
          <w:tcPr>
            <w:tcW w:w="1276" w:type="dxa"/>
            <w:gridSpan w:val="2"/>
            <w:tcBorders>
              <w:top w:val="nil"/>
              <w:left w:val="nil"/>
              <w:bottom w:val="nil"/>
              <w:right w:val="nil"/>
            </w:tcBorders>
            <w:shd w:val="clear" w:color="auto" w:fill="auto"/>
            <w:noWrap/>
            <w:vAlign w:val="bottom"/>
            <w:hideMark/>
          </w:tcPr>
          <w:p w14:paraId="74EB7BD6"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1999-1995</w:t>
            </w:r>
          </w:p>
        </w:tc>
        <w:tc>
          <w:tcPr>
            <w:tcW w:w="1276" w:type="dxa"/>
            <w:tcBorders>
              <w:top w:val="nil"/>
              <w:left w:val="nil"/>
              <w:bottom w:val="nil"/>
              <w:right w:val="nil"/>
            </w:tcBorders>
            <w:shd w:val="clear" w:color="auto" w:fill="auto"/>
            <w:noWrap/>
            <w:vAlign w:val="bottom"/>
            <w:hideMark/>
          </w:tcPr>
          <w:p w14:paraId="08FAB110"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-2,758.4</w:t>
            </w:r>
          </w:p>
        </w:tc>
        <w:tc>
          <w:tcPr>
            <w:tcW w:w="1417" w:type="dxa"/>
            <w:gridSpan w:val="2"/>
            <w:tcBorders>
              <w:top w:val="nil"/>
              <w:left w:val="nil"/>
              <w:bottom w:val="nil"/>
              <w:right w:val="nil"/>
            </w:tcBorders>
            <w:shd w:val="clear" w:color="auto" w:fill="auto"/>
            <w:noWrap/>
            <w:vAlign w:val="bottom"/>
            <w:hideMark/>
          </w:tcPr>
          <w:p w14:paraId="14677115"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2,357.3</w:t>
            </w:r>
          </w:p>
        </w:tc>
        <w:tc>
          <w:tcPr>
            <w:tcW w:w="1261" w:type="dxa"/>
            <w:gridSpan w:val="2"/>
            <w:tcBorders>
              <w:top w:val="nil"/>
              <w:left w:val="nil"/>
              <w:bottom w:val="nil"/>
              <w:right w:val="nil"/>
            </w:tcBorders>
            <w:shd w:val="clear" w:color="auto" w:fill="auto"/>
            <w:noWrap/>
            <w:vAlign w:val="bottom"/>
            <w:hideMark/>
          </w:tcPr>
          <w:p w14:paraId="5F69E3EE"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-1,213.2</w:t>
            </w:r>
          </w:p>
        </w:tc>
        <w:tc>
          <w:tcPr>
            <w:tcW w:w="1261" w:type="dxa"/>
            <w:tcBorders>
              <w:top w:val="nil"/>
              <w:left w:val="nil"/>
              <w:bottom w:val="nil"/>
              <w:right w:val="nil"/>
            </w:tcBorders>
            <w:shd w:val="clear" w:color="auto" w:fill="auto"/>
            <w:noWrap/>
            <w:vAlign w:val="bottom"/>
            <w:hideMark/>
          </w:tcPr>
          <w:p w14:paraId="7C5A0F3A"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12,783.3</w:t>
            </w:r>
          </w:p>
        </w:tc>
        <w:tc>
          <w:tcPr>
            <w:tcW w:w="1432" w:type="dxa"/>
            <w:gridSpan w:val="3"/>
            <w:tcBorders>
              <w:top w:val="nil"/>
              <w:left w:val="nil"/>
              <w:bottom w:val="nil"/>
              <w:right w:val="nil"/>
            </w:tcBorders>
            <w:shd w:val="clear" w:color="auto" w:fill="auto"/>
            <w:noWrap/>
            <w:vAlign w:val="bottom"/>
            <w:hideMark/>
          </w:tcPr>
          <w:p w14:paraId="2607283F"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11,169.0</w:t>
            </w:r>
          </w:p>
        </w:tc>
        <w:tc>
          <w:tcPr>
            <w:tcW w:w="2178" w:type="dxa"/>
            <w:gridSpan w:val="2"/>
            <w:tcBorders>
              <w:top w:val="nil"/>
              <w:left w:val="nil"/>
              <w:bottom w:val="nil"/>
              <w:right w:val="nil"/>
            </w:tcBorders>
            <w:shd w:val="clear" w:color="auto" w:fill="auto"/>
            <w:noWrap/>
            <w:vAlign w:val="bottom"/>
            <w:hideMark/>
          </w:tcPr>
          <w:p w14:paraId="7B9FBC3E"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1B34C4E2" w14:textId="77777777" w:rsidTr="00B52C55">
        <w:trPr>
          <w:trHeight w:val="300"/>
        </w:trPr>
        <w:tc>
          <w:tcPr>
            <w:tcW w:w="1353" w:type="dxa"/>
            <w:tcBorders>
              <w:top w:val="nil"/>
              <w:left w:val="nil"/>
              <w:bottom w:val="nil"/>
              <w:right w:val="nil"/>
            </w:tcBorders>
            <w:shd w:val="clear" w:color="auto" w:fill="auto"/>
            <w:noWrap/>
            <w:vAlign w:val="bottom"/>
            <w:hideMark/>
          </w:tcPr>
          <w:p w14:paraId="05263BDE"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26D36C25"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2003-1999</w:t>
            </w:r>
          </w:p>
        </w:tc>
        <w:tc>
          <w:tcPr>
            <w:tcW w:w="1276" w:type="dxa"/>
            <w:tcBorders>
              <w:top w:val="nil"/>
              <w:left w:val="nil"/>
              <w:bottom w:val="nil"/>
              <w:right w:val="nil"/>
            </w:tcBorders>
            <w:shd w:val="clear" w:color="auto" w:fill="auto"/>
            <w:noWrap/>
            <w:vAlign w:val="bottom"/>
            <w:hideMark/>
          </w:tcPr>
          <w:p w14:paraId="17E89FA3"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-9,364.5</w:t>
            </w:r>
          </w:p>
        </w:tc>
        <w:tc>
          <w:tcPr>
            <w:tcW w:w="1417" w:type="dxa"/>
            <w:gridSpan w:val="2"/>
            <w:tcBorders>
              <w:top w:val="nil"/>
              <w:left w:val="nil"/>
              <w:bottom w:val="nil"/>
              <w:right w:val="nil"/>
            </w:tcBorders>
            <w:shd w:val="clear" w:color="auto" w:fill="auto"/>
            <w:noWrap/>
            <w:vAlign w:val="bottom"/>
            <w:hideMark/>
          </w:tcPr>
          <w:p w14:paraId="5240DBAC"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2,546.7</w:t>
            </w:r>
          </w:p>
        </w:tc>
        <w:tc>
          <w:tcPr>
            <w:tcW w:w="1261" w:type="dxa"/>
            <w:gridSpan w:val="2"/>
            <w:tcBorders>
              <w:top w:val="nil"/>
              <w:left w:val="nil"/>
              <w:bottom w:val="nil"/>
              <w:right w:val="nil"/>
            </w:tcBorders>
            <w:shd w:val="clear" w:color="auto" w:fill="auto"/>
            <w:noWrap/>
            <w:vAlign w:val="bottom"/>
            <w:hideMark/>
          </w:tcPr>
          <w:p w14:paraId="1D383CD0"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4,971.1</w:t>
            </w:r>
          </w:p>
        </w:tc>
        <w:tc>
          <w:tcPr>
            <w:tcW w:w="1261" w:type="dxa"/>
            <w:tcBorders>
              <w:top w:val="nil"/>
              <w:left w:val="nil"/>
              <w:bottom w:val="nil"/>
              <w:right w:val="nil"/>
            </w:tcBorders>
            <w:shd w:val="clear" w:color="auto" w:fill="auto"/>
            <w:noWrap/>
            <w:vAlign w:val="bottom"/>
            <w:hideMark/>
          </w:tcPr>
          <w:p w14:paraId="1181BD8C"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13,283.0</w:t>
            </w:r>
          </w:p>
        </w:tc>
        <w:tc>
          <w:tcPr>
            <w:tcW w:w="1432" w:type="dxa"/>
            <w:gridSpan w:val="3"/>
            <w:tcBorders>
              <w:top w:val="nil"/>
              <w:left w:val="nil"/>
              <w:bottom w:val="nil"/>
              <w:right w:val="nil"/>
            </w:tcBorders>
            <w:shd w:val="clear" w:color="auto" w:fill="auto"/>
            <w:noWrap/>
            <w:vAlign w:val="bottom"/>
            <w:hideMark/>
          </w:tcPr>
          <w:p w14:paraId="3951705D"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11,436.4</w:t>
            </w:r>
          </w:p>
        </w:tc>
        <w:tc>
          <w:tcPr>
            <w:tcW w:w="2178" w:type="dxa"/>
            <w:gridSpan w:val="2"/>
            <w:tcBorders>
              <w:top w:val="nil"/>
              <w:left w:val="nil"/>
              <w:bottom w:val="nil"/>
              <w:right w:val="nil"/>
            </w:tcBorders>
            <w:shd w:val="clear" w:color="auto" w:fill="auto"/>
            <w:noWrap/>
            <w:vAlign w:val="bottom"/>
            <w:hideMark/>
          </w:tcPr>
          <w:p w14:paraId="045064B9"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63220CBF" w14:textId="77777777" w:rsidTr="00B52C55">
        <w:trPr>
          <w:trHeight w:val="300"/>
        </w:trPr>
        <w:tc>
          <w:tcPr>
            <w:tcW w:w="1353" w:type="dxa"/>
            <w:tcBorders>
              <w:top w:val="nil"/>
              <w:left w:val="nil"/>
              <w:bottom w:val="nil"/>
              <w:right w:val="nil"/>
            </w:tcBorders>
            <w:shd w:val="clear" w:color="auto" w:fill="auto"/>
            <w:noWrap/>
            <w:vAlign w:val="bottom"/>
            <w:hideMark/>
          </w:tcPr>
          <w:p w14:paraId="5271C401"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71793327"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2007-2003</w:t>
            </w:r>
          </w:p>
        </w:tc>
        <w:tc>
          <w:tcPr>
            <w:tcW w:w="1276" w:type="dxa"/>
            <w:tcBorders>
              <w:top w:val="nil"/>
              <w:left w:val="nil"/>
              <w:bottom w:val="nil"/>
              <w:right w:val="nil"/>
            </w:tcBorders>
            <w:shd w:val="clear" w:color="auto" w:fill="auto"/>
            <w:noWrap/>
            <w:vAlign w:val="bottom"/>
            <w:hideMark/>
          </w:tcPr>
          <w:p w14:paraId="51AC425F"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-10,829.2</w:t>
            </w:r>
          </w:p>
        </w:tc>
        <w:tc>
          <w:tcPr>
            <w:tcW w:w="1417" w:type="dxa"/>
            <w:gridSpan w:val="2"/>
            <w:tcBorders>
              <w:top w:val="nil"/>
              <w:left w:val="nil"/>
              <w:bottom w:val="nil"/>
              <w:right w:val="nil"/>
            </w:tcBorders>
            <w:shd w:val="clear" w:color="auto" w:fill="auto"/>
            <w:noWrap/>
            <w:vAlign w:val="bottom"/>
            <w:hideMark/>
          </w:tcPr>
          <w:p w14:paraId="587B233B"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-1,241.3</w:t>
            </w:r>
          </w:p>
        </w:tc>
        <w:tc>
          <w:tcPr>
            <w:tcW w:w="1261" w:type="dxa"/>
            <w:gridSpan w:val="2"/>
            <w:tcBorders>
              <w:top w:val="nil"/>
              <w:left w:val="nil"/>
              <w:bottom w:val="nil"/>
              <w:right w:val="nil"/>
            </w:tcBorders>
            <w:shd w:val="clear" w:color="auto" w:fill="auto"/>
            <w:noWrap/>
            <w:vAlign w:val="bottom"/>
            <w:hideMark/>
          </w:tcPr>
          <w:p w14:paraId="07037DC8"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-2,645.2</w:t>
            </w:r>
          </w:p>
        </w:tc>
        <w:tc>
          <w:tcPr>
            <w:tcW w:w="1261" w:type="dxa"/>
            <w:tcBorders>
              <w:top w:val="nil"/>
              <w:left w:val="nil"/>
              <w:bottom w:val="nil"/>
              <w:right w:val="nil"/>
            </w:tcBorders>
            <w:shd w:val="clear" w:color="auto" w:fill="auto"/>
            <w:noWrap/>
            <w:vAlign w:val="bottom"/>
            <w:hideMark/>
          </w:tcPr>
          <w:p w14:paraId="2BFD11FD"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19,850.9</w:t>
            </w:r>
          </w:p>
        </w:tc>
        <w:tc>
          <w:tcPr>
            <w:tcW w:w="1432" w:type="dxa"/>
            <w:gridSpan w:val="3"/>
            <w:tcBorders>
              <w:top w:val="nil"/>
              <w:left w:val="nil"/>
              <w:bottom w:val="nil"/>
              <w:right w:val="nil"/>
            </w:tcBorders>
            <w:shd w:val="clear" w:color="auto" w:fill="auto"/>
            <w:noWrap/>
            <w:vAlign w:val="bottom"/>
            <w:hideMark/>
          </w:tcPr>
          <w:p w14:paraId="26A7D075"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5,135.3</w:t>
            </w:r>
          </w:p>
        </w:tc>
        <w:tc>
          <w:tcPr>
            <w:tcW w:w="2178" w:type="dxa"/>
            <w:gridSpan w:val="2"/>
            <w:tcBorders>
              <w:top w:val="nil"/>
              <w:left w:val="nil"/>
              <w:bottom w:val="nil"/>
              <w:right w:val="nil"/>
            </w:tcBorders>
            <w:shd w:val="clear" w:color="auto" w:fill="auto"/>
            <w:noWrap/>
            <w:vAlign w:val="bottom"/>
            <w:hideMark/>
          </w:tcPr>
          <w:p w14:paraId="0EF4DF2A"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274CE619" w14:textId="77777777" w:rsidTr="00B52C55">
        <w:trPr>
          <w:trHeight w:val="300"/>
        </w:trPr>
        <w:tc>
          <w:tcPr>
            <w:tcW w:w="1353" w:type="dxa"/>
            <w:tcBorders>
              <w:top w:val="nil"/>
              <w:left w:val="nil"/>
              <w:bottom w:val="single" w:sz="4" w:space="0" w:color="auto"/>
              <w:right w:val="nil"/>
            </w:tcBorders>
            <w:shd w:val="clear" w:color="auto" w:fill="auto"/>
            <w:noWrap/>
            <w:vAlign w:val="bottom"/>
            <w:hideMark/>
          </w:tcPr>
          <w:p w14:paraId="2C4FE7F6"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 </w:t>
            </w:r>
          </w:p>
        </w:tc>
        <w:tc>
          <w:tcPr>
            <w:tcW w:w="1276" w:type="dxa"/>
            <w:gridSpan w:val="2"/>
            <w:tcBorders>
              <w:top w:val="nil"/>
              <w:left w:val="nil"/>
              <w:bottom w:val="single" w:sz="4" w:space="0" w:color="auto"/>
              <w:right w:val="nil"/>
            </w:tcBorders>
            <w:shd w:val="clear" w:color="auto" w:fill="auto"/>
            <w:noWrap/>
            <w:vAlign w:val="bottom"/>
            <w:hideMark/>
          </w:tcPr>
          <w:p w14:paraId="1082836A"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2007-1995</w:t>
            </w:r>
          </w:p>
        </w:tc>
        <w:tc>
          <w:tcPr>
            <w:tcW w:w="1276" w:type="dxa"/>
            <w:tcBorders>
              <w:top w:val="nil"/>
              <w:left w:val="nil"/>
              <w:bottom w:val="single" w:sz="4" w:space="0" w:color="auto"/>
              <w:right w:val="nil"/>
            </w:tcBorders>
            <w:shd w:val="clear" w:color="auto" w:fill="auto"/>
            <w:noWrap/>
            <w:vAlign w:val="bottom"/>
            <w:hideMark/>
          </w:tcPr>
          <w:p w14:paraId="79F83213"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-22,189.8</w:t>
            </w:r>
          </w:p>
        </w:tc>
        <w:tc>
          <w:tcPr>
            <w:tcW w:w="1417" w:type="dxa"/>
            <w:gridSpan w:val="2"/>
            <w:tcBorders>
              <w:top w:val="nil"/>
              <w:left w:val="nil"/>
              <w:bottom w:val="single" w:sz="4" w:space="0" w:color="auto"/>
              <w:right w:val="nil"/>
            </w:tcBorders>
            <w:shd w:val="clear" w:color="auto" w:fill="auto"/>
            <w:noWrap/>
            <w:vAlign w:val="bottom"/>
            <w:hideMark/>
          </w:tcPr>
          <w:p w14:paraId="41A6086D"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3,978.4</w:t>
            </w:r>
          </w:p>
        </w:tc>
        <w:tc>
          <w:tcPr>
            <w:tcW w:w="1261" w:type="dxa"/>
            <w:gridSpan w:val="2"/>
            <w:tcBorders>
              <w:top w:val="nil"/>
              <w:left w:val="nil"/>
              <w:bottom w:val="single" w:sz="4" w:space="0" w:color="auto"/>
              <w:right w:val="nil"/>
            </w:tcBorders>
            <w:shd w:val="clear" w:color="auto" w:fill="auto"/>
            <w:noWrap/>
            <w:vAlign w:val="bottom"/>
            <w:hideMark/>
          </w:tcPr>
          <w:p w14:paraId="199E0B73"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1,146.7</w:t>
            </w:r>
          </w:p>
        </w:tc>
        <w:tc>
          <w:tcPr>
            <w:tcW w:w="1261" w:type="dxa"/>
            <w:tcBorders>
              <w:top w:val="nil"/>
              <w:left w:val="nil"/>
              <w:bottom w:val="single" w:sz="4" w:space="0" w:color="auto"/>
              <w:right w:val="nil"/>
            </w:tcBorders>
            <w:shd w:val="clear" w:color="auto" w:fill="auto"/>
            <w:noWrap/>
            <w:vAlign w:val="bottom"/>
            <w:hideMark/>
          </w:tcPr>
          <w:p w14:paraId="5F2A0A0D"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44,805.4</w:t>
            </w:r>
          </w:p>
        </w:tc>
        <w:tc>
          <w:tcPr>
            <w:tcW w:w="1432" w:type="dxa"/>
            <w:gridSpan w:val="3"/>
            <w:tcBorders>
              <w:top w:val="nil"/>
              <w:left w:val="nil"/>
              <w:bottom w:val="single" w:sz="4" w:space="0" w:color="auto"/>
              <w:right w:val="nil"/>
            </w:tcBorders>
            <w:shd w:val="clear" w:color="auto" w:fill="auto"/>
            <w:noWrap/>
            <w:vAlign w:val="bottom"/>
            <w:hideMark/>
          </w:tcPr>
          <w:p w14:paraId="6AD0754E"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27,740.7</w:t>
            </w:r>
          </w:p>
        </w:tc>
        <w:tc>
          <w:tcPr>
            <w:tcW w:w="2178" w:type="dxa"/>
            <w:gridSpan w:val="2"/>
            <w:tcBorders>
              <w:top w:val="nil"/>
              <w:left w:val="nil"/>
              <w:bottom w:val="nil"/>
              <w:right w:val="nil"/>
            </w:tcBorders>
            <w:shd w:val="clear" w:color="auto" w:fill="auto"/>
            <w:noWrap/>
            <w:vAlign w:val="bottom"/>
            <w:hideMark/>
          </w:tcPr>
          <w:p w14:paraId="5A311058"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4D8C6C16" w14:textId="77777777" w:rsidTr="00B52C55">
        <w:trPr>
          <w:trHeight w:val="300"/>
        </w:trPr>
        <w:tc>
          <w:tcPr>
            <w:tcW w:w="1353" w:type="dxa"/>
            <w:tcBorders>
              <w:top w:val="nil"/>
              <w:left w:val="nil"/>
              <w:bottom w:val="nil"/>
              <w:right w:val="nil"/>
            </w:tcBorders>
            <w:shd w:val="clear" w:color="auto" w:fill="auto"/>
            <w:noWrap/>
            <w:vAlign w:val="bottom"/>
            <w:hideMark/>
          </w:tcPr>
          <w:p w14:paraId="4C2416A9"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Hungary</w:t>
            </w:r>
          </w:p>
        </w:tc>
        <w:tc>
          <w:tcPr>
            <w:tcW w:w="1276" w:type="dxa"/>
            <w:gridSpan w:val="2"/>
            <w:tcBorders>
              <w:top w:val="nil"/>
              <w:left w:val="nil"/>
              <w:bottom w:val="nil"/>
              <w:right w:val="nil"/>
            </w:tcBorders>
            <w:shd w:val="clear" w:color="auto" w:fill="auto"/>
            <w:noWrap/>
            <w:vAlign w:val="bottom"/>
            <w:hideMark/>
          </w:tcPr>
          <w:p w14:paraId="1F863979"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1999-1995</w:t>
            </w:r>
          </w:p>
        </w:tc>
        <w:tc>
          <w:tcPr>
            <w:tcW w:w="1276" w:type="dxa"/>
            <w:tcBorders>
              <w:top w:val="nil"/>
              <w:left w:val="nil"/>
              <w:bottom w:val="nil"/>
              <w:right w:val="nil"/>
            </w:tcBorders>
            <w:shd w:val="clear" w:color="auto" w:fill="auto"/>
            <w:noWrap/>
            <w:vAlign w:val="bottom"/>
            <w:hideMark/>
          </w:tcPr>
          <w:p w14:paraId="7B5795E5"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-4,647.2</w:t>
            </w:r>
          </w:p>
        </w:tc>
        <w:tc>
          <w:tcPr>
            <w:tcW w:w="1417" w:type="dxa"/>
            <w:gridSpan w:val="2"/>
            <w:tcBorders>
              <w:top w:val="nil"/>
              <w:left w:val="nil"/>
              <w:bottom w:val="nil"/>
              <w:right w:val="nil"/>
            </w:tcBorders>
            <w:shd w:val="clear" w:color="auto" w:fill="auto"/>
            <w:noWrap/>
            <w:vAlign w:val="bottom"/>
            <w:hideMark/>
          </w:tcPr>
          <w:p w14:paraId="6A1E6235"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-3,173.9</w:t>
            </w:r>
          </w:p>
        </w:tc>
        <w:tc>
          <w:tcPr>
            <w:tcW w:w="1261" w:type="dxa"/>
            <w:gridSpan w:val="2"/>
            <w:tcBorders>
              <w:top w:val="nil"/>
              <w:left w:val="nil"/>
              <w:bottom w:val="nil"/>
              <w:right w:val="nil"/>
            </w:tcBorders>
            <w:shd w:val="clear" w:color="auto" w:fill="auto"/>
            <w:noWrap/>
            <w:vAlign w:val="bottom"/>
            <w:hideMark/>
          </w:tcPr>
          <w:p w14:paraId="2AAA7A60"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-2,114.8</w:t>
            </w:r>
          </w:p>
        </w:tc>
        <w:tc>
          <w:tcPr>
            <w:tcW w:w="1261" w:type="dxa"/>
            <w:tcBorders>
              <w:top w:val="nil"/>
              <w:left w:val="nil"/>
              <w:bottom w:val="nil"/>
              <w:right w:val="nil"/>
            </w:tcBorders>
            <w:shd w:val="clear" w:color="auto" w:fill="auto"/>
            <w:noWrap/>
            <w:vAlign w:val="bottom"/>
            <w:hideMark/>
          </w:tcPr>
          <w:p w14:paraId="692576A9"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8,371.1</w:t>
            </w:r>
          </w:p>
        </w:tc>
        <w:tc>
          <w:tcPr>
            <w:tcW w:w="1432" w:type="dxa"/>
            <w:gridSpan w:val="3"/>
            <w:tcBorders>
              <w:top w:val="nil"/>
              <w:left w:val="nil"/>
              <w:bottom w:val="nil"/>
              <w:right w:val="nil"/>
            </w:tcBorders>
            <w:shd w:val="clear" w:color="auto" w:fill="auto"/>
            <w:noWrap/>
            <w:vAlign w:val="bottom"/>
            <w:hideMark/>
          </w:tcPr>
          <w:p w14:paraId="5D461DAA"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-1,564.8</w:t>
            </w:r>
          </w:p>
        </w:tc>
        <w:tc>
          <w:tcPr>
            <w:tcW w:w="2178" w:type="dxa"/>
            <w:gridSpan w:val="2"/>
            <w:tcBorders>
              <w:top w:val="nil"/>
              <w:left w:val="nil"/>
              <w:bottom w:val="nil"/>
              <w:right w:val="nil"/>
            </w:tcBorders>
            <w:shd w:val="clear" w:color="auto" w:fill="auto"/>
            <w:noWrap/>
            <w:vAlign w:val="bottom"/>
            <w:hideMark/>
          </w:tcPr>
          <w:p w14:paraId="65ECEEA7"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2FA434F6" w14:textId="77777777" w:rsidTr="00B52C55">
        <w:trPr>
          <w:trHeight w:val="300"/>
        </w:trPr>
        <w:tc>
          <w:tcPr>
            <w:tcW w:w="1353" w:type="dxa"/>
            <w:tcBorders>
              <w:top w:val="nil"/>
              <w:left w:val="nil"/>
              <w:bottom w:val="nil"/>
              <w:right w:val="nil"/>
            </w:tcBorders>
            <w:shd w:val="clear" w:color="auto" w:fill="auto"/>
            <w:noWrap/>
            <w:vAlign w:val="bottom"/>
            <w:hideMark/>
          </w:tcPr>
          <w:p w14:paraId="1F1B65A8"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79179374"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2003-1999</w:t>
            </w:r>
          </w:p>
        </w:tc>
        <w:tc>
          <w:tcPr>
            <w:tcW w:w="1276" w:type="dxa"/>
            <w:tcBorders>
              <w:top w:val="nil"/>
              <w:left w:val="nil"/>
              <w:bottom w:val="nil"/>
              <w:right w:val="nil"/>
            </w:tcBorders>
            <w:shd w:val="clear" w:color="auto" w:fill="auto"/>
            <w:noWrap/>
            <w:vAlign w:val="bottom"/>
            <w:hideMark/>
          </w:tcPr>
          <w:p w14:paraId="1880B68A"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2,250.4</w:t>
            </w:r>
          </w:p>
        </w:tc>
        <w:tc>
          <w:tcPr>
            <w:tcW w:w="1417" w:type="dxa"/>
            <w:gridSpan w:val="2"/>
            <w:tcBorders>
              <w:top w:val="nil"/>
              <w:left w:val="nil"/>
              <w:bottom w:val="nil"/>
              <w:right w:val="nil"/>
            </w:tcBorders>
            <w:shd w:val="clear" w:color="auto" w:fill="auto"/>
            <w:noWrap/>
            <w:vAlign w:val="bottom"/>
            <w:hideMark/>
          </w:tcPr>
          <w:p w14:paraId="1CE7871B"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-10,110.0</w:t>
            </w:r>
          </w:p>
        </w:tc>
        <w:tc>
          <w:tcPr>
            <w:tcW w:w="1261" w:type="dxa"/>
            <w:gridSpan w:val="2"/>
            <w:tcBorders>
              <w:top w:val="nil"/>
              <w:left w:val="nil"/>
              <w:bottom w:val="nil"/>
              <w:right w:val="nil"/>
            </w:tcBorders>
            <w:shd w:val="clear" w:color="auto" w:fill="auto"/>
            <w:noWrap/>
            <w:vAlign w:val="bottom"/>
            <w:hideMark/>
          </w:tcPr>
          <w:p w14:paraId="7936C868"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1,888.9</w:t>
            </w:r>
          </w:p>
        </w:tc>
        <w:tc>
          <w:tcPr>
            <w:tcW w:w="1261" w:type="dxa"/>
            <w:tcBorders>
              <w:top w:val="nil"/>
              <w:left w:val="nil"/>
              <w:bottom w:val="nil"/>
              <w:right w:val="nil"/>
            </w:tcBorders>
            <w:shd w:val="clear" w:color="auto" w:fill="auto"/>
            <w:noWrap/>
            <w:vAlign w:val="bottom"/>
            <w:hideMark/>
          </w:tcPr>
          <w:p w14:paraId="45B3476D"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7,760.9</w:t>
            </w:r>
          </w:p>
        </w:tc>
        <w:tc>
          <w:tcPr>
            <w:tcW w:w="1432" w:type="dxa"/>
            <w:gridSpan w:val="3"/>
            <w:tcBorders>
              <w:top w:val="nil"/>
              <w:left w:val="nil"/>
              <w:bottom w:val="nil"/>
              <w:right w:val="nil"/>
            </w:tcBorders>
            <w:shd w:val="clear" w:color="auto" w:fill="auto"/>
            <w:noWrap/>
            <w:vAlign w:val="bottom"/>
            <w:hideMark/>
          </w:tcPr>
          <w:p w14:paraId="09C7EE01"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1,790.3</w:t>
            </w:r>
          </w:p>
        </w:tc>
        <w:tc>
          <w:tcPr>
            <w:tcW w:w="2178" w:type="dxa"/>
            <w:gridSpan w:val="2"/>
            <w:tcBorders>
              <w:top w:val="nil"/>
              <w:left w:val="nil"/>
              <w:bottom w:val="nil"/>
              <w:right w:val="nil"/>
            </w:tcBorders>
            <w:shd w:val="clear" w:color="auto" w:fill="auto"/>
            <w:noWrap/>
            <w:vAlign w:val="bottom"/>
            <w:hideMark/>
          </w:tcPr>
          <w:p w14:paraId="560241D4"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5225F23D" w14:textId="77777777" w:rsidTr="00B52C55">
        <w:trPr>
          <w:trHeight w:val="300"/>
        </w:trPr>
        <w:tc>
          <w:tcPr>
            <w:tcW w:w="1353" w:type="dxa"/>
            <w:tcBorders>
              <w:top w:val="nil"/>
              <w:left w:val="nil"/>
              <w:bottom w:val="nil"/>
              <w:right w:val="nil"/>
            </w:tcBorders>
            <w:shd w:val="clear" w:color="auto" w:fill="auto"/>
            <w:noWrap/>
            <w:vAlign w:val="bottom"/>
            <w:hideMark/>
          </w:tcPr>
          <w:p w14:paraId="49909E21"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4C0F2CE2"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2007-2003</w:t>
            </w:r>
          </w:p>
        </w:tc>
        <w:tc>
          <w:tcPr>
            <w:tcW w:w="1276" w:type="dxa"/>
            <w:tcBorders>
              <w:top w:val="nil"/>
              <w:left w:val="nil"/>
              <w:bottom w:val="nil"/>
              <w:right w:val="nil"/>
            </w:tcBorders>
            <w:shd w:val="clear" w:color="auto" w:fill="auto"/>
            <w:noWrap/>
            <w:vAlign w:val="bottom"/>
            <w:hideMark/>
          </w:tcPr>
          <w:p w14:paraId="7D39AC38"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-2,304.2</w:t>
            </w:r>
          </w:p>
        </w:tc>
        <w:tc>
          <w:tcPr>
            <w:tcW w:w="1417" w:type="dxa"/>
            <w:gridSpan w:val="2"/>
            <w:tcBorders>
              <w:top w:val="nil"/>
              <w:left w:val="nil"/>
              <w:bottom w:val="nil"/>
              <w:right w:val="nil"/>
            </w:tcBorders>
            <w:shd w:val="clear" w:color="auto" w:fill="auto"/>
            <w:noWrap/>
            <w:vAlign w:val="bottom"/>
            <w:hideMark/>
          </w:tcPr>
          <w:p w14:paraId="2890E38C"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-7,145.2</w:t>
            </w:r>
          </w:p>
        </w:tc>
        <w:tc>
          <w:tcPr>
            <w:tcW w:w="1261" w:type="dxa"/>
            <w:gridSpan w:val="2"/>
            <w:tcBorders>
              <w:top w:val="nil"/>
              <w:left w:val="nil"/>
              <w:bottom w:val="nil"/>
              <w:right w:val="nil"/>
            </w:tcBorders>
            <w:shd w:val="clear" w:color="auto" w:fill="auto"/>
            <w:noWrap/>
            <w:vAlign w:val="bottom"/>
            <w:hideMark/>
          </w:tcPr>
          <w:p w14:paraId="5976276F"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-3,154.4</w:t>
            </w:r>
          </w:p>
        </w:tc>
        <w:tc>
          <w:tcPr>
            <w:tcW w:w="1261" w:type="dxa"/>
            <w:tcBorders>
              <w:top w:val="nil"/>
              <w:left w:val="nil"/>
              <w:bottom w:val="nil"/>
              <w:right w:val="nil"/>
            </w:tcBorders>
            <w:shd w:val="clear" w:color="auto" w:fill="auto"/>
            <w:noWrap/>
            <w:vAlign w:val="bottom"/>
            <w:hideMark/>
          </w:tcPr>
          <w:p w14:paraId="24D3A24B"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10,713.0</w:t>
            </w:r>
          </w:p>
        </w:tc>
        <w:tc>
          <w:tcPr>
            <w:tcW w:w="1432" w:type="dxa"/>
            <w:gridSpan w:val="3"/>
            <w:tcBorders>
              <w:top w:val="nil"/>
              <w:left w:val="nil"/>
              <w:bottom w:val="nil"/>
              <w:right w:val="nil"/>
            </w:tcBorders>
            <w:shd w:val="clear" w:color="auto" w:fill="auto"/>
            <w:noWrap/>
            <w:vAlign w:val="bottom"/>
            <w:hideMark/>
          </w:tcPr>
          <w:p w14:paraId="6605F055"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-1,890.8</w:t>
            </w:r>
          </w:p>
        </w:tc>
        <w:tc>
          <w:tcPr>
            <w:tcW w:w="2178" w:type="dxa"/>
            <w:gridSpan w:val="2"/>
            <w:tcBorders>
              <w:top w:val="nil"/>
              <w:left w:val="nil"/>
              <w:bottom w:val="nil"/>
              <w:right w:val="nil"/>
            </w:tcBorders>
            <w:shd w:val="clear" w:color="auto" w:fill="auto"/>
            <w:noWrap/>
            <w:vAlign w:val="bottom"/>
            <w:hideMark/>
          </w:tcPr>
          <w:p w14:paraId="0CE1EBF6"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1B66E0C4" w14:textId="77777777" w:rsidTr="00B52C55">
        <w:trPr>
          <w:trHeight w:val="300"/>
        </w:trPr>
        <w:tc>
          <w:tcPr>
            <w:tcW w:w="1353" w:type="dxa"/>
            <w:tcBorders>
              <w:top w:val="nil"/>
              <w:left w:val="nil"/>
              <w:bottom w:val="single" w:sz="4" w:space="0" w:color="auto"/>
              <w:right w:val="nil"/>
            </w:tcBorders>
            <w:shd w:val="clear" w:color="auto" w:fill="auto"/>
            <w:noWrap/>
            <w:vAlign w:val="bottom"/>
            <w:hideMark/>
          </w:tcPr>
          <w:p w14:paraId="14CAFF01"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 </w:t>
            </w:r>
          </w:p>
        </w:tc>
        <w:tc>
          <w:tcPr>
            <w:tcW w:w="1276" w:type="dxa"/>
            <w:gridSpan w:val="2"/>
            <w:tcBorders>
              <w:top w:val="nil"/>
              <w:left w:val="nil"/>
              <w:bottom w:val="single" w:sz="4" w:space="0" w:color="auto"/>
              <w:right w:val="nil"/>
            </w:tcBorders>
            <w:shd w:val="clear" w:color="auto" w:fill="auto"/>
            <w:noWrap/>
            <w:vAlign w:val="bottom"/>
            <w:hideMark/>
          </w:tcPr>
          <w:p w14:paraId="4AA591F8"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2007-1995</w:t>
            </w:r>
          </w:p>
        </w:tc>
        <w:tc>
          <w:tcPr>
            <w:tcW w:w="1276" w:type="dxa"/>
            <w:tcBorders>
              <w:top w:val="nil"/>
              <w:left w:val="nil"/>
              <w:bottom w:val="single" w:sz="4" w:space="0" w:color="auto"/>
              <w:right w:val="nil"/>
            </w:tcBorders>
            <w:shd w:val="clear" w:color="auto" w:fill="auto"/>
            <w:noWrap/>
            <w:vAlign w:val="bottom"/>
            <w:hideMark/>
          </w:tcPr>
          <w:p w14:paraId="4CDDB14F"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-4,813.9</w:t>
            </w:r>
          </w:p>
        </w:tc>
        <w:tc>
          <w:tcPr>
            <w:tcW w:w="1417" w:type="dxa"/>
            <w:gridSpan w:val="2"/>
            <w:tcBorders>
              <w:top w:val="nil"/>
              <w:left w:val="nil"/>
              <w:bottom w:val="single" w:sz="4" w:space="0" w:color="auto"/>
              <w:right w:val="nil"/>
            </w:tcBorders>
            <w:shd w:val="clear" w:color="auto" w:fill="auto"/>
            <w:noWrap/>
            <w:vAlign w:val="bottom"/>
            <w:hideMark/>
          </w:tcPr>
          <w:p w14:paraId="6FE7F1D9"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-20,839.9</w:t>
            </w:r>
          </w:p>
        </w:tc>
        <w:tc>
          <w:tcPr>
            <w:tcW w:w="1261" w:type="dxa"/>
            <w:gridSpan w:val="2"/>
            <w:tcBorders>
              <w:top w:val="nil"/>
              <w:left w:val="nil"/>
              <w:bottom w:val="single" w:sz="4" w:space="0" w:color="auto"/>
              <w:right w:val="nil"/>
            </w:tcBorders>
            <w:shd w:val="clear" w:color="auto" w:fill="auto"/>
            <w:noWrap/>
            <w:vAlign w:val="bottom"/>
            <w:hideMark/>
          </w:tcPr>
          <w:p w14:paraId="3035FCFB"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-3,458.3</w:t>
            </w:r>
          </w:p>
        </w:tc>
        <w:tc>
          <w:tcPr>
            <w:tcW w:w="1261" w:type="dxa"/>
            <w:tcBorders>
              <w:top w:val="nil"/>
              <w:left w:val="nil"/>
              <w:bottom w:val="single" w:sz="4" w:space="0" w:color="auto"/>
              <w:right w:val="nil"/>
            </w:tcBorders>
            <w:shd w:val="clear" w:color="auto" w:fill="auto"/>
            <w:noWrap/>
            <w:vAlign w:val="bottom"/>
            <w:hideMark/>
          </w:tcPr>
          <w:p w14:paraId="2236F96F"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27,446.7</w:t>
            </w:r>
          </w:p>
        </w:tc>
        <w:tc>
          <w:tcPr>
            <w:tcW w:w="1432" w:type="dxa"/>
            <w:gridSpan w:val="3"/>
            <w:tcBorders>
              <w:top w:val="nil"/>
              <w:left w:val="nil"/>
              <w:bottom w:val="single" w:sz="4" w:space="0" w:color="auto"/>
              <w:right w:val="nil"/>
            </w:tcBorders>
            <w:shd w:val="clear" w:color="auto" w:fill="auto"/>
            <w:noWrap/>
            <w:vAlign w:val="bottom"/>
            <w:hideMark/>
          </w:tcPr>
          <w:p w14:paraId="320BDF68"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-1,665.3</w:t>
            </w:r>
          </w:p>
        </w:tc>
        <w:tc>
          <w:tcPr>
            <w:tcW w:w="2178" w:type="dxa"/>
            <w:gridSpan w:val="2"/>
            <w:tcBorders>
              <w:top w:val="nil"/>
              <w:left w:val="nil"/>
              <w:bottom w:val="nil"/>
              <w:right w:val="nil"/>
            </w:tcBorders>
            <w:shd w:val="clear" w:color="auto" w:fill="auto"/>
            <w:noWrap/>
            <w:vAlign w:val="bottom"/>
            <w:hideMark/>
          </w:tcPr>
          <w:p w14:paraId="0C866895"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2DA97803" w14:textId="77777777" w:rsidTr="00B52C55">
        <w:trPr>
          <w:trHeight w:val="300"/>
        </w:trPr>
        <w:tc>
          <w:tcPr>
            <w:tcW w:w="1353" w:type="dxa"/>
            <w:tcBorders>
              <w:top w:val="nil"/>
              <w:left w:val="nil"/>
              <w:bottom w:val="nil"/>
              <w:right w:val="nil"/>
            </w:tcBorders>
            <w:shd w:val="clear" w:color="auto" w:fill="auto"/>
            <w:noWrap/>
            <w:vAlign w:val="bottom"/>
            <w:hideMark/>
          </w:tcPr>
          <w:p w14:paraId="54C9815D"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Indonesia</w:t>
            </w:r>
          </w:p>
        </w:tc>
        <w:tc>
          <w:tcPr>
            <w:tcW w:w="1276" w:type="dxa"/>
            <w:gridSpan w:val="2"/>
            <w:tcBorders>
              <w:top w:val="nil"/>
              <w:left w:val="nil"/>
              <w:bottom w:val="nil"/>
              <w:right w:val="nil"/>
            </w:tcBorders>
            <w:shd w:val="clear" w:color="auto" w:fill="auto"/>
            <w:noWrap/>
            <w:vAlign w:val="bottom"/>
            <w:hideMark/>
          </w:tcPr>
          <w:p w14:paraId="5174B589"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1999-1995</w:t>
            </w:r>
          </w:p>
        </w:tc>
        <w:tc>
          <w:tcPr>
            <w:tcW w:w="1276" w:type="dxa"/>
            <w:tcBorders>
              <w:top w:val="nil"/>
              <w:left w:val="nil"/>
              <w:bottom w:val="nil"/>
              <w:right w:val="nil"/>
            </w:tcBorders>
            <w:shd w:val="clear" w:color="auto" w:fill="auto"/>
            <w:noWrap/>
            <w:vAlign w:val="bottom"/>
            <w:hideMark/>
          </w:tcPr>
          <w:p w14:paraId="05652011"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18,494.0</w:t>
            </w:r>
          </w:p>
        </w:tc>
        <w:tc>
          <w:tcPr>
            <w:tcW w:w="1417" w:type="dxa"/>
            <w:gridSpan w:val="2"/>
            <w:tcBorders>
              <w:top w:val="nil"/>
              <w:left w:val="nil"/>
              <w:bottom w:val="nil"/>
              <w:right w:val="nil"/>
            </w:tcBorders>
            <w:shd w:val="clear" w:color="auto" w:fill="auto"/>
            <w:noWrap/>
            <w:vAlign w:val="bottom"/>
            <w:hideMark/>
          </w:tcPr>
          <w:p w14:paraId="138BD0BE"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49,489.2</w:t>
            </w:r>
          </w:p>
        </w:tc>
        <w:tc>
          <w:tcPr>
            <w:tcW w:w="1261" w:type="dxa"/>
            <w:gridSpan w:val="2"/>
            <w:tcBorders>
              <w:top w:val="nil"/>
              <w:left w:val="nil"/>
              <w:bottom w:val="nil"/>
              <w:right w:val="nil"/>
            </w:tcBorders>
            <w:shd w:val="clear" w:color="auto" w:fill="auto"/>
            <w:noWrap/>
            <w:vAlign w:val="bottom"/>
            <w:hideMark/>
          </w:tcPr>
          <w:p w14:paraId="75D3D513"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-37,387.2</w:t>
            </w:r>
          </w:p>
        </w:tc>
        <w:tc>
          <w:tcPr>
            <w:tcW w:w="1261" w:type="dxa"/>
            <w:tcBorders>
              <w:top w:val="nil"/>
              <w:left w:val="nil"/>
              <w:bottom w:val="nil"/>
              <w:right w:val="nil"/>
            </w:tcBorders>
            <w:shd w:val="clear" w:color="auto" w:fill="auto"/>
            <w:noWrap/>
            <w:vAlign w:val="bottom"/>
            <w:hideMark/>
          </w:tcPr>
          <w:p w14:paraId="5AA221C0"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34,279.4</w:t>
            </w:r>
          </w:p>
        </w:tc>
        <w:tc>
          <w:tcPr>
            <w:tcW w:w="1432" w:type="dxa"/>
            <w:gridSpan w:val="3"/>
            <w:tcBorders>
              <w:top w:val="nil"/>
              <w:left w:val="nil"/>
              <w:bottom w:val="nil"/>
              <w:right w:val="nil"/>
            </w:tcBorders>
            <w:shd w:val="clear" w:color="auto" w:fill="auto"/>
            <w:noWrap/>
            <w:vAlign w:val="bottom"/>
            <w:hideMark/>
          </w:tcPr>
          <w:p w14:paraId="18F5B9AA"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64,875.4</w:t>
            </w:r>
          </w:p>
        </w:tc>
        <w:tc>
          <w:tcPr>
            <w:tcW w:w="2178" w:type="dxa"/>
            <w:gridSpan w:val="2"/>
            <w:tcBorders>
              <w:top w:val="nil"/>
              <w:left w:val="nil"/>
              <w:bottom w:val="nil"/>
              <w:right w:val="nil"/>
            </w:tcBorders>
            <w:shd w:val="clear" w:color="auto" w:fill="auto"/>
            <w:noWrap/>
            <w:vAlign w:val="bottom"/>
            <w:hideMark/>
          </w:tcPr>
          <w:p w14:paraId="25E06C5A"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34E4FA2B" w14:textId="77777777" w:rsidTr="00B52C55">
        <w:trPr>
          <w:trHeight w:val="300"/>
        </w:trPr>
        <w:tc>
          <w:tcPr>
            <w:tcW w:w="1353" w:type="dxa"/>
            <w:tcBorders>
              <w:top w:val="nil"/>
              <w:left w:val="nil"/>
              <w:bottom w:val="nil"/>
              <w:right w:val="nil"/>
            </w:tcBorders>
            <w:shd w:val="clear" w:color="auto" w:fill="auto"/>
            <w:noWrap/>
            <w:vAlign w:val="bottom"/>
            <w:hideMark/>
          </w:tcPr>
          <w:p w14:paraId="596DD139"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65005225"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2003-1999</w:t>
            </w:r>
          </w:p>
        </w:tc>
        <w:tc>
          <w:tcPr>
            <w:tcW w:w="1276" w:type="dxa"/>
            <w:tcBorders>
              <w:top w:val="nil"/>
              <w:left w:val="nil"/>
              <w:bottom w:val="nil"/>
              <w:right w:val="nil"/>
            </w:tcBorders>
            <w:shd w:val="clear" w:color="auto" w:fill="auto"/>
            <w:noWrap/>
            <w:vAlign w:val="bottom"/>
            <w:hideMark/>
          </w:tcPr>
          <w:p w14:paraId="585C387F"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10,019.1</w:t>
            </w:r>
          </w:p>
        </w:tc>
        <w:tc>
          <w:tcPr>
            <w:tcW w:w="1417" w:type="dxa"/>
            <w:gridSpan w:val="2"/>
            <w:tcBorders>
              <w:top w:val="nil"/>
              <w:left w:val="nil"/>
              <w:bottom w:val="nil"/>
              <w:right w:val="nil"/>
            </w:tcBorders>
            <w:shd w:val="clear" w:color="auto" w:fill="auto"/>
            <w:noWrap/>
            <w:vAlign w:val="bottom"/>
            <w:hideMark/>
          </w:tcPr>
          <w:p w14:paraId="64F03EEB"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-1,339.0</w:t>
            </w:r>
          </w:p>
        </w:tc>
        <w:tc>
          <w:tcPr>
            <w:tcW w:w="1261" w:type="dxa"/>
            <w:gridSpan w:val="2"/>
            <w:tcBorders>
              <w:top w:val="nil"/>
              <w:left w:val="nil"/>
              <w:bottom w:val="nil"/>
              <w:right w:val="nil"/>
            </w:tcBorders>
            <w:shd w:val="clear" w:color="auto" w:fill="auto"/>
            <w:noWrap/>
            <w:vAlign w:val="bottom"/>
            <w:hideMark/>
          </w:tcPr>
          <w:p w14:paraId="6FAAB4F4"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14,294.4</w:t>
            </w:r>
          </w:p>
        </w:tc>
        <w:tc>
          <w:tcPr>
            <w:tcW w:w="1261" w:type="dxa"/>
            <w:tcBorders>
              <w:top w:val="nil"/>
              <w:left w:val="nil"/>
              <w:bottom w:val="nil"/>
              <w:right w:val="nil"/>
            </w:tcBorders>
            <w:shd w:val="clear" w:color="auto" w:fill="auto"/>
            <w:noWrap/>
            <w:vAlign w:val="bottom"/>
            <w:hideMark/>
          </w:tcPr>
          <w:p w14:paraId="02ECF0F3"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39,783.0</w:t>
            </w:r>
          </w:p>
        </w:tc>
        <w:tc>
          <w:tcPr>
            <w:tcW w:w="1432" w:type="dxa"/>
            <w:gridSpan w:val="3"/>
            <w:tcBorders>
              <w:top w:val="nil"/>
              <w:left w:val="nil"/>
              <w:bottom w:val="nil"/>
              <w:right w:val="nil"/>
            </w:tcBorders>
            <w:shd w:val="clear" w:color="auto" w:fill="auto"/>
            <w:noWrap/>
            <w:vAlign w:val="bottom"/>
            <w:hideMark/>
          </w:tcPr>
          <w:p w14:paraId="56E45AF0"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62,757.5</w:t>
            </w:r>
          </w:p>
        </w:tc>
        <w:tc>
          <w:tcPr>
            <w:tcW w:w="2178" w:type="dxa"/>
            <w:gridSpan w:val="2"/>
            <w:tcBorders>
              <w:top w:val="nil"/>
              <w:left w:val="nil"/>
              <w:bottom w:val="nil"/>
              <w:right w:val="nil"/>
            </w:tcBorders>
            <w:shd w:val="clear" w:color="auto" w:fill="auto"/>
            <w:noWrap/>
            <w:vAlign w:val="bottom"/>
            <w:hideMark/>
          </w:tcPr>
          <w:p w14:paraId="1181A007"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0A8250FC" w14:textId="77777777" w:rsidTr="00B52C55">
        <w:trPr>
          <w:trHeight w:val="300"/>
        </w:trPr>
        <w:tc>
          <w:tcPr>
            <w:tcW w:w="1353" w:type="dxa"/>
            <w:tcBorders>
              <w:top w:val="nil"/>
              <w:left w:val="nil"/>
              <w:bottom w:val="nil"/>
              <w:right w:val="nil"/>
            </w:tcBorders>
            <w:shd w:val="clear" w:color="auto" w:fill="auto"/>
            <w:noWrap/>
            <w:vAlign w:val="bottom"/>
            <w:hideMark/>
          </w:tcPr>
          <w:p w14:paraId="4F5E245A"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69A57DA4"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2007-2003</w:t>
            </w:r>
          </w:p>
        </w:tc>
        <w:tc>
          <w:tcPr>
            <w:tcW w:w="1276" w:type="dxa"/>
            <w:tcBorders>
              <w:top w:val="nil"/>
              <w:left w:val="nil"/>
              <w:bottom w:val="nil"/>
              <w:right w:val="nil"/>
            </w:tcBorders>
            <w:shd w:val="clear" w:color="auto" w:fill="auto"/>
            <w:noWrap/>
            <w:vAlign w:val="bottom"/>
            <w:hideMark/>
          </w:tcPr>
          <w:p w14:paraId="0CD1DA77"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15,774.3</w:t>
            </w:r>
          </w:p>
        </w:tc>
        <w:tc>
          <w:tcPr>
            <w:tcW w:w="1417" w:type="dxa"/>
            <w:gridSpan w:val="2"/>
            <w:tcBorders>
              <w:top w:val="nil"/>
              <w:left w:val="nil"/>
              <w:bottom w:val="nil"/>
              <w:right w:val="nil"/>
            </w:tcBorders>
            <w:shd w:val="clear" w:color="auto" w:fill="auto"/>
            <w:noWrap/>
            <w:vAlign w:val="bottom"/>
            <w:hideMark/>
          </w:tcPr>
          <w:p w14:paraId="69B6D18F"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-51,140.1</w:t>
            </w:r>
          </w:p>
        </w:tc>
        <w:tc>
          <w:tcPr>
            <w:tcW w:w="1261" w:type="dxa"/>
            <w:gridSpan w:val="2"/>
            <w:tcBorders>
              <w:top w:val="nil"/>
              <w:left w:val="nil"/>
              <w:bottom w:val="nil"/>
              <w:right w:val="nil"/>
            </w:tcBorders>
            <w:shd w:val="clear" w:color="auto" w:fill="auto"/>
            <w:noWrap/>
            <w:vAlign w:val="bottom"/>
            <w:hideMark/>
          </w:tcPr>
          <w:p w14:paraId="25923BFC"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15,457.2</w:t>
            </w:r>
          </w:p>
        </w:tc>
        <w:tc>
          <w:tcPr>
            <w:tcW w:w="1261" w:type="dxa"/>
            <w:tcBorders>
              <w:top w:val="nil"/>
              <w:left w:val="nil"/>
              <w:bottom w:val="nil"/>
              <w:right w:val="nil"/>
            </w:tcBorders>
            <w:shd w:val="clear" w:color="auto" w:fill="auto"/>
            <w:noWrap/>
            <w:vAlign w:val="bottom"/>
            <w:hideMark/>
          </w:tcPr>
          <w:p w14:paraId="7613EEA3"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64,754.2</w:t>
            </w:r>
          </w:p>
        </w:tc>
        <w:tc>
          <w:tcPr>
            <w:tcW w:w="1432" w:type="dxa"/>
            <w:gridSpan w:val="3"/>
            <w:tcBorders>
              <w:top w:val="nil"/>
              <w:left w:val="nil"/>
              <w:bottom w:val="nil"/>
              <w:right w:val="nil"/>
            </w:tcBorders>
            <w:shd w:val="clear" w:color="auto" w:fill="auto"/>
            <w:noWrap/>
            <w:vAlign w:val="bottom"/>
            <w:hideMark/>
          </w:tcPr>
          <w:p w14:paraId="75B6D6FA"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44,845.7</w:t>
            </w:r>
          </w:p>
        </w:tc>
        <w:tc>
          <w:tcPr>
            <w:tcW w:w="2178" w:type="dxa"/>
            <w:gridSpan w:val="2"/>
            <w:tcBorders>
              <w:top w:val="nil"/>
              <w:left w:val="nil"/>
              <w:bottom w:val="nil"/>
              <w:right w:val="nil"/>
            </w:tcBorders>
            <w:shd w:val="clear" w:color="auto" w:fill="auto"/>
            <w:noWrap/>
            <w:vAlign w:val="bottom"/>
            <w:hideMark/>
          </w:tcPr>
          <w:p w14:paraId="02622717"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199F7F5A" w14:textId="77777777" w:rsidTr="00B52C55">
        <w:trPr>
          <w:trHeight w:val="300"/>
        </w:trPr>
        <w:tc>
          <w:tcPr>
            <w:tcW w:w="1353" w:type="dxa"/>
            <w:tcBorders>
              <w:top w:val="nil"/>
              <w:left w:val="nil"/>
              <w:bottom w:val="single" w:sz="4" w:space="0" w:color="auto"/>
              <w:right w:val="nil"/>
            </w:tcBorders>
            <w:shd w:val="clear" w:color="auto" w:fill="auto"/>
            <w:noWrap/>
            <w:vAlign w:val="bottom"/>
            <w:hideMark/>
          </w:tcPr>
          <w:p w14:paraId="44698CCB"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 </w:t>
            </w:r>
          </w:p>
        </w:tc>
        <w:tc>
          <w:tcPr>
            <w:tcW w:w="1276" w:type="dxa"/>
            <w:gridSpan w:val="2"/>
            <w:tcBorders>
              <w:top w:val="nil"/>
              <w:left w:val="nil"/>
              <w:bottom w:val="single" w:sz="4" w:space="0" w:color="auto"/>
              <w:right w:val="nil"/>
            </w:tcBorders>
            <w:shd w:val="clear" w:color="auto" w:fill="auto"/>
            <w:noWrap/>
            <w:vAlign w:val="bottom"/>
            <w:hideMark/>
          </w:tcPr>
          <w:p w14:paraId="204B2FE4"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2007-1995</w:t>
            </w:r>
          </w:p>
        </w:tc>
        <w:tc>
          <w:tcPr>
            <w:tcW w:w="1276" w:type="dxa"/>
            <w:tcBorders>
              <w:top w:val="nil"/>
              <w:left w:val="nil"/>
              <w:bottom w:val="single" w:sz="4" w:space="0" w:color="auto"/>
              <w:right w:val="nil"/>
            </w:tcBorders>
            <w:shd w:val="clear" w:color="auto" w:fill="auto"/>
            <w:noWrap/>
            <w:vAlign w:val="bottom"/>
            <w:hideMark/>
          </w:tcPr>
          <w:p w14:paraId="7F78F473"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44,457.3</w:t>
            </w:r>
          </w:p>
        </w:tc>
        <w:tc>
          <w:tcPr>
            <w:tcW w:w="1417" w:type="dxa"/>
            <w:gridSpan w:val="2"/>
            <w:tcBorders>
              <w:top w:val="nil"/>
              <w:left w:val="nil"/>
              <w:bottom w:val="single" w:sz="4" w:space="0" w:color="auto"/>
              <w:right w:val="nil"/>
            </w:tcBorders>
            <w:shd w:val="clear" w:color="auto" w:fill="auto"/>
            <w:noWrap/>
            <w:vAlign w:val="bottom"/>
            <w:hideMark/>
          </w:tcPr>
          <w:p w14:paraId="5E46C993"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16,930.4</w:t>
            </w:r>
          </w:p>
        </w:tc>
        <w:tc>
          <w:tcPr>
            <w:tcW w:w="1261" w:type="dxa"/>
            <w:gridSpan w:val="2"/>
            <w:tcBorders>
              <w:top w:val="nil"/>
              <w:left w:val="nil"/>
              <w:bottom w:val="single" w:sz="4" w:space="0" w:color="auto"/>
              <w:right w:val="nil"/>
            </w:tcBorders>
            <w:shd w:val="clear" w:color="auto" w:fill="auto"/>
            <w:noWrap/>
            <w:vAlign w:val="bottom"/>
            <w:hideMark/>
          </w:tcPr>
          <w:p w14:paraId="5CAFF886"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-18,595.7</w:t>
            </w:r>
          </w:p>
        </w:tc>
        <w:tc>
          <w:tcPr>
            <w:tcW w:w="1261" w:type="dxa"/>
            <w:tcBorders>
              <w:top w:val="nil"/>
              <w:left w:val="nil"/>
              <w:bottom w:val="single" w:sz="4" w:space="0" w:color="auto"/>
              <w:right w:val="nil"/>
            </w:tcBorders>
            <w:shd w:val="clear" w:color="auto" w:fill="auto"/>
            <w:noWrap/>
            <w:vAlign w:val="bottom"/>
            <w:hideMark/>
          </w:tcPr>
          <w:p w14:paraId="65DE0AA3"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129,686.5</w:t>
            </w:r>
          </w:p>
        </w:tc>
        <w:tc>
          <w:tcPr>
            <w:tcW w:w="1432" w:type="dxa"/>
            <w:gridSpan w:val="3"/>
            <w:tcBorders>
              <w:top w:val="nil"/>
              <w:left w:val="nil"/>
              <w:bottom w:val="single" w:sz="4" w:space="0" w:color="auto"/>
              <w:right w:val="nil"/>
            </w:tcBorders>
            <w:shd w:val="clear" w:color="auto" w:fill="auto"/>
            <w:noWrap/>
            <w:vAlign w:val="bottom"/>
            <w:hideMark/>
          </w:tcPr>
          <w:p w14:paraId="124B06E1"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172,478.5</w:t>
            </w:r>
          </w:p>
        </w:tc>
        <w:tc>
          <w:tcPr>
            <w:tcW w:w="2178" w:type="dxa"/>
            <w:gridSpan w:val="2"/>
            <w:tcBorders>
              <w:top w:val="nil"/>
              <w:left w:val="nil"/>
              <w:bottom w:val="nil"/>
              <w:right w:val="nil"/>
            </w:tcBorders>
            <w:shd w:val="clear" w:color="auto" w:fill="auto"/>
            <w:noWrap/>
            <w:vAlign w:val="bottom"/>
            <w:hideMark/>
          </w:tcPr>
          <w:p w14:paraId="63539C49"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73840289" w14:textId="77777777" w:rsidTr="00B52C55">
        <w:trPr>
          <w:trHeight w:val="300"/>
        </w:trPr>
        <w:tc>
          <w:tcPr>
            <w:tcW w:w="1353" w:type="dxa"/>
            <w:tcBorders>
              <w:top w:val="nil"/>
              <w:left w:val="nil"/>
              <w:bottom w:val="nil"/>
              <w:right w:val="nil"/>
            </w:tcBorders>
            <w:shd w:val="clear" w:color="auto" w:fill="auto"/>
            <w:noWrap/>
            <w:vAlign w:val="bottom"/>
            <w:hideMark/>
          </w:tcPr>
          <w:p w14:paraId="16E56994"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Ireland</w:t>
            </w:r>
          </w:p>
        </w:tc>
        <w:tc>
          <w:tcPr>
            <w:tcW w:w="1276" w:type="dxa"/>
            <w:gridSpan w:val="2"/>
            <w:tcBorders>
              <w:top w:val="nil"/>
              <w:left w:val="nil"/>
              <w:bottom w:val="nil"/>
              <w:right w:val="nil"/>
            </w:tcBorders>
            <w:shd w:val="clear" w:color="auto" w:fill="auto"/>
            <w:noWrap/>
            <w:vAlign w:val="bottom"/>
            <w:hideMark/>
          </w:tcPr>
          <w:p w14:paraId="7A1009FC"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1999-1995</w:t>
            </w:r>
          </w:p>
        </w:tc>
        <w:tc>
          <w:tcPr>
            <w:tcW w:w="1276" w:type="dxa"/>
            <w:tcBorders>
              <w:top w:val="nil"/>
              <w:left w:val="nil"/>
              <w:bottom w:val="nil"/>
              <w:right w:val="nil"/>
            </w:tcBorders>
            <w:shd w:val="clear" w:color="auto" w:fill="auto"/>
            <w:noWrap/>
            <w:vAlign w:val="bottom"/>
            <w:hideMark/>
          </w:tcPr>
          <w:p w14:paraId="545C03BA"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-1,989.3</w:t>
            </w:r>
          </w:p>
        </w:tc>
        <w:tc>
          <w:tcPr>
            <w:tcW w:w="1417" w:type="dxa"/>
            <w:gridSpan w:val="2"/>
            <w:tcBorders>
              <w:top w:val="nil"/>
              <w:left w:val="nil"/>
              <w:bottom w:val="nil"/>
              <w:right w:val="nil"/>
            </w:tcBorders>
            <w:shd w:val="clear" w:color="auto" w:fill="auto"/>
            <w:noWrap/>
            <w:vAlign w:val="bottom"/>
            <w:hideMark/>
          </w:tcPr>
          <w:p w14:paraId="6907E816"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-6,176.4</w:t>
            </w:r>
          </w:p>
        </w:tc>
        <w:tc>
          <w:tcPr>
            <w:tcW w:w="1261" w:type="dxa"/>
            <w:gridSpan w:val="2"/>
            <w:tcBorders>
              <w:top w:val="nil"/>
              <w:left w:val="nil"/>
              <w:bottom w:val="nil"/>
              <w:right w:val="nil"/>
            </w:tcBorders>
            <w:shd w:val="clear" w:color="auto" w:fill="auto"/>
            <w:noWrap/>
            <w:vAlign w:val="bottom"/>
            <w:hideMark/>
          </w:tcPr>
          <w:p w14:paraId="6F5F74F2"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9,702.4</w:t>
            </w:r>
          </w:p>
        </w:tc>
        <w:tc>
          <w:tcPr>
            <w:tcW w:w="1261" w:type="dxa"/>
            <w:tcBorders>
              <w:top w:val="nil"/>
              <w:left w:val="nil"/>
              <w:bottom w:val="nil"/>
              <w:right w:val="nil"/>
            </w:tcBorders>
            <w:shd w:val="clear" w:color="auto" w:fill="auto"/>
            <w:noWrap/>
            <w:vAlign w:val="bottom"/>
            <w:hideMark/>
          </w:tcPr>
          <w:p w14:paraId="3C1669C4"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5,397.0</w:t>
            </w:r>
          </w:p>
        </w:tc>
        <w:tc>
          <w:tcPr>
            <w:tcW w:w="1432" w:type="dxa"/>
            <w:gridSpan w:val="3"/>
            <w:tcBorders>
              <w:top w:val="nil"/>
              <w:left w:val="nil"/>
              <w:bottom w:val="nil"/>
              <w:right w:val="nil"/>
            </w:tcBorders>
            <w:shd w:val="clear" w:color="auto" w:fill="auto"/>
            <w:noWrap/>
            <w:vAlign w:val="bottom"/>
            <w:hideMark/>
          </w:tcPr>
          <w:p w14:paraId="42E455CD"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6,933.8</w:t>
            </w:r>
          </w:p>
        </w:tc>
        <w:tc>
          <w:tcPr>
            <w:tcW w:w="2178" w:type="dxa"/>
            <w:gridSpan w:val="2"/>
            <w:tcBorders>
              <w:top w:val="nil"/>
              <w:left w:val="nil"/>
              <w:bottom w:val="nil"/>
              <w:right w:val="nil"/>
            </w:tcBorders>
            <w:shd w:val="clear" w:color="auto" w:fill="auto"/>
            <w:noWrap/>
            <w:vAlign w:val="bottom"/>
            <w:hideMark/>
          </w:tcPr>
          <w:p w14:paraId="4CBC6BE5"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4C2774E3" w14:textId="77777777" w:rsidTr="00B52C55">
        <w:trPr>
          <w:trHeight w:val="300"/>
        </w:trPr>
        <w:tc>
          <w:tcPr>
            <w:tcW w:w="1353" w:type="dxa"/>
            <w:tcBorders>
              <w:top w:val="nil"/>
              <w:left w:val="nil"/>
              <w:bottom w:val="nil"/>
              <w:right w:val="nil"/>
            </w:tcBorders>
            <w:shd w:val="clear" w:color="auto" w:fill="auto"/>
            <w:noWrap/>
            <w:vAlign w:val="bottom"/>
            <w:hideMark/>
          </w:tcPr>
          <w:p w14:paraId="2A623383"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145EF83E"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2003-1999</w:t>
            </w:r>
          </w:p>
        </w:tc>
        <w:tc>
          <w:tcPr>
            <w:tcW w:w="1276" w:type="dxa"/>
            <w:tcBorders>
              <w:top w:val="nil"/>
              <w:left w:val="nil"/>
              <w:bottom w:val="nil"/>
              <w:right w:val="nil"/>
            </w:tcBorders>
            <w:shd w:val="clear" w:color="auto" w:fill="auto"/>
            <w:noWrap/>
            <w:vAlign w:val="bottom"/>
            <w:hideMark/>
          </w:tcPr>
          <w:p w14:paraId="1A661939"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-2,530.8</w:t>
            </w:r>
          </w:p>
        </w:tc>
        <w:tc>
          <w:tcPr>
            <w:tcW w:w="1417" w:type="dxa"/>
            <w:gridSpan w:val="2"/>
            <w:tcBorders>
              <w:top w:val="nil"/>
              <w:left w:val="nil"/>
              <w:bottom w:val="nil"/>
              <w:right w:val="nil"/>
            </w:tcBorders>
            <w:shd w:val="clear" w:color="auto" w:fill="auto"/>
            <w:noWrap/>
            <w:vAlign w:val="bottom"/>
            <w:hideMark/>
          </w:tcPr>
          <w:p w14:paraId="59E26A1C"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-5,169.3</w:t>
            </w:r>
          </w:p>
        </w:tc>
        <w:tc>
          <w:tcPr>
            <w:tcW w:w="1261" w:type="dxa"/>
            <w:gridSpan w:val="2"/>
            <w:tcBorders>
              <w:top w:val="nil"/>
              <w:left w:val="nil"/>
              <w:bottom w:val="nil"/>
              <w:right w:val="nil"/>
            </w:tcBorders>
            <w:shd w:val="clear" w:color="auto" w:fill="auto"/>
            <w:noWrap/>
            <w:vAlign w:val="bottom"/>
            <w:hideMark/>
          </w:tcPr>
          <w:p w14:paraId="5E0D9C2C"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4,835.0</w:t>
            </w:r>
          </w:p>
        </w:tc>
        <w:tc>
          <w:tcPr>
            <w:tcW w:w="1261" w:type="dxa"/>
            <w:tcBorders>
              <w:top w:val="nil"/>
              <w:left w:val="nil"/>
              <w:bottom w:val="nil"/>
              <w:right w:val="nil"/>
            </w:tcBorders>
            <w:shd w:val="clear" w:color="auto" w:fill="auto"/>
            <w:noWrap/>
            <w:vAlign w:val="bottom"/>
            <w:hideMark/>
          </w:tcPr>
          <w:p w14:paraId="4B2D2252"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5,605.6</w:t>
            </w:r>
          </w:p>
        </w:tc>
        <w:tc>
          <w:tcPr>
            <w:tcW w:w="1432" w:type="dxa"/>
            <w:gridSpan w:val="3"/>
            <w:tcBorders>
              <w:top w:val="nil"/>
              <w:left w:val="nil"/>
              <w:bottom w:val="nil"/>
              <w:right w:val="nil"/>
            </w:tcBorders>
            <w:shd w:val="clear" w:color="auto" w:fill="auto"/>
            <w:noWrap/>
            <w:vAlign w:val="bottom"/>
            <w:hideMark/>
          </w:tcPr>
          <w:p w14:paraId="1D8A7191"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2,740.5</w:t>
            </w:r>
          </w:p>
        </w:tc>
        <w:tc>
          <w:tcPr>
            <w:tcW w:w="2178" w:type="dxa"/>
            <w:gridSpan w:val="2"/>
            <w:tcBorders>
              <w:top w:val="nil"/>
              <w:left w:val="nil"/>
              <w:bottom w:val="nil"/>
              <w:right w:val="nil"/>
            </w:tcBorders>
            <w:shd w:val="clear" w:color="auto" w:fill="auto"/>
            <w:noWrap/>
            <w:vAlign w:val="bottom"/>
            <w:hideMark/>
          </w:tcPr>
          <w:p w14:paraId="63338FFB"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7C917A89" w14:textId="77777777" w:rsidTr="00B52C55">
        <w:trPr>
          <w:trHeight w:val="300"/>
        </w:trPr>
        <w:tc>
          <w:tcPr>
            <w:tcW w:w="1353" w:type="dxa"/>
            <w:tcBorders>
              <w:top w:val="nil"/>
              <w:left w:val="nil"/>
              <w:bottom w:val="nil"/>
              <w:right w:val="nil"/>
            </w:tcBorders>
            <w:shd w:val="clear" w:color="auto" w:fill="auto"/>
            <w:noWrap/>
            <w:vAlign w:val="bottom"/>
            <w:hideMark/>
          </w:tcPr>
          <w:p w14:paraId="20BC071A"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686933BB"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2007-2003</w:t>
            </w:r>
          </w:p>
        </w:tc>
        <w:tc>
          <w:tcPr>
            <w:tcW w:w="1276" w:type="dxa"/>
            <w:tcBorders>
              <w:top w:val="nil"/>
              <w:left w:val="nil"/>
              <w:bottom w:val="nil"/>
              <w:right w:val="nil"/>
            </w:tcBorders>
            <w:shd w:val="clear" w:color="auto" w:fill="auto"/>
            <w:noWrap/>
            <w:vAlign w:val="bottom"/>
            <w:hideMark/>
          </w:tcPr>
          <w:p w14:paraId="26F26B1F"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-4,182.2</w:t>
            </w:r>
          </w:p>
        </w:tc>
        <w:tc>
          <w:tcPr>
            <w:tcW w:w="1417" w:type="dxa"/>
            <w:gridSpan w:val="2"/>
            <w:tcBorders>
              <w:top w:val="nil"/>
              <w:left w:val="nil"/>
              <w:bottom w:val="nil"/>
              <w:right w:val="nil"/>
            </w:tcBorders>
            <w:shd w:val="clear" w:color="auto" w:fill="auto"/>
            <w:noWrap/>
            <w:vAlign w:val="bottom"/>
            <w:hideMark/>
          </w:tcPr>
          <w:p w14:paraId="3D04441A"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-2,760.5</w:t>
            </w:r>
          </w:p>
        </w:tc>
        <w:tc>
          <w:tcPr>
            <w:tcW w:w="1261" w:type="dxa"/>
            <w:gridSpan w:val="2"/>
            <w:tcBorders>
              <w:top w:val="nil"/>
              <w:left w:val="nil"/>
              <w:bottom w:val="nil"/>
              <w:right w:val="nil"/>
            </w:tcBorders>
            <w:shd w:val="clear" w:color="auto" w:fill="auto"/>
            <w:noWrap/>
            <w:vAlign w:val="bottom"/>
            <w:hideMark/>
          </w:tcPr>
          <w:p w14:paraId="67B569FE"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1,156.3</w:t>
            </w:r>
          </w:p>
        </w:tc>
        <w:tc>
          <w:tcPr>
            <w:tcW w:w="1261" w:type="dxa"/>
            <w:tcBorders>
              <w:top w:val="nil"/>
              <w:left w:val="nil"/>
              <w:bottom w:val="nil"/>
              <w:right w:val="nil"/>
            </w:tcBorders>
            <w:shd w:val="clear" w:color="auto" w:fill="auto"/>
            <w:noWrap/>
            <w:vAlign w:val="bottom"/>
            <w:hideMark/>
          </w:tcPr>
          <w:p w14:paraId="35B0193B"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8,192.4</w:t>
            </w:r>
          </w:p>
        </w:tc>
        <w:tc>
          <w:tcPr>
            <w:tcW w:w="1432" w:type="dxa"/>
            <w:gridSpan w:val="3"/>
            <w:tcBorders>
              <w:top w:val="nil"/>
              <w:left w:val="nil"/>
              <w:bottom w:val="nil"/>
              <w:right w:val="nil"/>
            </w:tcBorders>
            <w:shd w:val="clear" w:color="auto" w:fill="auto"/>
            <w:noWrap/>
            <w:vAlign w:val="bottom"/>
            <w:hideMark/>
          </w:tcPr>
          <w:p w14:paraId="3FC4ABC0"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2,405.9</w:t>
            </w:r>
          </w:p>
        </w:tc>
        <w:tc>
          <w:tcPr>
            <w:tcW w:w="2178" w:type="dxa"/>
            <w:gridSpan w:val="2"/>
            <w:tcBorders>
              <w:top w:val="nil"/>
              <w:left w:val="nil"/>
              <w:bottom w:val="nil"/>
              <w:right w:val="nil"/>
            </w:tcBorders>
            <w:shd w:val="clear" w:color="auto" w:fill="auto"/>
            <w:noWrap/>
            <w:vAlign w:val="bottom"/>
            <w:hideMark/>
          </w:tcPr>
          <w:p w14:paraId="76FDAAE1"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3A08AE08" w14:textId="77777777" w:rsidTr="00B52C55">
        <w:trPr>
          <w:trHeight w:val="300"/>
        </w:trPr>
        <w:tc>
          <w:tcPr>
            <w:tcW w:w="1353" w:type="dxa"/>
            <w:tcBorders>
              <w:top w:val="nil"/>
              <w:left w:val="nil"/>
              <w:bottom w:val="single" w:sz="4" w:space="0" w:color="auto"/>
              <w:right w:val="nil"/>
            </w:tcBorders>
            <w:shd w:val="clear" w:color="auto" w:fill="auto"/>
            <w:noWrap/>
            <w:vAlign w:val="bottom"/>
            <w:hideMark/>
          </w:tcPr>
          <w:p w14:paraId="7416E343"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 </w:t>
            </w:r>
          </w:p>
        </w:tc>
        <w:tc>
          <w:tcPr>
            <w:tcW w:w="1276" w:type="dxa"/>
            <w:gridSpan w:val="2"/>
            <w:tcBorders>
              <w:top w:val="nil"/>
              <w:left w:val="nil"/>
              <w:bottom w:val="single" w:sz="4" w:space="0" w:color="auto"/>
              <w:right w:val="nil"/>
            </w:tcBorders>
            <w:shd w:val="clear" w:color="auto" w:fill="auto"/>
            <w:noWrap/>
            <w:vAlign w:val="bottom"/>
            <w:hideMark/>
          </w:tcPr>
          <w:p w14:paraId="2D19672B"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2007-1995</w:t>
            </w:r>
          </w:p>
        </w:tc>
        <w:tc>
          <w:tcPr>
            <w:tcW w:w="1276" w:type="dxa"/>
            <w:tcBorders>
              <w:top w:val="nil"/>
              <w:left w:val="nil"/>
              <w:bottom w:val="single" w:sz="4" w:space="0" w:color="auto"/>
              <w:right w:val="nil"/>
            </w:tcBorders>
            <w:shd w:val="clear" w:color="auto" w:fill="auto"/>
            <w:noWrap/>
            <w:vAlign w:val="bottom"/>
            <w:hideMark/>
          </w:tcPr>
          <w:p w14:paraId="4297B0C4"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-8,552.9</w:t>
            </w:r>
          </w:p>
        </w:tc>
        <w:tc>
          <w:tcPr>
            <w:tcW w:w="1417" w:type="dxa"/>
            <w:gridSpan w:val="2"/>
            <w:tcBorders>
              <w:top w:val="nil"/>
              <w:left w:val="nil"/>
              <w:bottom w:val="single" w:sz="4" w:space="0" w:color="auto"/>
              <w:right w:val="nil"/>
            </w:tcBorders>
            <w:shd w:val="clear" w:color="auto" w:fill="auto"/>
            <w:noWrap/>
            <w:vAlign w:val="bottom"/>
            <w:hideMark/>
          </w:tcPr>
          <w:p w14:paraId="5065285E"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-14,469.2</w:t>
            </w:r>
          </w:p>
        </w:tc>
        <w:tc>
          <w:tcPr>
            <w:tcW w:w="1261" w:type="dxa"/>
            <w:gridSpan w:val="2"/>
            <w:tcBorders>
              <w:top w:val="nil"/>
              <w:left w:val="nil"/>
              <w:bottom w:val="single" w:sz="4" w:space="0" w:color="auto"/>
              <w:right w:val="nil"/>
            </w:tcBorders>
            <w:shd w:val="clear" w:color="auto" w:fill="auto"/>
            <w:noWrap/>
            <w:vAlign w:val="bottom"/>
            <w:hideMark/>
          </w:tcPr>
          <w:p w14:paraId="53CA7DD5"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16,323.5</w:t>
            </w:r>
          </w:p>
        </w:tc>
        <w:tc>
          <w:tcPr>
            <w:tcW w:w="1261" w:type="dxa"/>
            <w:tcBorders>
              <w:top w:val="nil"/>
              <w:left w:val="nil"/>
              <w:bottom w:val="single" w:sz="4" w:space="0" w:color="auto"/>
              <w:right w:val="nil"/>
            </w:tcBorders>
            <w:shd w:val="clear" w:color="auto" w:fill="auto"/>
            <w:noWrap/>
            <w:vAlign w:val="bottom"/>
            <w:hideMark/>
          </w:tcPr>
          <w:p w14:paraId="1A4A2C7F"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18,778.8</w:t>
            </w:r>
          </w:p>
        </w:tc>
        <w:tc>
          <w:tcPr>
            <w:tcW w:w="1432" w:type="dxa"/>
            <w:gridSpan w:val="3"/>
            <w:tcBorders>
              <w:top w:val="nil"/>
              <w:left w:val="nil"/>
              <w:bottom w:val="single" w:sz="4" w:space="0" w:color="auto"/>
              <w:right w:val="nil"/>
            </w:tcBorders>
            <w:shd w:val="clear" w:color="auto" w:fill="auto"/>
            <w:noWrap/>
            <w:vAlign w:val="bottom"/>
            <w:hideMark/>
          </w:tcPr>
          <w:p w14:paraId="2A99CEFE"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12,080.1</w:t>
            </w:r>
          </w:p>
        </w:tc>
        <w:tc>
          <w:tcPr>
            <w:tcW w:w="2178" w:type="dxa"/>
            <w:gridSpan w:val="2"/>
            <w:tcBorders>
              <w:top w:val="nil"/>
              <w:left w:val="nil"/>
              <w:bottom w:val="nil"/>
              <w:right w:val="nil"/>
            </w:tcBorders>
            <w:shd w:val="clear" w:color="auto" w:fill="auto"/>
            <w:noWrap/>
            <w:vAlign w:val="bottom"/>
            <w:hideMark/>
          </w:tcPr>
          <w:p w14:paraId="69A6AB5B"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5723EF0E" w14:textId="77777777" w:rsidTr="00B52C55">
        <w:trPr>
          <w:trHeight w:val="300"/>
        </w:trPr>
        <w:tc>
          <w:tcPr>
            <w:tcW w:w="1353" w:type="dxa"/>
            <w:tcBorders>
              <w:top w:val="nil"/>
              <w:left w:val="nil"/>
              <w:bottom w:val="nil"/>
              <w:right w:val="nil"/>
            </w:tcBorders>
            <w:shd w:val="clear" w:color="auto" w:fill="auto"/>
            <w:noWrap/>
            <w:vAlign w:val="bottom"/>
            <w:hideMark/>
          </w:tcPr>
          <w:p w14:paraId="7A0938ED"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Italy</w:t>
            </w:r>
          </w:p>
        </w:tc>
        <w:tc>
          <w:tcPr>
            <w:tcW w:w="1276" w:type="dxa"/>
            <w:gridSpan w:val="2"/>
            <w:tcBorders>
              <w:top w:val="nil"/>
              <w:left w:val="nil"/>
              <w:bottom w:val="nil"/>
              <w:right w:val="nil"/>
            </w:tcBorders>
            <w:shd w:val="clear" w:color="auto" w:fill="auto"/>
            <w:noWrap/>
            <w:vAlign w:val="bottom"/>
            <w:hideMark/>
          </w:tcPr>
          <w:p w14:paraId="4ED9DC00"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1999-1995</w:t>
            </w:r>
          </w:p>
        </w:tc>
        <w:tc>
          <w:tcPr>
            <w:tcW w:w="1276" w:type="dxa"/>
            <w:tcBorders>
              <w:top w:val="nil"/>
              <w:left w:val="nil"/>
              <w:bottom w:val="nil"/>
              <w:right w:val="nil"/>
            </w:tcBorders>
            <w:shd w:val="clear" w:color="auto" w:fill="auto"/>
            <w:noWrap/>
            <w:vAlign w:val="bottom"/>
            <w:hideMark/>
          </w:tcPr>
          <w:p w14:paraId="16D9C83D"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-16,000.6</w:t>
            </w:r>
          </w:p>
        </w:tc>
        <w:tc>
          <w:tcPr>
            <w:tcW w:w="1417" w:type="dxa"/>
            <w:gridSpan w:val="2"/>
            <w:tcBorders>
              <w:top w:val="nil"/>
              <w:left w:val="nil"/>
              <w:bottom w:val="nil"/>
              <w:right w:val="nil"/>
            </w:tcBorders>
            <w:shd w:val="clear" w:color="auto" w:fill="auto"/>
            <w:noWrap/>
            <w:vAlign w:val="bottom"/>
            <w:hideMark/>
          </w:tcPr>
          <w:p w14:paraId="3BE396A4"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4,899.3</w:t>
            </w:r>
          </w:p>
        </w:tc>
        <w:tc>
          <w:tcPr>
            <w:tcW w:w="1261" w:type="dxa"/>
            <w:gridSpan w:val="2"/>
            <w:tcBorders>
              <w:top w:val="nil"/>
              <w:left w:val="nil"/>
              <w:bottom w:val="nil"/>
              <w:right w:val="nil"/>
            </w:tcBorders>
            <w:shd w:val="clear" w:color="auto" w:fill="auto"/>
            <w:noWrap/>
            <w:vAlign w:val="bottom"/>
            <w:hideMark/>
          </w:tcPr>
          <w:p w14:paraId="2516DA30"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-37,239.8</w:t>
            </w:r>
          </w:p>
        </w:tc>
        <w:tc>
          <w:tcPr>
            <w:tcW w:w="1261" w:type="dxa"/>
            <w:tcBorders>
              <w:top w:val="nil"/>
              <w:left w:val="nil"/>
              <w:bottom w:val="nil"/>
              <w:right w:val="nil"/>
            </w:tcBorders>
            <w:shd w:val="clear" w:color="auto" w:fill="auto"/>
            <w:noWrap/>
            <w:vAlign w:val="bottom"/>
            <w:hideMark/>
          </w:tcPr>
          <w:p w14:paraId="78BD1749"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64,336.6</w:t>
            </w:r>
          </w:p>
        </w:tc>
        <w:tc>
          <w:tcPr>
            <w:tcW w:w="1432" w:type="dxa"/>
            <w:gridSpan w:val="3"/>
            <w:tcBorders>
              <w:top w:val="nil"/>
              <w:left w:val="nil"/>
              <w:bottom w:val="nil"/>
              <w:right w:val="nil"/>
            </w:tcBorders>
            <w:shd w:val="clear" w:color="auto" w:fill="auto"/>
            <w:noWrap/>
            <w:vAlign w:val="bottom"/>
            <w:hideMark/>
          </w:tcPr>
          <w:p w14:paraId="09334009"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15,995.6</w:t>
            </w:r>
          </w:p>
        </w:tc>
        <w:tc>
          <w:tcPr>
            <w:tcW w:w="2178" w:type="dxa"/>
            <w:gridSpan w:val="2"/>
            <w:tcBorders>
              <w:top w:val="nil"/>
              <w:left w:val="nil"/>
              <w:bottom w:val="nil"/>
              <w:right w:val="nil"/>
            </w:tcBorders>
            <w:shd w:val="clear" w:color="auto" w:fill="auto"/>
            <w:noWrap/>
            <w:vAlign w:val="bottom"/>
            <w:hideMark/>
          </w:tcPr>
          <w:p w14:paraId="0E2C5E22"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22FEFE83" w14:textId="77777777" w:rsidTr="00B52C55">
        <w:trPr>
          <w:trHeight w:val="300"/>
        </w:trPr>
        <w:tc>
          <w:tcPr>
            <w:tcW w:w="1353" w:type="dxa"/>
            <w:tcBorders>
              <w:top w:val="nil"/>
              <w:left w:val="nil"/>
              <w:bottom w:val="nil"/>
              <w:right w:val="nil"/>
            </w:tcBorders>
            <w:shd w:val="clear" w:color="auto" w:fill="auto"/>
            <w:noWrap/>
            <w:vAlign w:val="bottom"/>
            <w:hideMark/>
          </w:tcPr>
          <w:p w14:paraId="1896C87A"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6B95A25F"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2003-1999</w:t>
            </w:r>
          </w:p>
        </w:tc>
        <w:tc>
          <w:tcPr>
            <w:tcW w:w="1276" w:type="dxa"/>
            <w:tcBorders>
              <w:top w:val="nil"/>
              <w:left w:val="nil"/>
              <w:bottom w:val="nil"/>
              <w:right w:val="nil"/>
            </w:tcBorders>
            <w:shd w:val="clear" w:color="auto" w:fill="auto"/>
            <w:noWrap/>
            <w:vAlign w:val="bottom"/>
            <w:hideMark/>
          </w:tcPr>
          <w:p w14:paraId="6682FD3D"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-6,345.7</w:t>
            </w:r>
          </w:p>
        </w:tc>
        <w:tc>
          <w:tcPr>
            <w:tcW w:w="1417" w:type="dxa"/>
            <w:gridSpan w:val="2"/>
            <w:tcBorders>
              <w:top w:val="nil"/>
              <w:left w:val="nil"/>
              <w:bottom w:val="nil"/>
              <w:right w:val="nil"/>
            </w:tcBorders>
            <w:shd w:val="clear" w:color="auto" w:fill="auto"/>
            <w:noWrap/>
            <w:vAlign w:val="bottom"/>
            <w:hideMark/>
          </w:tcPr>
          <w:p w14:paraId="4A39E833"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4,822.1</w:t>
            </w:r>
          </w:p>
        </w:tc>
        <w:tc>
          <w:tcPr>
            <w:tcW w:w="1261" w:type="dxa"/>
            <w:gridSpan w:val="2"/>
            <w:tcBorders>
              <w:top w:val="nil"/>
              <w:left w:val="nil"/>
              <w:bottom w:val="nil"/>
              <w:right w:val="nil"/>
            </w:tcBorders>
            <w:shd w:val="clear" w:color="auto" w:fill="auto"/>
            <w:noWrap/>
            <w:vAlign w:val="bottom"/>
            <w:hideMark/>
          </w:tcPr>
          <w:p w14:paraId="2A8DBA9B"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-33,951.5</w:t>
            </w:r>
          </w:p>
        </w:tc>
        <w:tc>
          <w:tcPr>
            <w:tcW w:w="1261" w:type="dxa"/>
            <w:tcBorders>
              <w:top w:val="nil"/>
              <w:left w:val="nil"/>
              <w:bottom w:val="nil"/>
              <w:right w:val="nil"/>
            </w:tcBorders>
            <w:shd w:val="clear" w:color="auto" w:fill="auto"/>
            <w:noWrap/>
            <w:vAlign w:val="bottom"/>
            <w:hideMark/>
          </w:tcPr>
          <w:p w14:paraId="1A3C8A21"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62,184.7</w:t>
            </w:r>
          </w:p>
        </w:tc>
        <w:tc>
          <w:tcPr>
            <w:tcW w:w="1432" w:type="dxa"/>
            <w:gridSpan w:val="3"/>
            <w:tcBorders>
              <w:top w:val="nil"/>
              <w:left w:val="nil"/>
              <w:bottom w:val="nil"/>
              <w:right w:val="nil"/>
            </w:tcBorders>
            <w:shd w:val="clear" w:color="auto" w:fill="auto"/>
            <w:noWrap/>
            <w:vAlign w:val="bottom"/>
            <w:hideMark/>
          </w:tcPr>
          <w:p w14:paraId="1F8BC1D9"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26,709.5</w:t>
            </w:r>
          </w:p>
        </w:tc>
        <w:tc>
          <w:tcPr>
            <w:tcW w:w="2178" w:type="dxa"/>
            <w:gridSpan w:val="2"/>
            <w:tcBorders>
              <w:top w:val="nil"/>
              <w:left w:val="nil"/>
              <w:bottom w:val="nil"/>
              <w:right w:val="nil"/>
            </w:tcBorders>
            <w:shd w:val="clear" w:color="auto" w:fill="auto"/>
            <w:noWrap/>
            <w:vAlign w:val="bottom"/>
            <w:hideMark/>
          </w:tcPr>
          <w:p w14:paraId="4F985B9A"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603FBCA9" w14:textId="77777777" w:rsidTr="00B52C55">
        <w:trPr>
          <w:trHeight w:val="300"/>
        </w:trPr>
        <w:tc>
          <w:tcPr>
            <w:tcW w:w="1353" w:type="dxa"/>
            <w:tcBorders>
              <w:top w:val="nil"/>
              <w:left w:val="nil"/>
              <w:bottom w:val="nil"/>
              <w:right w:val="nil"/>
            </w:tcBorders>
            <w:shd w:val="clear" w:color="auto" w:fill="auto"/>
            <w:noWrap/>
            <w:vAlign w:val="bottom"/>
            <w:hideMark/>
          </w:tcPr>
          <w:p w14:paraId="2B7699B8"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7FF3EF2C"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2007-2003</w:t>
            </w:r>
          </w:p>
        </w:tc>
        <w:tc>
          <w:tcPr>
            <w:tcW w:w="1276" w:type="dxa"/>
            <w:tcBorders>
              <w:top w:val="nil"/>
              <w:left w:val="nil"/>
              <w:bottom w:val="nil"/>
              <w:right w:val="nil"/>
            </w:tcBorders>
            <w:shd w:val="clear" w:color="auto" w:fill="auto"/>
            <w:noWrap/>
            <w:vAlign w:val="bottom"/>
            <w:hideMark/>
          </w:tcPr>
          <w:p w14:paraId="4C2B6830"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-32,390.2</w:t>
            </w:r>
          </w:p>
        </w:tc>
        <w:tc>
          <w:tcPr>
            <w:tcW w:w="1417" w:type="dxa"/>
            <w:gridSpan w:val="2"/>
            <w:tcBorders>
              <w:top w:val="nil"/>
              <w:left w:val="nil"/>
              <w:bottom w:val="nil"/>
              <w:right w:val="nil"/>
            </w:tcBorders>
            <w:shd w:val="clear" w:color="auto" w:fill="auto"/>
            <w:noWrap/>
            <w:vAlign w:val="bottom"/>
            <w:hideMark/>
          </w:tcPr>
          <w:p w14:paraId="3848E75C"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-13,516.0</w:t>
            </w:r>
          </w:p>
        </w:tc>
        <w:tc>
          <w:tcPr>
            <w:tcW w:w="1261" w:type="dxa"/>
            <w:gridSpan w:val="2"/>
            <w:tcBorders>
              <w:top w:val="nil"/>
              <w:left w:val="nil"/>
              <w:bottom w:val="nil"/>
              <w:right w:val="nil"/>
            </w:tcBorders>
            <w:shd w:val="clear" w:color="auto" w:fill="auto"/>
            <w:noWrap/>
            <w:vAlign w:val="bottom"/>
            <w:hideMark/>
          </w:tcPr>
          <w:p w14:paraId="5FE079CE"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-55,289.0</w:t>
            </w:r>
          </w:p>
        </w:tc>
        <w:tc>
          <w:tcPr>
            <w:tcW w:w="1261" w:type="dxa"/>
            <w:tcBorders>
              <w:top w:val="nil"/>
              <w:left w:val="nil"/>
              <w:bottom w:val="nil"/>
              <w:right w:val="nil"/>
            </w:tcBorders>
            <w:shd w:val="clear" w:color="auto" w:fill="auto"/>
            <w:noWrap/>
            <w:vAlign w:val="bottom"/>
            <w:hideMark/>
          </w:tcPr>
          <w:p w14:paraId="41ADB551"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87,260.1</w:t>
            </w:r>
          </w:p>
        </w:tc>
        <w:tc>
          <w:tcPr>
            <w:tcW w:w="1432" w:type="dxa"/>
            <w:gridSpan w:val="3"/>
            <w:tcBorders>
              <w:top w:val="nil"/>
              <w:left w:val="nil"/>
              <w:bottom w:val="nil"/>
              <w:right w:val="nil"/>
            </w:tcBorders>
            <w:shd w:val="clear" w:color="auto" w:fill="auto"/>
            <w:noWrap/>
            <w:vAlign w:val="bottom"/>
            <w:hideMark/>
          </w:tcPr>
          <w:p w14:paraId="4011CA54"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-13,935.1</w:t>
            </w:r>
          </w:p>
        </w:tc>
        <w:tc>
          <w:tcPr>
            <w:tcW w:w="2178" w:type="dxa"/>
            <w:gridSpan w:val="2"/>
            <w:tcBorders>
              <w:top w:val="nil"/>
              <w:left w:val="nil"/>
              <w:bottom w:val="nil"/>
              <w:right w:val="nil"/>
            </w:tcBorders>
            <w:shd w:val="clear" w:color="auto" w:fill="auto"/>
            <w:noWrap/>
            <w:vAlign w:val="bottom"/>
            <w:hideMark/>
          </w:tcPr>
          <w:p w14:paraId="058BD38F"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41E68342" w14:textId="77777777" w:rsidTr="00B52C55">
        <w:trPr>
          <w:trHeight w:val="300"/>
        </w:trPr>
        <w:tc>
          <w:tcPr>
            <w:tcW w:w="1353" w:type="dxa"/>
            <w:tcBorders>
              <w:top w:val="nil"/>
              <w:left w:val="nil"/>
              <w:bottom w:val="single" w:sz="4" w:space="0" w:color="auto"/>
              <w:right w:val="nil"/>
            </w:tcBorders>
            <w:shd w:val="clear" w:color="auto" w:fill="auto"/>
            <w:noWrap/>
            <w:vAlign w:val="bottom"/>
            <w:hideMark/>
          </w:tcPr>
          <w:p w14:paraId="08358394"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 </w:t>
            </w:r>
          </w:p>
        </w:tc>
        <w:tc>
          <w:tcPr>
            <w:tcW w:w="1276" w:type="dxa"/>
            <w:gridSpan w:val="2"/>
            <w:tcBorders>
              <w:top w:val="nil"/>
              <w:left w:val="nil"/>
              <w:bottom w:val="single" w:sz="4" w:space="0" w:color="auto"/>
              <w:right w:val="nil"/>
            </w:tcBorders>
            <w:shd w:val="clear" w:color="auto" w:fill="auto"/>
            <w:noWrap/>
            <w:vAlign w:val="bottom"/>
            <w:hideMark/>
          </w:tcPr>
          <w:p w14:paraId="080572A0"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2007-1995</w:t>
            </w:r>
          </w:p>
        </w:tc>
        <w:tc>
          <w:tcPr>
            <w:tcW w:w="1276" w:type="dxa"/>
            <w:tcBorders>
              <w:top w:val="nil"/>
              <w:left w:val="nil"/>
              <w:bottom w:val="single" w:sz="4" w:space="0" w:color="auto"/>
              <w:right w:val="nil"/>
            </w:tcBorders>
            <w:shd w:val="clear" w:color="auto" w:fill="auto"/>
            <w:noWrap/>
            <w:vAlign w:val="bottom"/>
            <w:hideMark/>
          </w:tcPr>
          <w:p w14:paraId="540B1DE5"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-54,449.3</w:t>
            </w:r>
          </w:p>
        </w:tc>
        <w:tc>
          <w:tcPr>
            <w:tcW w:w="1417" w:type="dxa"/>
            <w:gridSpan w:val="2"/>
            <w:tcBorders>
              <w:top w:val="nil"/>
              <w:left w:val="nil"/>
              <w:bottom w:val="single" w:sz="4" w:space="0" w:color="auto"/>
              <w:right w:val="nil"/>
            </w:tcBorders>
            <w:shd w:val="clear" w:color="auto" w:fill="auto"/>
            <w:noWrap/>
            <w:vAlign w:val="bottom"/>
            <w:hideMark/>
          </w:tcPr>
          <w:p w14:paraId="4986B5C1"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-3,329.4</w:t>
            </w:r>
          </w:p>
        </w:tc>
        <w:tc>
          <w:tcPr>
            <w:tcW w:w="1261" w:type="dxa"/>
            <w:gridSpan w:val="2"/>
            <w:tcBorders>
              <w:top w:val="nil"/>
              <w:left w:val="nil"/>
              <w:bottom w:val="single" w:sz="4" w:space="0" w:color="auto"/>
              <w:right w:val="nil"/>
            </w:tcBorders>
            <w:shd w:val="clear" w:color="auto" w:fill="auto"/>
            <w:noWrap/>
            <w:vAlign w:val="bottom"/>
            <w:hideMark/>
          </w:tcPr>
          <w:p w14:paraId="4FF7859A"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-126,202.9</w:t>
            </w:r>
          </w:p>
        </w:tc>
        <w:tc>
          <w:tcPr>
            <w:tcW w:w="1261" w:type="dxa"/>
            <w:tcBorders>
              <w:top w:val="nil"/>
              <w:left w:val="nil"/>
              <w:bottom w:val="single" w:sz="4" w:space="0" w:color="auto"/>
              <w:right w:val="nil"/>
            </w:tcBorders>
            <w:shd w:val="clear" w:color="auto" w:fill="auto"/>
            <w:noWrap/>
            <w:vAlign w:val="bottom"/>
            <w:hideMark/>
          </w:tcPr>
          <w:p w14:paraId="65CD52A3"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212,751.6</w:t>
            </w:r>
          </w:p>
        </w:tc>
        <w:tc>
          <w:tcPr>
            <w:tcW w:w="1432" w:type="dxa"/>
            <w:gridSpan w:val="3"/>
            <w:tcBorders>
              <w:top w:val="nil"/>
              <w:left w:val="nil"/>
              <w:bottom w:val="single" w:sz="4" w:space="0" w:color="auto"/>
              <w:right w:val="nil"/>
            </w:tcBorders>
            <w:shd w:val="clear" w:color="auto" w:fill="auto"/>
            <w:noWrap/>
            <w:vAlign w:val="bottom"/>
            <w:hideMark/>
          </w:tcPr>
          <w:p w14:paraId="10E8346C"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28,770.0</w:t>
            </w:r>
          </w:p>
        </w:tc>
        <w:tc>
          <w:tcPr>
            <w:tcW w:w="2178" w:type="dxa"/>
            <w:gridSpan w:val="2"/>
            <w:tcBorders>
              <w:top w:val="nil"/>
              <w:left w:val="nil"/>
              <w:bottom w:val="nil"/>
              <w:right w:val="nil"/>
            </w:tcBorders>
            <w:shd w:val="clear" w:color="auto" w:fill="auto"/>
            <w:noWrap/>
            <w:vAlign w:val="bottom"/>
            <w:hideMark/>
          </w:tcPr>
          <w:p w14:paraId="372FDAB8"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6244E7F0" w14:textId="77777777" w:rsidTr="00B52C55">
        <w:trPr>
          <w:trHeight w:val="300"/>
        </w:trPr>
        <w:tc>
          <w:tcPr>
            <w:tcW w:w="1353" w:type="dxa"/>
            <w:tcBorders>
              <w:top w:val="nil"/>
              <w:left w:val="nil"/>
              <w:bottom w:val="nil"/>
              <w:right w:val="nil"/>
            </w:tcBorders>
            <w:shd w:val="clear" w:color="auto" w:fill="auto"/>
            <w:noWrap/>
            <w:vAlign w:val="bottom"/>
            <w:hideMark/>
          </w:tcPr>
          <w:p w14:paraId="43466094"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Japan</w:t>
            </w:r>
          </w:p>
        </w:tc>
        <w:tc>
          <w:tcPr>
            <w:tcW w:w="1276" w:type="dxa"/>
            <w:gridSpan w:val="2"/>
            <w:tcBorders>
              <w:top w:val="nil"/>
              <w:left w:val="nil"/>
              <w:bottom w:val="nil"/>
              <w:right w:val="nil"/>
            </w:tcBorders>
            <w:shd w:val="clear" w:color="auto" w:fill="auto"/>
            <w:noWrap/>
            <w:vAlign w:val="bottom"/>
            <w:hideMark/>
          </w:tcPr>
          <w:p w14:paraId="7DF3F34A"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1999-1995</w:t>
            </w:r>
          </w:p>
        </w:tc>
        <w:tc>
          <w:tcPr>
            <w:tcW w:w="1276" w:type="dxa"/>
            <w:tcBorders>
              <w:top w:val="nil"/>
              <w:left w:val="nil"/>
              <w:bottom w:val="nil"/>
              <w:right w:val="nil"/>
            </w:tcBorders>
            <w:shd w:val="clear" w:color="auto" w:fill="auto"/>
            <w:noWrap/>
            <w:vAlign w:val="bottom"/>
            <w:hideMark/>
          </w:tcPr>
          <w:p w14:paraId="12C962CF"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421.0</w:t>
            </w:r>
          </w:p>
        </w:tc>
        <w:tc>
          <w:tcPr>
            <w:tcW w:w="1417" w:type="dxa"/>
            <w:gridSpan w:val="2"/>
            <w:tcBorders>
              <w:top w:val="nil"/>
              <w:left w:val="nil"/>
              <w:bottom w:val="nil"/>
              <w:right w:val="nil"/>
            </w:tcBorders>
            <w:shd w:val="clear" w:color="auto" w:fill="auto"/>
            <w:noWrap/>
            <w:vAlign w:val="bottom"/>
            <w:hideMark/>
          </w:tcPr>
          <w:p w14:paraId="52E05BAA"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21,430.7</w:t>
            </w:r>
          </w:p>
        </w:tc>
        <w:tc>
          <w:tcPr>
            <w:tcW w:w="1261" w:type="dxa"/>
            <w:gridSpan w:val="2"/>
            <w:tcBorders>
              <w:top w:val="nil"/>
              <w:left w:val="nil"/>
              <w:bottom w:val="nil"/>
              <w:right w:val="nil"/>
            </w:tcBorders>
            <w:shd w:val="clear" w:color="auto" w:fill="auto"/>
            <w:noWrap/>
            <w:vAlign w:val="bottom"/>
            <w:hideMark/>
          </w:tcPr>
          <w:p w14:paraId="04297901"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-139,501.7</w:t>
            </w:r>
          </w:p>
        </w:tc>
        <w:tc>
          <w:tcPr>
            <w:tcW w:w="1261" w:type="dxa"/>
            <w:tcBorders>
              <w:top w:val="nil"/>
              <w:left w:val="nil"/>
              <w:bottom w:val="nil"/>
              <w:right w:val="nil"/>
            </w:tcBorders>
            <w:shd w:val="clear" w:color="auto" w:fill="auto"/>
            <w:noWrap/>
            <w:vAlign w:val="bottom"/>
            <w:hideMark/>
          </w:tcPr>
          <w:p w14:paraId="4613D296"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161,968.1</w:t>
            </w:r>
          </w:p>
        </w:tc>
        <w:tc>
          <w:tcPr>
            <w:tcW w:w="1432" w:type="dxa"/>
            <w:gridSpan w:val="3"/>
            <w:tcBorders>
              <w:top w:val="nil"/>
              <w:left w:val="nil"/>
              <w:bottom w:val="nil"/>
              <w:right w:val="nil"/>
            </w:tcBorders>
            <w:shd w:val="clear" w:color="auto" w:fill="auto"/>
            <w:noWrap/>
            <w:vAlign w:val="bottom"/>
            <w:hideMark/>
          </w:tcPr>
          <w:p w14:paraId="01829951"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44,318.0</w:t>
            </w:r>
          </w:p>
        </w:tc>
        <w:tc>
          <w:tcPr>
            <w:tcW w:w="2178" w:type="dxa"/>
            <w:gridSpan w:val="2"/>
            <w:tcBorders>
              <w:top w:val="nil"/>
              <w:left w:val="nil"/>
              <w:bottom w:val="nil"/>
              <w:right w:val="nil"/>
            </w:tcBorders>
            <w:shd w:val="clear" w:color="auto" w:fill="auto"/>
            <w:noWrap/>
            <w:vAlign w:val="bottom"/>
            <w:hideMark/>
          </w:tcPr>
          <w:p w14:paraId="0A405D38"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67922CAE" w14:textId="77777777" w:rsidTr="00B52C55">
        <w:trPr>
          <w:trHeight w:val="300"/>
        </w:trPr>
        <w:tc>
          <w:tcPr>
            <w:tcW w:w="1353" w:type="dxa"/>
            <w:tcBorders>
              <w:top w:val="nil"/>
              <w:left w:val="nil"/>
              <w:bottom w:val="nil"/>
              <w:right w:val="nil"/>
            </w:tcBorders>
            <w:shd w:val="clear" w:color="auto" w:fill="auto"/>
            <w:noWrap/>
            <w:vAlign w:val="bottom"/>
            <w:hideMark/>
          </w:tcPr>
          <w:p w14:paraId="0882C92E"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1C6CA38F"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2003-1999</w:t>
            </w:r>
          </w:p>
        </w:tc>
        <w:tc>
          <w:tcPr>
            <w:tcW w:w="1276" w:type="dxa"/>
            <w:tcBorders>
              <w:top w:val="nil"/>
              <w:left w:val="nil"/>
              <w:bottom w:val="nil"/>
              <w:right w:val="nil"/>
            </w:tcBorders>
            <w:shd w:val="clear" w:color="auto" w:fill="auto"/>
            <w:noWrap/>
            <w:vAlign w:val="bottom"/>
            <w:hideMark/>
          </w:tcPr>
          <w:p w14:paraId="0ECB611F"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62,717.2</w:t>
            </w:r>
          </w:p>
        </w:tc>
        <w:tc>
          <w:tcPr>
            <w:tcW w:w="1417" w:type="dxa"/>
            <w:gridSpan w:val="2"/>
            <w:tcBorders>
              <w:top w:val="nil"/>
              <w:left w:val="nil"/>
              <w:bottom w:val="nil"/>
              <w:right w:val="nil"/>
            </w:tcBorders>
            <w:shd w:val="clear" w:color="auto" w:fill="auto"/>
            <w:noWrap/>
            <w:vAlign w:val="bottom"/>
            <w:hideMark/>
          </w:tcPr>
          <w:p w14:paraId="2B599045"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-71,002.6</w:t>
            </w:r>
          </w:p>
        </w:tc>
        <w:tc>
          <w:tcPr>
            <w:tcW w:w="1261" w:type="dxa"/>
            <w:gridSpan w:val="2"/>
            <w:tcBorders>
              <w:top w:val="nil"/>
              <w:left w:val="nil"/>
              <w:bottom w:val="nil"/>
              <w:right w:val="nil"/>
            </w:tcBorders>
            <w:shd w:val="clear" w:color="auto" w:fill="auto"/>
            <w:noWrap/>
            <w:vAlign w:val="bottom"/>
            <w:hideMark/>
          </w:tcPr>
          <w:p w14:paraId="26006EC6"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-100,554.5</w:t>
            </w:r>
          </w:p>
        </w:tc>
        <w:tc>
          <w:tcPr>
            <w:tcW w:w="1261" w:type="dxa"/>
            <w:tcBorders>
              <w:top w:val="nil"/>
              <w:left w:val="nil"/>
              <w:bottom w:val="nil"/>
              <w:right w:val="nil"/>
            </w:tcBorders>
            <w:shd w:val="clear" w:color="auto" w:fill="auto"/>
            <w:noWrap/>
            <w:vAlign w:val="bottom"/>
            <w:hideMark/>
          </w:tcPr>
          <w:p w14:paraId="79A6753F"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155,564.8</w:t>
            </w:r>
          </w:p>
        </w:tc>
        <w:tc>
          <w:tcPr>
            <w:tcW w:w="1432" w:type="dxa"/>
            <w:gridSpan w:val="3"/>
            <w:tcBorders>
              <w:top w:val="nil"/>
              <w:left w:val="nil"/>
              <w:bottom w:val="nil"/>
              <w:right w:val="nil"/>
            </w:tcBorders>
            <w:shd w:val="clear" w:color="auto" w:fill="auto"/>
            <w:noWrap/>
            <w:vAlign w:val="bottom"/>
            <w:hideMark/>
          </w:tcPr>
          <w:p w14:paraId="01ECF17E"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46,724.8</w:t>
            </w:r>
          </w:p>
        </w:tc>
        <w:tc>
          <w:tcPr>
            <w:tcW w:w="2178" w:type="dxa"/>
            <w:gridSpan w:val="2"/>
            <w:tcBorders>
              <w:top w:val="nil"/>
              <w:left w:val="nil"/>
              <w:bottom w:val="nil"/>
              <w:right w:val="nil"/>
            </w:tcBorders>
            <w:shd w:val="clear" w:color="auto" w:fill="auto"/>
            <w:noWrap/>
            <w:vAlign w:val="bottom"/>
            <w:hideMark/>
          </w:tcPr>
          <w:p w14:paraId="79F92F22"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0567E066" w14:textId="77777777" w:rsidTr="00B52C55">
        <w:trPr>
          <w:trHeight w:val="300"/>
        </w:trPr>
        <w:tc>
          <w:tcPr>
            <w:tcW w:w="1353" w:type="dxa"/>
            <w:tcBorders>
              <w:top w:val="nil"/>
              <w:left w:val="nil"/>
              <w:bottom w:val="nil"/>
              <w:right w:val="nil"/>
            </w:tcBorders>
            <w:shd w:val="clear" w:color="auto" w:fill="auto"/>
            <w:noWrap/>
            <w:vAlign w:val="bottom"/>
            <w:hideMark/>
          </w:tcPr>
          <w:p w14:paraId="6DC8ED65"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504821E5"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2007-2003</w:t>
            </w:r>
          </w:p>
        </w:tc>
        <w:tc>
          <w:tcPr>
            <w:tcW w:w="1276" w:type="dxa"/>
            <w:tcBorders>
              <w:top w:val="nil"/>
              <w:left w:val="nil"/>
              <w:bottom w:val="nil"/>
              <w:right w:val="nil"/>
            </w:tcBorders>
            <w:shd w:val="clear" w:color="auto" w:fill="auto"/>
            <w:noWrap/>
            <w:vAlign w:val="bottom"/>
            <w:hideMark/>
          </w:tcPr>
          <w:p w14:paraId="7A491EBC"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-44,889.3</w:t>
            </w:r>
          </w:p>
        </w:tc>
        <w:tc>
          <w:tcPr>
            <w:tcW w:w="1417" w:type="dxa"/>
            <w:gridSpan w:val="2"/>
            <w:tcBorders>
              <w:top w:val="nil"/>
              <w:left w:val="nil"/>
              <w:bottom w:val="nil"/>
              <w:right w:val="nil"/>
            </w:tcBorders>
            <w:shd w:val="clear" w:color="auto" w:fill="auto"/>
            <w:noWrap/>
            <w:vAlign w:val="bottom"/>
            <w:hideMark/>
          </w:tcPr>
          <w:p w14:paraId="622D1C9D"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-40,667.6</w:t>
            </w:r>
          </w:p>
        </w:tc>
        <w:tc>
          <w:tcPr>
            <w:tcW w:w="1261" w:type="dxa"/>
            <w:gridSpan w:val="2"/>
            <w:tcBorders>
              <w:top w:val="nil"/>
              <w:left w:val="nil"/>
              <w:bottom w:val="nil"/>
              <w:right w:val="nil"/>
            </w:tcBorders>
            <w:shd w:val="clear" w:color="auto" w:fill="auto"/>
            <w:noWrap/>
            <w:vAlign w:val="bottom"/>
            <w:hideMark/>
          </w:tcPr>
          <w:p w14:paraId="77AF98DC"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-127,161.5</w:t>
            </w:r>
          </w:p>
        </w:tc>
        <w:tc>
          <w:tcPr>
            <w:tcW w:w="1261" w:type="dxa"/>
            <w:tcBorders>
              <w:top w:val="nil"/>
              <w:left w:val="nil"/>
              <w:bottom w:val="nil"/>
              <w:right w:val="nil"/>
            </w:tcBorders>
            <w:shd w:val="clear" w:color="auto" w:fill="auto"/>
            <w:noWrap/>
            <w:vAlign w:val="bottom"/>
            <w:hideMark/>
          </w:tcPr>
          <w:p w14:paraId="26882A5B"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219,853.0</w:t>
            </w:r>
          </w:p>
        </w:tc>
        <w:tc>
          <w:tcPr>
            <w:tcW w:w="1432" w:type="dxa"/>
            <w:gridSpan w:val="3"/>
            <w:tcBorders>
              <w:top w:val="nil"/>
              <w:left w:val="nil"/>
              <w:bottom w:val="nil"/>
              <w:right w:val="nil"/>
            </w:tcBorders>
            <w:shd w:val="clear" w:color="auto" w:fill="auto"/>
            <w:noWrap/>
            <w:vAlign w:val="bottom"/>
            <w:hideMark/>
          </w:tcPr>
          <w:p w14:paraId="50CDB767"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7,134.7</w:t>
            </w:r>
          </w:p>
        </w:tc>
        <w:tc>
          <w:tcPr>
            <w:tcW w:w="2178" w:type="dxa"/>
            <w:gridSpan w:val="2"/>
            <w:tcBorders>
              <w:top w:val="nil"/>
              <w:left w:val="nil"/>
              <w:bottom w:val="nil"/>
              <w:right w:val="nil"/>
            </w:tcBorders>
            <w:shd w:val="clear" w:color="auto" w:fill="auto"/>
            <w:noWrap/>
            <w:vAlign w:val="bottom"/>
            <w:hideMark/>
          </w:tcPr>
          <w:p w14:paraId="7F01DC28"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48303EAA" w14:textId="77777777" w:rsidTr="00B52C55">
        <w:trPr>
          <w:trHeight w:val="300"/>
        </w:trPr>
        <w:tc>
          <w:tcPr>
            <w:tcW w:w="1353" w:type="dxa"/>
            <w:tcBorders>
              <w:top w:val="nil"/>
              <w:left w:val="nil"/>
              <w:bottom w:val="single" w:sz="4" w:space="0" w:color="auto"/>
              <w:right w:val="nil"/>
            </w:tcBorders>
            <w:shd w:val="clear" w:color="auto" w:fill="auto"/>
            <w:noWrap/>
            <w:vAlign w:val="bottom"/>
            <w:hideMark/>
          </w:tcPr>
          <w:p w14:paraId="7D1851E3"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 </w:t>
            </w:r>
          </w:p>
        </w:tc>
        <w:tc>
          <w:tcPr>
            <w:tcW w:w="1276" w:type="dxa"/>
            <w:gridSpan w:val="2"/>
            <w:tcBorders>
              <w:top w:val="nil"/>
              <w:left w:val="nil"/>
              <w:bottom w:val="single" w:sz="4" w:space="0" w:color="auto"/>
              <w:right w:val="nil"/>
            </w:tcBorders>
            <w:shd w:val="clear" w:color="auto" w:fill="auto"/>
            <w:noWrap/>
            <w:vAlign w:val="bottom"/>
            <w:hideMark/>
          </w:tcPr>
          <w:p w14:paraId="290A7172"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2007-1995</w:t>
            </w:r>
          </w:p>
        </w:tc>
        <w:tc>
          <w:tcPr>
            <w:tcW w:w="1276" w:type="dxa"/>
            <w:tcBorders>
              <w:top w:val="nil"/>
              <w:left w:val="nil"/>
              <w:bottom w:val="single" w:sz="4" w:space="0" w:color="auto"/>
              <w:right w:val="nil"/>
            </w:tcBorders>
            <w:shd w:val="clear" w:color="auto" w:fill="auto"/>
            <w:noWrap/>
            <w:vAlign w:val="bottom"/>
            <w:hideMark/>
          </w:tcPr>
          <w:p w14:paraId="10AEDF2F"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19,433.6</w:t>
            </w:r>
          </w:p>
        </w:tc>
        <w:tc>
          <w:tcPr>
            <w:tcW w:w="1417" w:type="dxa"/>
            <w:gridSpan w:val="2"/>
            <w:tcBorders>
              <w:top w:val="nil"/>
              <w:left w:val="nil"/>
              <w:bottom w:val="single" w:sz="4" w:space="0" w:color="auto"/>
              <w:right w:val="nil"/>
            </w:tcBorders>
            <w:shd w:val="clear" w:color="auto" w:fill="auto"/>
            <w:noWrap/>
            <w:vAlign w:val="bottom"/>
            <w:hideMark/>
          </w:tcPr>
          <w:p w14:paraId="1FB4CD77"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-89,053.1</w:t>
            </w:r>
          </w:p>
        </w:tc>
        <w:tc>
          <w:tcPr>
            <w:tcW w:w="1261" w:type="dxa"/>
            <w:gridSpan w:val="2"/>
            <w:tcBorders>
              <w:top w:val="nil"/>
              <w:left w:val="nil"/>
              <w:bottom w:val="single" w:sz="4" w:space="0" w:color="auto"/>
              <w:right w:val="nil"/>
            </w:tcBorders>
            <w:shd w:val="clear" w:color="auto" w:fill="auto"/>
            <w:noWrap/>
            <w:vAlign w:val="bottom"/>
            <w:hideMark/>
          </w:tcPr>
          <w:p w14:paraId="763B1B54"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-372,645.7</w:t>
            </w:r>
          </w:p>
        </w:tc>
        <w:tc>
          <w:tcPr>
            <w:tcW w:w="1261" w:type="dxa"/>
            <w:tcBorders>
              <w:top w:val="nil"/>
              <w:left w:val="nil"/>
              <w:bottom w:val="single" w:sz="4" w:space="0" w:color="auto"/>
              <w:right w:val="nil"/>
            </w:tcBorders>
            <w:shd w:val="clear" w:color="auto" w:fill="auto"/>
            <w:noWrap/>
            <w:vAlign w:val="bottom"/>
            <w:hideMark/>
          </w:tcPr>
          <w:p w14:paraId="54946232"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540,442.6</w:t>
            </w:r>
          </w:p>
        </w:tc>
        <w:tc>
          <w:tcPr>
            <w:tcW w:w="1432" w:type="dxa"/>
            <w:gridSpan w:val="3"/>
            <w:tcBorders>
              <w:top w:val="nil"/>
              <w:left w:val="nil"/>
              <w:bottom w:val="single" w:sz="4" w:space="0" w:color="auto"/>
              <w:right w:val="nil"/>
            </w:tcBorders>
            <w:shd w:val="clear" w:color="auto" w:fill="auto"/>
            <w:noWrap/>
            <w:vAlign w:val="bottom"/>
            <w:hideMark/>
          </w:tcPr>
          <w:p w14:paraId="5B87FB98"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98,177.5</w:t>
            </w:r>
          </w:p>
        </w:tc>
        <w:tc>
          <w:tcPr>
            <w:tcW w:w="2178" w:type="dxa"/>
            <w:gridSpan w:val="2"/>
            <w:tcBorders>
              <w:top w:val="nil"/>
              <w:left w:val="nil"/>
              <w:bottom w:val="nil"/>
              <w:right w:val="nil"/>
            </w:tcBorders>
            <w:shd w:val="clear" w:color="auto" w:fill="auto"/>
            <w:noWrap/>
            <w:vAlign w:val="bottom"/>
            <w:hideMark/>
          </w:tcPr>
          <w:p w14:paraId="0ACBD17C"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66863942" w14:textId="77777777" w:rsidTr="00B52C55">
        <w:trPr>
          <w:trHeight w:val="300"/>
        </w:trPr>
        <w:tc>
          <w:tcPr>
            <w:tcW w:w="1353" w:type="dxa"/>
            <w:tcBorders>
              <w:top w:val="nil"/>
              <w:left w:val="nil"/>
              <w:bottom w:val="nil"/>
              <w:right w:val="nil"/>
            </w:tcBorders>
            <w:shd w:val="clear" w:color="auto" w:fill="auto"/>
            <w:noWrap/>
            <w:vAlign w:val="bottom"/>
            <w:hideMark/>
          </w:tcPr>
          <w:p w14:paraId="7DE0D792" w14:textId="77777777" w:rsidR="00560991" w:rsidRPr="00560991" w:rsidRDefault="00AD61A4" w:rsidP="00560991">
            <w:pPr>
              <w:spacing w:after="0" w:line="240" w:lineRule="auto"/>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South </w:t>
            </w:r>
            <w:r w:rsidR="00560991" w:rsidRPr="00560991">
              <w:rPr>
                <w:rFonts w:ascii="Times New Roman" w:eastAsia="Times New Roman" w:hAnsi="Times New Roman" w:cs="Times New Roman"/>
                <w:color w:val="000000"/>
                <w:lang w:eastAsia="en-GB"/>
              </w:rPr>
              <w:t>Korea</w:t>
            </w:r>
          </w:p>
        </w:tc>
        <w:tc>
          <w:tcPr>
            <w:tcW w:w="1276" w:type="dxa"/>
            <w:gridSpan w:val="2"/>
            <w:tcBorders>
              <w:top w:val="nil"/>
              <w:left w:val="nil"/>
              <w:bottom w:val="nil"/>
              <w:right w:val="nil"/>
            </w:tcBorders>
            <w:shd w:val="clear" w:color="auto" w:fill="auto"/>
            <w:noWrap/>
            <w:vAlign w:val="bottom"/>
            <w:hideMark/>
          </w:tcPr>
          <w:p w14:paraId="35BAF7BF"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1999-1995</w:t>
            </w:r>
          </w:p>
        </w:tc>
        <w:tc>
          <w:tcPr>
            <w:tcW w:w="1276" w:type="dxa"/>
            <w:tcBorders>
              <w:top w:val="nil"/>
              <w:left w:val="nil"/>
              <w:bottom w:val="nil"/>
              <w:right w:val="nil"/>
            </w:tcBorders>
            <w:shd w:val="clear" w:color="auto" w:fill="auto"/>
            <w:noWrap/>
            <w:vAlign w:val="bottom"/>
            <w:hideMark/>
          </w:tcPr>
          <w:p w14:paraId="60BF3007"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-32,152.0</w:t>
            </w:r>
          </w:p>
        </w:tc>
        <w:tc>
          <w:tcPr>
            <w:tcW w:w="1417" w:type="dxa"/>
            <w:gridSpan w:val="2"/>
            <w:tcBorders>
              <w:top w:val="nil"/>
              <w:left w:val="nil"/>
              <w:bottom w:val="nil"/>
              <w:right w:val="nil"/>
            </w:tcBorders>
            <w:shd w:val="clear" w:color="auto" w:fill="auto"/>
            <w:noWrap/>
            <w:vAlign w:val="bottom"/>
            <w:hideMark/>
          </w:tcPr>
          <w:p w14:paraId="21A26DFD"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-7,672.6</w:t>
            </w:r>
          </w:p>
        </w:tc>
        <w:tc>
          <w:tcPr>
            <w:tcW w:w="1261" w:type="dxa"/>
            <w:gridSpan w:val="2"/>
            <w:tcBorders>
              <w:top w:val="nil"/>
              <w:left w:val="nil"/>
              <w:bottom w:val="nil"/>
              <w:right w:val="nil"/>
            </w:tcBorders>
            <w:shd w:val="clear" w:color="auto" w:fill="auto"/>
            <w:noWrap/>
            <w:vAlign w:val="bottom"/>
            <w:hideMark/>
          </w:tcPr>
          <w:p w14:paraId="6F623688"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12,617.6</w:t>
            </w:r>
          </w:p>
        </w:tc>
        <w:tc>
          <w:tcPr>
            <w:tcW w:w="1261" w:type="dxa"/>
            <w:tcBorders>
              <w:top w:val="nil"/>
              <w:left w:val="nil"/>
              <w:bottom w:val="nil"/>
              <w:right w:val="nil"/>
            </w:tcBorders>
            <w:shd w:val="clear" w:color="auto" w:fill="auto"/>
            <w:noWrap/>
            <w:vAlign w:val="bottom"/>
            <w:hideMark/>
          </w:tcPr>
          <w:p w14:paraId="25D30561"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59,083.5</w:t>
            </w:r>
          </w:p>
        </w:tc>
        <w:tc>
          <w:tcPr>
            <w:tcW w:w="1432" w:type="dxa"/>
            <w:gridSpan w:val="3"/>
            <w:tcBorders>
              <w:top w:val="nil"/>
              <w:left w:val="nil"/>
              <w:bottom w:val="nil"/>
              <w:right w:val="nil"/>
            </w:tcBorders>
            <w:shd w:val="clear" w:color="auto" w:fill="auto"/>
            <w:noWrap/>
            <w:vAlign w:val="bottom"/>
            <w:hideMark/>
          </w:tcPr>
          <w:p w14:paraId="2B822B63"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31,876.4</w:t>
            </w:r>
          </w:p>
        </w:tc>
        <w:tc>
          <w:tcPr>
            <w:tcW w:w="2178" w:type="dxa"/>
            <w:gridSpan w:val="2"/>
            <w:tcBorders>
              <w:top w:val="nil"/>
              <w:left w:val="nil"/>
              <w:bottom w:val="nil"/>
              <w:right w:val="nil"/>
            </w:tcBorders>
            <w:shd w:val="clear" w:color="auto" w:fill="auto"/>
            <w:noWrap/>
            <w:vAlign w:val="bottom"/>
            <w:hideMark/>
          </w:tcPr>
          <w:p w14:paraId="3BC743F1"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04247937" w14:textId="77777777" w:rsidTr="00B52C55">
        <w:trPr>
          <w:trHeight w:val="300"/>
        </w:trPr>
        <w:tc>
          <w:tcPr>
            <w:tcW w:w="1353" w:type="dxa"/>
            <w:tcBorders>
              <w:top w:val="nil"/>
              <w:left w:val="nil"/>
              <w:bottom w:val="nil"/>
              <w:right w:val="nil"/>
            </w:tcBorders>
            <w:shd w:val="clear" w:color="auto" w:fill="auto"/>
            <w:noWrap/>
            <w:vAlign w:val="bottom"/>
            <w:hideMark/>
          </w:tcPr>
          <w:p w14:paraId="464F8878"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74334838"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2003-1999</w:t>
            </w:r>
          </w:p>
        </w:tc>
        <w:tc>
          <w:tcPr>
            <w:tcW w:w="1276" w:type="dxa"/>
            <w:tcBorders>
              <w:top w:val="nil"/>
              <w:left w:val="nil"/>
              <w:bottom w:val="nil"/>
              <w:right w:val="nil"/>
            </w:tcBorders>
            <w:shd w:val="clear" w:color="auto" w:fill="auto"/>
            <w:noWrap/>
            <w:vAlign w:val="bottom"/>
            <w:hideMark/>
          </w:tcPr>
          <w:p w14:paraId="6E668A5F"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-23,098.4</w:t>
            </w:r>
          </w:p>
        </w:tc>
        <w:tc>
          <w:tcPr>
            <w:tcW w:w="1417" w:type="dxa"/>
            <w:gridSpan w:val="2"/>
            <w:tcBorders>
              <w:top w:val="nil"/>
              <w:left w:val="nil"/>
              <w:bottom w:val="nil"/>
              <w:right w:val="nil"/>
            </w:tcBorders>
            <w:shd w:val="clear" w:color="auto" w:fill="auto"/>
            <w:noWrap/>
            <w:vAlign w:val="bottom"/>
            <w:hideMark/>
          </w:tcPr>
          <w:p w14:paraId="6ED74C6E"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-17,339.6</w:t>
            </w:r>
          </w:p>
        </w:tc>
        <w:tc>
          <w:tcPr>
            <w:tcW w:w="1261" w:type="dxa"/>
            <w:gridSpan w:val="2"/>
            <w:tcBorders>
              <w:top w:val="nil"/>
              <w:left w:val="nil"/>
              <w:bottom w:val="nil"/>
              <w:right w:val="nil"/>
            </w:tcBorders>
            <w:shd w:val="clear" w:color="auto" w:fill="auto"/>
            <w:noWrap/>
            <w:vAlign w:val="bottom"/>
            <w:hideMark/>
          </w:tcPr>
          <w:p w14:paraId="549C03C8"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43,266.3</w:t>
            </w:r>
          </w:p>
        </w:tc>
        <w:tc>
          <w:tcPr>
            <w:tcW w:w="1261" w:type="dxa"/>
            <w:tcBorders>
              <w:top w:val="nil"/>
              <w:left w:val="nil"/>
              <w:bottom w:val="nil"/>
              <w:right w:val="nil"/>
            </w:tcBorders>
            <w:shd w:val="clear" w:color="auto" w:fill="auto"/>
            <w:noWrap/>
            <w:vAlign w:val="bottom"/>
            <w:hideMark/>
          </w:tcPr>
          <w:p w14:paraId="0049F82F"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60,674.4</w:t>
            </w:r>
          </w:p>
        </w:tc>
        <w:tc>
          <w:tcPr>
            <w:tcW w:w="1432" w:type="dxa"/>
            <w:gridSpan w:val="3"/>
            <w:tcBorders>
              <w:top w:val="nil"/>
              <w:left w:val="nil"/>
              <w:bottom w:val="nil"/>
              <w:right w:val="nil"/>
            </w:tcBorders>
            <w:shd w:val="clear" w:color="auto" w:fill="auto"/>
            <w:noWrap/>
            <w:vAlign w:val="bottom"/>
            <w:hideMark/>
          </w:tcPr>
          <w:p w14:paraId="30C2E576"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63,502.7</w:t>
            </w:r>
          </w:p>
        </w:tc>
        <w:tc>
          <w:tcPr>
            <w:tcW w:w="2178" w:type="dxa"/>
            <w:gridSpan w:val="2"/>
            <w:tcBorders>
              <w:top w:val="nil"/>
              <w:left w:val="nil"/>
              <w:bottom w:val="nil"/>
              <w:right w:val="nil"/>
            </w:tcBorders>
            <w:shd w:val="clear" w:color="auto" w:fill="auto"/>
            <w:noWrap/>
            <w:vAlign w:val="bottom"/>
            <w:hideMark/>
          </w:tcPr>
          <w:p w14:paraId="3FE9B729"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144DE86C" w14:textId="77777777" w:rsidTr="00B52C55">
        <w:trPr>
          <w:trHeight w:val="300"/>
        </w:trPr>
        <w:tc>
          <w:tcPr>
            <w:tcW w:w="1353" w:type="dxa"/>
            <w:tcBorders>
              <w:top w:val="nil"/>
              <w:left w:val="nil"/>
              <w:bottom w:val="nil"/>
              <w:right w:val="nil"/>
            </w:tcBorders>
            <w:shd w:val="clear" w:color="auto" w:fill="auto"/>
            <w:noWrap/>
            <w:vAlign w:val="bottom"/>
            <w:hideMark/>
          </w:tcPr>
          <w:p w14:paraId="064AD3E1"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7FAF083F"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2007-2003</w:t>
            </w:r>
          </w:p>
        </w:tc>
        <w:tc>
          <w:tcPr>
            <w:tcW w:w="1276" w:type="dxa"/>
            <w:tcBorders>
              <w:top w:val="nil"/>
              <w:left w:val="nil"/>
              <w:bottom w:val="nil"/>
              <w:right w:val="nil"/>
            </w:tcBorders>
            <w:shd w:val="clear" w:color="auto" w:fill="auto"/>
            <w:noWrap/>
            <w:vAlign w:val="bottom"/>
            <w:hideMark/>
          </w:tcPr>
          <w:p w14:paraId="78DC4AD9"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-8,001.0</w:t>
            </w:r>
          </w:p>
        </w:tc>
        <w:tc>
          <w:tcPr>
            <w:tcW w:w="1417" w:type="dxa"/>
            <w:gridSpan w:val="2"/>
            <w:tcBorders>
              <w:top w:val="nil"/>
              <w:left w:val="nil"/>
              <w:bottom w:val="nil"/>
              <w:right w:val="nil"/>
            </w:tcBorders>
            <w:shd w:val="clear" w:color="auto" w:fill="auto"/>
            <w:noWrap/>
            <w:vAlign w:val="bottom"/>
            <w:hideMark/>
          </w:tcPr>
          <w:p w14:paraId="363071AD"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-32,811.8</w:t>
            </w:r>
          </w:p>
        </w:tc>
        <w:tc>
          <w:tcPr>
            <w:tcW w:w="1261" w:type="dxa"/>
            <w:gridSpan w:val="2"/>
            <w:tcBorders>
              <w:top w:val="nil"/>
              <w:left w:val="nil"/>
              <w:bottom w:val="nil"/>
              <w:right w:val="nil"/>
            </w:tcBorders>
            <w:shd w:val="clear" w:color="auto" w:fill="auto"/>
            <w:noWrap/>
            <w:vAlign w:val="bottom"/>
            <w:hideMark/>
          </w:tcPr>
          <w:p w14:paraId="7B85C3A6"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3,734.0</w:t>
            </w:r>
          </w:p>
        </w:tc>
        <w:tc>
          <w:tcPr>
            <w:tcW w:w="1261" w:type="dxa"/>
            <w:tcBorders>
              <w:top w:val="nil"/>
              <w:left w:val="nil"/>
              <w:bottom w:val="nil"/>
              <w:right w:val="nil"/>
            </w:tcBorders>
            <w:shd w:val="clear" w:color="auto" w:fill="auto"/>
            <w:noWrap/>
            <w:vAlign w:val="bottom"/>
            <w:hideMark/>
          </w:tcPr>
          <w:p w14:paraId="55AFB449"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94,544.7</w:t>
            </w:r>
          </w:p>
        </w:tc>
        <w:tc>
          <w:tcPr>
            <w:tcW w:w="1432" w:type="dxa"/>
            <w:gridSpan w:val="3"/>
            <w:tcBorders>
              <w:top w:val="nil"/>
              <w:left w:val="nil"/>
              <w:bottom w:val="nil"/>
              <w:right w:val="nil"/>
            </w:tcBorders>
            <w:shd w:val="clear" w:color="auto" w:fill="auto"/>
            <w:noWrap/>
            <w:vAlign w:val="bottom"/>
            <w:hideMark/>
          </w:tcPr>
          <w:p w14:paraId="50A42D75"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57,465.9</w:t>
            </w:r>
          </w:p>
        </w:tc>
        <w:tc>
          <w:tcPr>
            <w:tcW w:w="2178" w:type="dxa"/>
            <w:gridSpan w:val="2"/>
            <w:tcBorders>
              <w:top w:val="nil"/>
              <w:left w:val="nil"/>
              <w:bottom w:val="nil"/>
              <w:right w:val="nil"/>
            </w:tcBorders>
            <w:shd w:val="clear" w:color="auto" w:fill="auto"/>
            <w:noWrap/>
            <w:vAlign w:val="bottom"/>
            <w:hideMark/>
          </w:tcPr>
          <w:p w14:paraId="4570D2A5"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1D55CAD8" w14:textId="77777777" w:rsidTr="00B52C55">
        <w:trPr>
          <w:trHeight w:val="300"/>
        </w:trPr>
        <w:tc>
          <w:tcPr>
            <w:tcW w:w="1353" w:type="dxa"/>
            <w:tcBorders>
              <w:top w:val="nil"/>
              <w:left w:val="nil"/>
              <w:bottom w:val="single" w:sz="4" w:space="0" w:color="auto"/>
              <w:right w:val="nil"/>
            </w:tcBorders>
            <w:shd w:val="clear" w:color="auto" w:fill="auto"/>
            <w:noWrap/>
            <w:vAlign w:val="bottom"/>
            <w:hideMark/>
          </w:tcPr>
          <w:p w14:paraId="0BDA40F8"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 </w:t>
            </w:r>
          </w:p>
        </w:tc>
        <w:tc>
          <w:tcPr>
            <w:tcW w:w="1276" w:type="dxa"/>
            <w:gridSpan w:val="2"/>
            <w:tcBorders>
              <w:top w:val="nil"/>
              <w:left w:val="nil"/>
              <w:bottom w:val="single" w:sz="4" w:space="0" w:color="auto"/>
              <w:right w:val="nil"/>
            </w:tcBorders>
            <w:shd w:val="clear" w:color="auto" w:fill="auto"/>
            <w:noWrap/>
            <w:vAlign w:val="bottom"/>
            <w:hideMark/>
          </w:tcPr>
          <w:p w14:paraId="4EFB1361"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2007-1995</w:t>
            </w:r>
          </w:p>
        </w:tc>
        <w:tc>
          <w:tcPr>
            <w:tcW w:w="1276" w:type="dxa"/>
            <w:tcBorders>
              <w:top w:val="nil"/>
              <w:left w:val="nil"/>
              <w:bottom w:val="single" w:sz="4" w:space="0" w:color="auto"/>
              <w:right w:val="nil"/>
            </w:tcBorders>
            <w:shd w:val="clear" w:color="auto" w:fill="auto"/>
            <w:noWrap/>
            <w:vAlign w:val="bottom"/>
            <w:hideMark/>
          </w:tcPr>
          <w:p w14:paraId="11234D4D"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-68,678.1</w:t>
            </w:r>
          </w:p>
        </w:tc>
        <w:tc>
          <w:tcPr>
            <w:tcW w:w="1417" w:type="dxa"/>
            <w:gridSpan w:val="2"/>
            <w:tcBorders>
              <w:top w:val="nil"/>
              <w:left w:val="nil"/>
              <w:bottom w:val="single" w:sz="4" w:space="0" w:color="auto"/>
              <w:right w:val="nil"/>
            </w:tcBorders>
            <w:shd w:val="clear" w:color="auto" w:fill="auto"/>
            <w:noWrap/>
            <w:vAlign w:val="bottom"/>
            <w:hideMark/>
          </w:tcPr>
          <w:p w14:paraId="12594D61"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-57,193.8</w:t>
            </w:r>
          </w:p>
        </w:tc>
        <w:tc>
          <w:tcPr>
            <w:tcW w:w="1261" w:type="dxa"/>
            <w:gridSpan w:val="2"/>
            <w:tcBorders>
              <w:top w:val="nil"/>
              <w:left w:val="nil"/>
              <w:bottom w:val="single" w:sz="4" w:space="0" w:color="auto"/>
              <w:right w:val="nil"/>
            </w:tcBorders>
            <w:shd w:val="clear" w:color="auto" w:fill="auto"/>
            <w:noWrap/>
            <w:vAlign w:val="bottom"/>
            <w:hideMark/>
          </w:tcPr>
          <w:p w14:paraId="06FA43E1"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62,777.1</w:t>
            </w:r>
          </w:p>
        </w:tc>
        <w:tc>
          <w:tcPr>
            <w:tcW w:w="1261" w:type="dxa"/>
            <w:tcBorders>
              <w:top w:val="nil"/>
              <w:left w:val="nil"/>
              <w:bottom w:val="single" w:sz="4" w:space="0" w:color="auto"/>
              <w:right w:val="nil"/>
            </w:tcBorders>
            <w:shd w:val="clear" w:color="auto" w:fill="auto"/>
            <w:noWrap/>
            <w:vAlign w:val="bottom"/>
            <w:hideMark/>
          </w:tcPr>
          <w:p w14:paraId="4A0AC6B6"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215,939.9</w:t>
            </w:r>
          </w:p>
        </w:tc>
        <w:tc>
          <w:tcPr>
            <w:tcW w:w="1432" w:type="dxa"/>
            <w:gridSpan w:val="3"/>
            <w:tcBorders>
              <w:top w:val="nil"/>
              <w:left w:val="nil"/>
              <w:bottom w:val="single" w:sz="4" w:space="0" w:color="auto"/>
              <w:right w:val="nil"/>
            </w:tcBorders>
            <w:shd w:val="clear" w:color="auto" w:fill="auto"/>
            <w:noWrap/>
            <w:vAlign w:val="bottom"/>
            <w:hideMark/>
          </w:tcPr>
          <w:p w14:paraId="1A7601E5"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152,845.1</w:t>
            </w:r>
          </w:p>
        </w:tc>
        <w:tc>
          <w:tcPr>
            <w:tcW w:w="2178" w:type="dxa"/>
            <w:gridSpan w:val="2"/>
            <w:tcBorders>
              <w:top w:val="nil"/>
              <w:left w:val="nil"/>
              <w:bottom w:val="nil"/>
              <w:right w:val="nil"/>
            </w:tcBorders>
            <w:shd w:val="clear" w:color="auto" w:fill="auto"/>
            <w:noWrap/>
            <w:vAlign w:val="bottom"/>
            <w:hideMark/>
          </w:tcPr>
          <w:p w14:paraId="3C33767F"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15DFD2FE" w14:textId="77777777" w:rsidTr="00B52C55">
        <w:trPr>
          <w:trHeight w:val="300"/>
        </w:trPr>
        <w:tc>
          <w:tcPr>
            <w:tcW w:w="1353" w:type="dxa"/>
            <w:tcBorders>
              <w:top w:val="nil"/>
              <w:left w:val="nil"/>
              <w:bottom w:val="nil"/>
              <w:right w:val="nil"/>
            </w:tcBorders>
            <w:shd w:val="clear" w:color="auto" w:fill="auto"/>
            <w:noWrap/>
            <w:vAlign w:val="bottom"/>
            <w:hideMark/>
          </w:tcPr>
          <w:p w14:paraId="7F5378BD"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Luxembourg</w:t>
            </w:r>
          </w:p>
        </w:tc>
        <w:tc>
          <w:tcPr>
            <w:tcW w:w="1276" w:type="dxa"/>
            <w:gridSpan w:val="2"/>
            <w:tcBorders>
              <w:top w:val="nil"/>
              <w:left w:val="nil"/>
              <w:bottom w:val="nil"/>
              <w:right w:val="nil"/>
            </w:tcBorders>
            <w:shd w:val="clear" w:color="auto" w:fill="auto"/>
            <w:noWrap/>
            <w:vAlign w:val="bottom"/>
            <w:hideMark/>
          </w:tcPr>
          <w:p w14:paraId="404BD44F"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1999-1995</w:t>
            </w:r>
          </w:p>
        </w:tc>
        <w:tc>
          <w:tcPr>
            <w:tcW w:w="1276" w:type="dxa"/>
            <w:tcBorders>
              <w:top w:val="nil"/>
              <w:left w:val="nil"/>
              <w:bottom w:val="nil"/>
              <w:right w:val="nil"/>
            </w:tcBorders>
            <w:shd w:val="clear" w:color="auto" w:fill="auto"/>
            <w:noWrap/>
            <w:vAlign w:val="bottom"/>
            <w:hideMark/>
          </w:tcPr>
          <w:p w14:paraId="381CB909"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-2,432.7</w:t>
            </w:r>
          </w:p>
        </w:tc>
        <w:tc>
          <w:tcPr>
            <w:tcW w:w="1417" w:type="dxa"/>
            <w:gridSpan w:val="2"/>
            <w:tcBorders>
              <w:top w:val="nil"/>
              <w:left w:val="nil"/>
              <w:bottom w:val="nil"/>
              <w:right w:val="nil"/>
            </w:tcBorders>
            <w:shd w:val="clear" w:color="auto" w:fill="auto"/>
            <w:noWrap/>
            <w:vAlign w:val="bottom"/>
            <w:hideMark/>
          </w:tcPr>
          <w:p w14:paraId="40F35C0C"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-452.7</w:t>
            </w:r>
          </w:p>
        </w:tc>
        <w:tc>
          <w:tcPr>
            <w:tcW w:w="1261" w:type="dxa"/>
            <w:gridSpan w:val="2"/>
            <w:tcBorders>
              <w:top w:val="nil"/>
              <w:left w:val="nil"/>
              <w:bottom w:val="nil"/>
              <w:right w:val="nil"/>
            </w:tcBorders>
            <w:shd w:val="clear" w:color="auto" w:fill="auto"/>
            <w:noWrap/>
            <w:vAlign w:val="bottom"/>
            <w:hideMark/>
          </w:tcPr>
          <w:p w14:paraId="531F00AA"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556.6</w:t>
            </w:r>
          </w:p>
        </w:tc>
        <w:tc>
          <w:tcPr>
            <w:tcW w:w="1261" w:type="dxa"/>
            <w:tcBorders>
              <w:top w:val="nil"/>
              <w:left w:val="nil"/>
              <w:bottom w:val="nil"/>
              <w:right w:val="nil"/>
            </w:tcBorders>
            <w:shd w:val="clear" w:color="auto" w:fill="auto"/>
            <w:noWrap/>
            <w:vAlign w:val="bottom"/>
            <w:hideMark/>
          </w:tcPr>
          <w:p w14:paraId="67695E76"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998.0</w:t>
            </w:r>
          </w:p>
        </w:tc>
        <w:tc>
          <w:tcPr>
            <w:tcW w:w="1432" w:type="dxa"/>
            <w:gridSpan w:val="3"/>
            <w:tcBorders>
              <w:top w:val="nil"/>
              <w:left w:val="nil"/>
              <w:bottom w:val="nil"/>
              <w:right w:val="nil"/>
            </w:tcBorders>
            <w:shd w:val="clear" w:color="auto" w:fill="auto"/>
            <w:noWrap/>
            <w:vAlign w:val="bottom"/>
            <w:hideMark/>
          </w:tcPr>
          <w:p w14:paraId="5059B380"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-1,330.8</w:t>
            </w:r>
          </w:p>
        </w:tc>
        <w:tc>
          <w:tcPr>
            <w:tcW w:w="2178" w:type="dxa"/>
            <w:gridSpan w:val="2"/>
            <w:tcBorders>
              <w:top w:val="nil"/>
              <w:left w:val="nil"/>
              <w:bottom w:val="nil"/>
              <w:right w:val="nil"/>
            </w:tcBorders>
            <w:shd w:val="clear" w:color="auto" w:fill="auto"/>
            <w:noWrap/>
            <w:vAlign w:val="bottom"/>
            <w:hideMark/>
          </w:tcPr>
          <w:p w14:paraId="1C481F27"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78BB86E3" w14:textId="77777777" w:rsidTr="00B52C55">
        <w:trPr>
          <w:trHeight w:val="300"/>
        </w:trPr>
        <w:tc>
          <w:tcPr>
            <w:tcW w:w="1353" w:type="dxa"/>
            <w:tcBorders>
              <w:top w:val="nil"/>
              <w:left w:val="nil"/>
              <w:bottom w:val="nil"/>
              <w:right w:val="nil"/>
            </w:tcBorders>
            <w:shd w:val="clear" w:color="auto" w:fill="auto"/>
            <w:noWrap/>
            <w:vAlign w:val="bottom"/>
            <w:hideMark/>
          </w:tcPr>
          <w:p w14:paraId="46AE1A1D"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202C9B16"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2003-1999</w:t>
            </w:r>
          </w:p>
        </w:tc>
        <w:tc>
          <w:tcPr>
            <w:tcW w:w="1276" w:type="dxa"/>
            <w:tcBorders>
              <w:top w:val="nil"/>
              <w:left w:val="nil"/>
              <w:bottom w:val="nil"/>
              <w:right w:val="nil"/>
            </w:tcBorders>
            <w:shd w:val="clear" w:color="auto" w:fill="auto"/>
            <w:noWrap/>
            <w:vAlign w:val="bottom"/>
            <w:hideMark/>
          </w:tcPr>
          <w:p w14:paraId="6A465895"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-2,836.0</w:t>
            </w:r>
          </w:p>
        </w:tc>
        <w:tc>
          <w:tcPr>
            <w:tcW w:w="1417" w:type="dxa"/>
            <w:gridSpan w:val="2"/>
            <w:tcBorders>
              <w:top w:val="nil"/>
              <w:left w:val="nil"/>
              <w:bottom w:val="nil"/>
              <w:right w:val="nil"/>
            </w:tcBorders>
            <w:shd w:val="clear" w:color="auto" w:fill="auto"/>
            <w:noWrap/>
            <w:vAlign w:val="bottom"/>
            <w:hideMark/>
          </w:tcPr>
          <w:p w14:paraId="27C131CF"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389.9</w:t>
            </w:r>
          </w:p>
        </w:tc>
        <w:tc>
          <w:tcPr>
            <w:tcW w:w="1261" w:type="dxa"/>
            <w:gridSpan w:val="2"/>
            <w:tcBorders>
              <w:top w:val="nil"/>
              <w:left w:val="nil"/>
              <w:bottom w:val="nil"/>
              <w:right w:val="nil"/>
            </w:tcBorders>
            <w:shd w:val="clear" w:color="auto" w:fill="auto"/>
            <w:noWrap/>
            <w:vAlign w:val="bottom"/>
            <w:hideMark/>
          </w:tcPr>
          <w:p w14:paraId="39A09855"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197.1</w:t>
            </w:r>
          </w:p>
        </w:tc>
        <w:tc>
          <w:tcPr>
            <w:tcW w:w="1261" w:type="dxa"/>
            <w:tcBorders>
              <w:top w:val="nil"/>
              <w:left w:val="nil"/>
              <w:bottom w:val="nil"/>
              <w:right w:val="nil"/>
            </w:tcBorders>
            <w:shd w:val="clear" w:color="auto" w:fill="auto"/>
            <w:noWrap/>
            <w:vAlign w:val="bottom"/>
            <w:hideMark/>
          </w:tcPr>
          <w:p w14:paraId="6100CF51"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744.3</w:t>
            </w:r>
          </w:p>
        </w:tc>
        <w:tc>
          <w:tcPr>
            <w:tcW w:w="1432" w:type="dxa"/>
            <w:gridSpan w:val="3"/>
            <w:tcBorders>
              <w:top w:val="nil"/>
              <w:left w:val="nil"/>
              <w:bottom w:val="nil"/>
              <w:right w:val="nil"/>
            </w:tcBorders>
            <w:shd w:val="clear" w:color="auto" w:fill="auto"/>
            <w:noWrap/>
            <w:vAlign w:val="bottom"/>
            <w:hideMark/>
          </w:tcPr>
          <w:p w14:paraId="771E397A"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-1,504.7</w:t>
            </w:r>
          </w:p>
        </w:tc>
        <w:tc>
          <w:tcPr>
            <w:tcW w:w="2178" w:type="dxa"/>
            <w:gridSpan w:val="2"/>
            <w:tcBorders>
              <w:top w:val="nil"/>
              <w:left w:val="nil"/>
              <w:bottom w:val="nil"/>
              <w:right w:val="nil"/>
            </w:tcBorders>
            <w:shd w:val="clear" w:color="auto" w:fill="auto"/>
            <w:noWrap/>
            <w:vAlign w:val="bottom"/>
            <w:hideMark/>
          </w:tcPr>
          <w:p w14:paraId="5D900277"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7B0137AD" w14:textId="77777777" w:rsidTr="00B52C55">
        <w:trPr>
          <w:trHeight w:val="300"/>
        </w:trPr>
        <w:tc>
          <w:tcPr>
            <w:tcW w:w="1353" w:type="dxa"/>
            <w:tcBorders>
              <w:top w:val="nil"/>
              <w:left w:val="nil"/>
              <w:bottom w:val="nil"/>
              <w:right w:val="nil"/>
            </w:tcBorders>
            <w:shd w:val="clear" w:color="auto" w:fill="auto"/>
            <w:noWrap/>
            <w:vAlign w:val="bottom"/>
            <w:hideMark/>
          </w:tcPr>
          <w:p w14:paraId="4D32B5BD"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2D72F67E"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2007-2003</w:t>
            </w:r>
          </w:p>
        </w:tc>
        <w:tc>
          <w:tcPr>
            <w:tcW w:w="1276" w:type="dxa"/>
            <w:tcBorders>
              <w:top w:val="nil"/>
              <w:left w:val="nil"/>
              <w:bottom w:val="nil"/>
              <w:right w:val="nil"/>
            </w:tcBorders>
            <w:shd w:val="clear" w:color="auto" w:fill="auto"/>
            <w:noWrap/>
            <w:vAlign w:val="bottom"/>
            <w:hideMark/>
          </w:tcPr>
          <w:p w14:paraId="2E6709A7"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-695.1</w:t>
            </w:r>
          </w:p>
        </w:tc>
        <w:tc>
          <w:tcPr>
            <w:tcW w:w="1417" w:type="dxa"/>
            <w:gridSpan w:val="2"/>
            <w:tcBorders>
              <w:top w:val="nil"/>
              <w:left w:val="nil"/>
              <w:bottom w:val="nil"/>
              <w:right w:val="nil"/>
            </w:tcBorders>
            <w:shd w:val="clear" w:color="auto" w:fill="auto"/>
            <w:noWrap/>
            <w:vAlign w:val="bottom"/>
            <w:hideMark/>
          </w:tcPr>
          <w:p w14:paraId="41EA2941"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-319.7</w:t>
            </w:r>
          </w:p>
        </w:tc>
        <w:tc>
          <w:tcPr>
            <w:tcW w:w="1261" w:type="dxa"/>
            <w:gridSpan w:val="2"/>
            <w:tcBorders>
              <w:top w:val="nil"/>
              <w:left w:val="nil"/>
              <w:bottom w:val="nil"/>
              <w:right w:val="nil"/>
            </w:tcBorders>
            <w:shd w:val="clear" w:color="auto" w:fill="auto"/>
            <w:noWrap/>
            <w:vAlign w:val="bottom"/>
            <w:hideMark/>
          </w:tcPr>
          <w:p w14:paraId="4F3D776E"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142.3</w:t>
            </w:r>
          </w:p>
        </w:tc>
        <w:tc>
          <w:tcPr>
            <w:tcW w:w="1261" w:type="dxa"/>
            <w:tcBorders>
              <w:top w:val="nil"/>
              <w:left w:val="nil"/>
              <w:bottom w:val="nil"/>
              <w:right w:val="nil"/>
            </w:tcBorders>
            <w:shd w:val="clear" w:color="auto" w:fill="auto"/>
            <w:noWrap/>
            <w:vAlign w:val="bottom"/>
            <w:hideMark/>
          </w:tcPr>
          <w:p w14:paraId="041BA87B"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879.2</w:t>
            </w:r>
          </w:p>
        </w:tc>
        <w:tc>
          <w:tcPr>
            <w:tcW w:w="1432" w:type="dxa"/>
            <w:gridSpan w:val="3"/>
            <w:tcBorders>
              <w:top w:val="nil"/>
              <w:left w:val="nil"/>
              <w:bottom w:val="nil"/>
              <w:right w:val="nil"/>
            </w:tcBorders>
            <w:shd w:val="clear" w:color="auto" w:fill="auto"/>
            <w:noWrap/>
            <w:vAlign w:val="bottom"/>
            <w:hideMark/>
          </w:tcPr>
          <w:p w14:paraId="341B3147"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6.7</w:t>
            </w:r>
          </w:p>
        </w:tc>
        <w:tc>
          <w:tcPr>
            <w:tcW w:w="2178" w:type="dxa"/>
            <w:gridSpan w:val="2"/>
            <w:tcBorders>
              <w:top w:val="nil"/>
              <w:left w:val="nil"/>
              <w:bottom w:val="nil"/>
              <w:right w:val="nil"/>
            </w:tcBorders>
            <w:shd w:val="clear" w:color="auto" w:fill="auto"/>
            <w:noWrap/>
            <w:vAlign w:val="bottom"/>
            <w:hideMark/>
          </w:tcPr>
          <w:p w14:paraId="123E4C49"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75BED58E" w14:textId="77777777" w:rsidTr="00B52C55">
        <w:trPr>
          <w:trHeight w:val="300"/>
        </w:trPr>
        <w:tc>
          <w:tcPr>
            <w:tcW w:w="1353" w:type="dxa"/>
            <w:tcBorders>
              <w:top w:val="nil"/>
              <w:left w:val="nil"/>
              <w:bottom w:val="single" w:sz="4" w:space="0" w:color="auto"/>
              <w:right w:val="nil"/>
            </w:tcBorders>
            <w:shd w:val="clear" w:color="auto" w:fill="auto"/>
            <w:noWrap/>
            <w:vAlign w:val="bottom"/>
            <w:hideMark/>
          </w:tcPr>
          <w:p w14:paraId="78C1D9A9"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 </w:t>
            </w:r>
          </w:p>
        </w:tc>
        <w:tc>
          <w:tcPr>
            <w:tcW w:w="1276" w:type="dxa"/>
            <w:gridSpan w:val="2"/>
            <w:tcBorders>
              <w:top w:val="nil"/>
              <w:left w:val="nil"/>
              <w:bottom w:val="single" w:sz="4" w:space="0" w:color="auto"/>
              <w:right w:val="nil"/>
            </w:tcBorders>
            <w:shd w:val="clear" w:color="auto" w:fill="auto"/>
            <w:noWrap/>
            <w:vAlign w:val="bottom"/>
            <w:hideMark/>
          </w:tcPr>
          <w:p w14:paraId="3FC8254D"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2007-1995</w:t>
            </w:r>
          </w:p>
        </w:tc>
        <w:tc>
          <w:tcPr>
            <w:tcW w:w="1276" w:type="dxa"/>
            <w:tcBorders>
              <w:top w:val="nil"/>
              <w:left w:val="nil"/>
              <w:bottom w:val="single" w:sz="4" w:space="0" w:color="auto"/>
              <w:right w:val="nil"/>
            </w:tcBorders>
            <w:shd w:val="clear" w:color="auto" w:fill="auto"/>
            <w:noWrap/>
            <w:vAlign w:val="bottom"/>
            <w:hideMark/>
          </w:tcPr>
          <w:p w14:paraId="7C4BCD04"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-6,488.1</w:t>
            </w:r>
          </w:p>
        </w:tc>
        <w:tc>
          <w:tcPr>
            <w:tcW w:w="1417" w:type="dxa"/>
            <w:gridSpan w:val="2"/>
            <w:tcBorders>
              <w:top w:val="nil"/>
              <w:left w:val="nil"/>
              <w:bottom w:val="single" w:sz="4" w:space="0" w:color="auto"/>
              <w:right w:val="nil"/>
            </w:tcBorders>
            <w:shd w:val="clear" w:color="auto" w:fill="auto"/>
            <w:noWrap/>
            <w:vAlign w:val="bottom"/>
            <w:hideMark/>
          </w:tcPr>
          <w:p w14:paraId="03050EB0"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-414.0</w:t>
            </w:r>
          </w:p>
        </w:tc>
        <w:tc>
          <w:tcPr>
            <w:tcW w:w="1261" w:type="dxa"/>
            <w:gridSpan w:val="2"/>
            <w:tcBorders>
              <w:top w:val="nil"/>
              <w:left w:val="nil"/>
              <w:bottom w:val="single" w:sz="4" w:space="0" w:color="auto"/>
              <w:right w:val="nil"/>
            </w:tcBorders>
            <w:shd w:val="clear" w:color="auto" w:fill="auto"/>
            <w:noWrap/>
            <w:vAlign w:val="bottom"/>
            <w:hideMark/>
          </w:tcPr>
          <w:p w14:paraId="74112FB4"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969.9</w:t>
            </w:r>
          </w:p>
        </w:tc>
        <w:tc>
          <w:tcPr>
            <w:tcW w:w="1261" w:type="dxa"/>
            <w:tcBorders>
              <w:top w:val="nil"/>
              <w:left w:val="nil"/>
              <w:bottom w:val="single" w:sz="4" w:space="0" w:color="auto"/>
              <w:right w:val="nil"/>
            </w:tcBorders>
            <w:shd w:val="clear" w:color="auto" w:fill="auto"/>
            <w:noWrap/>
            <w:vAlign w:val="bottom"/>
            <w:hideMark/>
          </w:tcPr>
          <w:p w14:paraId="52600E51"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3,103.4</w:t>
            </w:r>
          </w:p>
        </w:tc>
        <w:tc>
          <w:tcPr>
            <w:tcW w:w="1432" w:type="dxa"/>
            <w:gridSpan w:val="3"/>
            <w:tcBorders>
              <w:top w:val="nil"/>
              <w:left w:val="nil"/>
              <w:bottom w:val="single" w:sz="4" w:space="0" w:color="auto"/>
              <w:right w:val="nil"/>
            </w:tcBorders>
            <w:shd w:val="clear" w:color="auto" w:fill="auto"/>
            <w:noWrap/>
            <w:vAlign w:val="bottom"/>
            <w:hideMark/>
          </w:tcPr>
          <w:p w14:paraId="4A1228FE"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-2,828.7</w:t>
            </w:r>
          </w:p>
        </w:tc>
        <w:tc>
          <w:tcPr>
            <w:tcW w:w="2178" w:type="dxa"/>
            <w:gridSpan w:val="2"/>
            <w:tcBorders>
              <w:top w:val="nil"/>
              <w:left w:val="nil"/>
              <w:bottom w:val="nil"/>
              <w:right w:val="nil"/>
            </w:tcBorders>
            <w:shd w:val="clear" w:color="auto" w:fill="auto"/>
            <w:noWrap/>
            <w:vAlign w:val="bottom"/>
            <w:hideMark/>
          </w:tcPr>
          <w:p w14:paraId="35BB83DF"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30B76009" w14:textId="77777777" w:rsidTr="00B52C55">
        <w:trPr>
          <w:trHeight w:val="300"/>
        </w:trPr>
        <w:tc>
          <w:tcPr>
            <w:tcW w:w="1353" w:type="dxa"/>
            <w:tcBorders>
              <w:top w:val="nil"/>
              <w:left w:val="nil"/>
              <w:bottom w:val="nil"/>
              <w:right w:val="nil"/>
            </w:tcBorders>
            <w:shd w:val="clear" w:color="auto" w:fill="auto"/>
            <w:noWrap/>
            <w:vAlign w:val="bottom"/>
            <w:hideMark/>
          </w:tcPr>
          <w:p w14:paraId="351396BB"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Mexico</w:t>
            </w:r>
          </w:p>
        </w:tc>
        <w:tc>
          <w:tcPr>
            <w:tcW w:w="1276" w:type="dxa"/>
            <w:gridSpan w:val="2"/>
            <w:tcBorders>
              <w:top w:val="nil"/>
              <w:left w:val="nil"/>
              <w:bottom w:val="nil"/>
              <w:right w:val="nil"/>
            </w:tcBorders>
            <w:shd w:val="clear" w:color="auto" w:fill="auto"/>
            <w:noWrap/>
            <w:vAlign w:val="bottom"/>
            <w:hideMark/>
          </w:tcPr>
          <w:p w14:paraId="4B8A5E5F"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1999-1995</w:t>
            </w:r>
          </w:p>
        </w:tc>
        <w:tc>
          <w:tcPr>
            <w:tcW w:w="1276" w:type="dxa"/>
            <w:tcBorders>
              <w:top w:val="nil"/>
              <w:left w:val="nil"/>
              <w:bottom w:val="nil"/>
              <w:right w:val="nil"/>
            </w:tcBorders>
            <w:shd w:val="clear" w:color="auto" w:fill="auto"/>
            <w:noWrap/>
            <w:vAlign w:val="bottom"/>
            <w:hideMark/>
          </w:tcPr>
          <w:p w14:paraId="16534592"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351.4</w:t>
            </w:r>
          </w:p>
        </w:tc>
        <w:tc>
          <w:tcPr>
            <w:tcW w:w="1417" w:type="dxa"/>
            <w:gridSpan w:val="2"/>
            <w:tcBorders>
              <w:top w:val="nil"/>
              <w:left w:val="nil"/>
              <w:bottom w:val="nil"/>
              <w:right w:val="nil"/>
            </w:tcBorders>
            <w:shd w:val="clear" w:color="auto" w:fill="auto"/>
            <w:noWrap/>
            <w:vAlign w:val="bottom"/>
            <w:hideMark/>
          </w:tcPr>
          <w:p w14:paraId="13A0AA77"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-16,502.0</w:t>
            </w:r>
          </w:p>
        </w:tc>
        <w:tc>
          <w:tcPr>
            <w:tcW w:w="1261" w:type="dxa"/>
            <w:gridSpan w:val="2"/>
            <w:tcBorders>
              <w:top w:val="nil"/>
              <w:left w:val="nil"/>
              <w:bottom w:val="nil"/>
              <w:right w:val="nil"/>
            </w:tcBorders>
            <w:shd w:val="clear" w:color="auto" w:fill="auto"/>
            <w:noWrap/>
            <w:vAlign w:val="bottom"/>
            <w:hideMark/>
          </w:tcPr>
          <w:p w14:paraId="15B84218"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20,802.8</w:t>
            </w:r>
          </w:p>
        </w:tc>
        <w:tc>
          <w:tcPr>
            <w:tcW w:w="1261" w:type="dxa"/>
            <w:tcBorders>
              <w:top w:val="nil"/>
              <w:left w:val="nil"/>
              <w:bottom w:val="nil"/>
              <w:right w:val="nil"/>
            </w:tcBorders>
            <w:shd w:val="clear" w:color="auto" w:fill="auto"/>
            <w:noWrap/>
            <w:vAlign w:val="bottom"/>
            <w:hideMark/>
          </w:tcPr>
          <w:p w14:paraId="58CC424C"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45,951.9</w:t>
            </w:r>
          </w:p>
        </w:tc>
        <w:tc>
          <w:tcPr>
            <w:tcW w:w="1432" w:type="dxa"/>
            <w:gridSpan w:val="3"/>
            <w:tcBorders>
              <w:top w:val="nil"/>
              <w:left w:val="nil"/>
              <w:bottom w:val="nil"/>
              <w:right w:val="nil"/>
            </w:tcBorders>
            <w:shd w:val="clear" w:color="auto" w:fill="auto"/>
            <w:noWrap/>
            <w:vAlign w:val="bottom"/>
            <w:hideMark/>
          </w:tcPr>
          <w:p w14:paraId="2F184490"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50,604.1</w:t>
            </w:r>
          </w:p>
        </w:tc>
        <w:tc>
          <w:tcPr>
            <w:tcW w:w="2178" w:type="dxa"/>
            <w:gridSpan w:val="2"/>
            <w:tcBorders>
              <w:top w:val="nil"/>
              <w:left w:val="nil"/>
              <w:bottom w:val="nil"/>
              <w:right w:val="nil"/>
            </w:tcBorders>
            <w:shd w:val="clear" w:color="auto" w:fill="auto"/>
            <w:noWrap/>
            <w:vAlign w:val="bottom"/>
            <w:hideMark/>
          </w:tcPr>
          <w:p w14:paraId="510B11D1"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720D867E" w14:textId="77777777" w:rsidTr="00B52C55">
        <w:trPr>
          <w:trHeight w:val="300"/>
        </w:trPr>
        <w:tc>
          <w:tcPr>
            <w:tcW w:w="1353" w:type="dxa"/>
            <w:tcBorders>
              <w:top w:val="nil"/>
              <w:left w:val="nil"/>
              <w:bottom w:val="nil"/>
              <w:right w:val="nil"/>
            </w:tcBorders>
            <w:shd w:val="clear" w:color="auto" w:fill="auto"/>
            <w:noWrap/>
            <w:vAlign w:val="bottom"/>
            <w:hideMark/>
          </w:tcPr>
          <w:p w14:paraId="05EBFC56"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493C1229"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2003-1999</w:t>
            </w:r>
          </w:p>
        </w:tc>
        <w:tc>
          <w:tcPr>
            <w:tcW w:w="1276" w:type="dxa"/>
            <w:tcBorders>
              <w:top w:val="nil"/>
              <w:left w:val="nil"/>
              <w:bottom w:val="nil"/>
              <w:right w:val="nil"/>
            </w:tcBorders>
            <w:shd w:val="clear" w:color="auto" w:fill="auto"/>
            <w:noWrap/>
            <w:vAlign w:val="bottom"/>
            <w:hideMark/>
          </w:tcPr>
          <w:p w14:paraId="20917B19"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686.0</w:t>
            </w:r>
          </w:p>
        </w:tc>
        <w:tc>
          <w:tcPr>
            <w:tcW w:w="1417" w:type="dxa"/>
            <w:gridSpan w:val="2"/>
            <w:tcBorders>
              <w:top w:val="nil"/>
              <w:left w:val="nil"/>
              <w:bottom w:val="nil"/>
              <w:right w:val="nil"/>
            </w:tcBorders>
            <w:shd w:val="clear" w:color="auto" w:fill="auto"/>
            <w:noWrap/>
            <w:vAlign w:val="bottom"/>
            <w:hideMark/>
          </w:tcPr>
          <w:p w14:paraId="082C3D82"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-131.1</w:t>
            </w:r>
          </w:p>
        </w:tc>
        <w:tc>
          <w:tcPr>
            <w:tcW w:w="1261" w:type="dxa"/>
            <w:gridSpan w:val="2"/>
            <w:tcBorders>
              <w:top w:val="nil"/>
              <w:left w:val="nil"/>
              <w:bottom w:val="nil"/>
              <w:right w:val="nil"/>
            </w:tcBorders>
            <w:shd w:val="clear" w:color="auto" w:fill="auto"/>
            <w:noWrap/>
            <w:vAlign w:val="bottom"/>
            <w:hideMark/>
          </w:tcPr>
          <w:p w14:paraId="24406C62"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-16,211.8</w:t>
            </w:r>
          </w:p>
        </w:tc>
        <w:tc>
          <w:tcPr>
            <w:tcW w:w="1261" w:type="dxa"/>
            <w:tcBorders>
              <w:top w:val="nil"/>
              <w:left w:val="nil"/>
              <w:bottom w:val="nil"/>
              <w:right w:val="nil"/>
            </w:tcBorders>
            <w:shd w:val="clear" w:color="auto" w:fill="auto"/>
            <w:noWrap/>
            <w:vAlign w:val="bottom"/>
            <w:hideMark/>
          </w:tcPr>
          <w:p w14:paraId="568AC25E"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47,872.8</w:t>
            </w:r>
          </w:p>
        </w:tc>
        <w:tc>
          <w:tcPr>
            <w:tcW w:w="1432" w:type="dxa"/>
            <w:gridSpan w:val="3"/>
            <w:tcBorders>
              <w:top w:val="nil"/>
              <w:left w:val="nil"/>
              <w:bottom w:val="nil"/>
              <w:right w:val="nil"/>
            </w:tcBorders>
            <w:shd w:val="clear" w:color="auto" w:fill="auto"/>
            <w:noWrap/>
            <w:vAlign w:val="bottom"/>
            <w:hideMark/>
          </w:tcPr>
          <w:p w14:paraId="244F7707"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32,215.9</w:t>
            </w:r>
          </w:p>
        </w:tc>
        <w:tc>
          <w:tcPr>
            <w:tcW w:w="2178" w:type="dxa"/>
            <w:gridSpan w:val="2"/>
            <w:tcBorders>
              <w:top w:val="nil"/>
              <w:left w:val="nil"/>
              <w:bottom w:val="nil"/>
              <w:right w:val="nil"/>
            </w:tcBorders>
            <w:shd w:val="clear" w:color="auto" w:fill="auto"/>
            <w:noWrap/>
            <w:vAlign w:val="bottom"/>
            <w:hideMark/>
          </w:tcPr>
          <w:p w14:paraId="17960A15"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61D53AF7" w14:textId="77777777" w:rsidTr="00B52C55">
        <w:trPr>
          <w:trHeight w:val="300"/>
        </w:trPr>
        <w:tc>
          <w:tcPr>
            <w:tcW w:w="1353" w:type="dxa"/>
            <w:tcBorders>
              <w:top w:val="nil"/>
              <w:left w:val="nil"/>
              <w:bottom w:val="nil"/>
              <w:right w:val="nil"/>
            </w:tcBorders>
            <w:shd w:val="clear" w:color="auto" w:fill="auto"/>
            <w:noWrap/>
            <w:vAlign w:val="bottom"/>
            <w:hideMark/>
          </w:tcPr>
          <w:p w14:paraId="0BED78D4"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3041039B"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2007-2003</w:t>
            </w:r>
          </w:p>
        </w:tc>
        <w:tc>
          <w:tcPr>
            <w:tcW w:w="1276" w:type="dxa"/>
            <w:tcBorders>
              <w:top w:val="nil"/>
              <w:left w:val="nil"/>
              <w:bottom w:val="nil"/>
              <w:right w:val="nil"/>
            </w:tcBorders>
            <w:shd w:val="clear" w:color="auto" w:fill="auto"/>
            <w:noWrap/>
            <w:vAlign w:val="bottom"/>
            <w:hideMark/>
          </w:tcPr>
          <w:p w14:paraId="493419B0"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-3,658.3</w:t>
            </w:r>
          </w:p>
        </w:tc>
        <w:tc>
          <w:tcPr>
            <w:tcW w:w="1417" w:type="dxa"/>
            <w:gridSpan w:val="2"/>
            <w:tcBorders>
              <w:top w:val="nil"/>
              <w:left w:val="nil"/>
              <w:bottom w:val="nil"/>
              <w:right w:val="nil"/>
            </w:tcBorders>
            <w:shd w:val="clear" w:color="auto" w:fill="auto"/>
            <w:noWrap/>
            <w:vAlign w:val="bottom"/>
            <w:hideMark/>
          </w:tcPr>
          <w:p w14:paraId="6ECA609B"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-8,473.5</w:t>
            </w:r>
          </w:p>
        </w:tc>
        <w:tc>
          <w:tcPr>
            <w:tcW w:w="1261" w:type="dxa"/>
            <w:gridSpan w:val="2"/>
            <w:tcBorders>
              <w:top w:val="nil"/>
              <w:left w:val="nil"/>
              <w:bottom w:val="nil"/>
              <w:right w:val="nil"/>
            </w:tcBorders>
            <w:shd w:val="clear" w:color="auto" w:fill="auto"/>
            <w:noWrap/>
            <w:vAlign w:val="bottom"/>
            <w:hideMark/>
          </w:tcPr>
          <w:p w14:paraId="64E91B2F"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-10,550.4</w:t>
            </w:r>
          </w:p>
        </w:tc>
        <w:tc>
          <w:tcPr>
            <w:tcW w:w="1261" w:type="dxa"/>
            <w:tcBorders>
              <w:top w:val="nil"/>
              <w:left w:val="nil"/>
              <w:bottom w:val="nil"/>
              <w:right w:val="nil"/>
            </w:tcBorders>
            <w:shd w:val="clear" w:color="auto" w:fill="auto"/>
            <w:noWrap/>
            <w:vAlign w:val="bottom"/>
            <w:hideMark/>
          </w:tcPr>
          <w:p w14:paraId="5DC4C419"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73,396.5</w:t>
            </w:r>
          </w:p>
        </w:tc>
        <w:tc>
          <w:tcPr>
            <w:tcW w:w="1432" w:type="dxa"/>
            <w:gridSpan w:val="3"/>
            <w:tcBorders>
              <w:top w:val="nil"/>
              <w:left w:val="nil"/>
              <w:bottom w:val="nil"/>
              <w:right w:val="nil"/>
            </w:tcBorders>
            <w:shd w:val="clear" w:color="auto" w:fill="auto"/>
            <w:noWrap/>
            <w:vAlign w:val="bottom"/>
            <w:hideMark/>
          </w:tcPr>
          <w:p w14:paraId="60A3CDBE"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50,714.4</w:t>
            </w:r>
          </w:p>
        </w:tc>
        <w:tc>
          <w:tcPr>
            <w:tcW w:w="2178" w:type="dxa"/>
            <w:gridSpan w:val="2"/>
            <w:tcBorders>
              <w:top w:val="nil"/>
              <w:left w:val="nil"/>
              <w:bottom w:val="nil"/>
              <w:right w:val="nil"/>
            </w:tcBorders>
            <w:shd w:val="clear" w:color="auto" w:fill="auto"/>
            <w:noWrap/>
            <w:vAlign w:val="bottom"/>
            <w:hideMark/>
          </w:tcPr>
          <w:p w14:paraId="0718E9FD"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229C7063" w14:textId="77777777" w:rsidTr="00B52C55">
        <w:trPr>
          <w:trHeight w:val="300"/>
        </w:trPr>
        <w:tc>
          <w:tcPr>
            <w:tcW w:w="1353" w:type="dxa"/>
            <w:tcBorders>
              <w:top w:val="nil"/>
              <w:left w:val="nil"/>
              <w:bottom w:val="single" w:sz="4" w:space="0" w:color="auto"/>
              <w:right w:val="nil"/>
            </w:tcBorders>
            <w:shd w:val="clear" w:color="auto" w:fill="auto"/>
            <w:noWrap/>
            <w:vAlign w:val="bottom"/>
            <w:hideMark/>
          </w:tcPr>
          <w:p w14:paraId="4C440E71"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 </w:t>
            </w:r>
          </w:p>
        </w:tc>
        <w:tc>
          <w:tcPr>
            <w:tcW w:w="1276" w:type="dxa"/>
            <w:gridSpan w:val="2"/>
            <w:tcBorders>
              <w:top w:val="nil"/>
              <w:left w:val="nil"/>
              <w:bottom w:val="single" w:sz="4" w:space="0" w:color="auto"/>
              <w:right w:val="nil"/>
            </w:tcBorders>
            <w:shd w:val="clear" w:color="auto" w:fill="auto"/>
            <w:noWrap/>
            <w:vAlign w:val="bottom"/>
            <w:hideMark/>
          </w:tcPr>
          <w:p w14:paraId="69EAD06D"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2007-1995</w:t>
            </w:r>
          </w:p>
        </w:tc>
        <w:tc>
          <w:tcPr>
            <w:tcW w:w="1276" w:type="dxa"/>
            <w:tcBorders>
              <w:top w:val="nil"/>
              <w:left w:val="nil"/>
              <w:bottom w:val="single" w:sz="4" w:space="0" w:color="auto"/>
              <w:right w:val="nil"/>
            </w:tcBorders>
            <w:shd w:val="clear" w:color="auto" w:fill="auto"/>
            <w:noWrap/>
            <w:vAlign w:val="bottom"/>
            <w:hideMark/>
          </w:tcPr>
          <w:p w14:paraId="704ADB75"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-2,220.0</w:t>
            </w:r>
          </w:p>
        </w:tc>
        <w:tc>
          <w:tcPr>
            <w:tcW w:w="1417" w:type="dxa"/>
            <w:gridSpan w:val="2"/>
            <w:tcBorders>
              <w:top w:val="nil"/>
              <w:left w:val="nil"/>
              <w:bottom w:val="single" w:sz="4" w:space="0" w:color="auto"/>
              <w:right w:val="nil"/>
            </w:tcBorders>
            <w:shd w:val="clear" w:color="auto" w:fill="auto"/>
            <w:noWrap/>
            <w:vAlign w:val="bottom"/>
            <w:hideMark/>
          </w:tcPr>
          <w:p w14:paraId="02D20CFF"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-26,507.4</w:t>
            </w:r>
          </w:p>
        </w:tc>
        <w:tc>
          <w:tcPr>
            <w:tcW w:w="1261" w:type="dxa"/>
            <w:gridSpan w:val="2"/>
            <w:tcBorders>
              <w:top w:val="nil"/>
              <w:left w:val="nil"/>
              <w:bottom w:val="single" w:sz="4" w:space="0" w:color="auto"/>
              <w:right w:val="nil"/>
            </w:tcBorders>
            <w:shd w:val="clear" w:color="auto" w:fill="auto"/>
            <w:noWrap/>
            <w:vAlign w:val="bottom"/>
            <w:hideMark/>
          </w:tcPr>
          <w:p w14:paraId="4F493EEB"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-2,267.0</w:t>
            </w:r>
          </w:p>
        </w:tc>
        <w:tc>
          <w:tcPr>
            <w:tcW w:w="1261" w:type="dxa"/>
            <w:tcBorders>
              <w:top w:val="nil"/>
              <w:left w:val="nil"/>
              <w:bottom w:val="single" w:sz="4" w:space="0" w:color="auto"/>
              <w:right w:val="nil"/>
            </w:tcBorders>
            <w:shd w:val="clear" w:color="auto" w:fill="auto"/>
            <w:noWrap/>
            <w:vAlign w:val="bottom"/>
            <w:hideMark/>
          </w:tcPr>
          <w:p w14:paraId="47FFA4A0"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164,528.9</w:t>
            </w:r>
          </w:p>
        </w:tc>
        <w:tc>
          <w:tcPr>
            <w:tcW w:w="1432" w:type="dxa"/>
            <w:gridSpan w:val="3"/>
            <w:tcBorders>
              <w:top w:val="nil"/>
              <w:left w:val="nil"/>
              <w:bottom w:val="single" w:sz="4" w:space="0" w:color="auto"/>
              <w:right w:val="nil"/>
            </w:tcBorders>
            <w:shd w:val="clear" w:color="auto" w:fill="auto"/>
            <w:noWrap/>
            <w:vAlign w:val="bottom"/>
            <w:hideMark/>
          </w:tcPr>
          <w:p w14:paraId="355B6425"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133,534.4</w:t>
            </w:r>
          </w:p>
        </w:tc>
        <w:tc>
          <w:tcPr>
            <w:tcW w:w="2178" w:type="dxa"/>
            <w:gridSpan w:val="2"/>
            <w:tcBorders>
              <w:top w:val="nil"/>
              <w:left w:val="nil"/>
              <w:bottom w:val="nil"/>
              <w:right w:val="nil"/>
            </w:tcBorders>
            <w:shd w:val="clear" w:color="auto" w:fill="auto"/>
            <w:noWrap/>
            <w:vAlign w:val="bottom"/>
            <w:hideMark/>
          </w:tcPr>
          <w:p w14:paraId="0E1DA700"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7ECF1C12" w14:textId="77777777" w:rsidTr="00B52C55">
        <w:trPr>
          <w:trHeight w:val="300"/>
        </w:trPr>
        <w:tc>
          <w:tcPr>
            <w:tcW w:w="1353" w:type="dxa"/>
            <w:tcBorders>
              <w:top w:val="nil"/>
              <w:left w:val="nil"/>
              <w:bottom w:val="nil"/>
              <w:right w:val="nil"/>
            </w:tcBorders>
            <w:shd w:val="clear" w:color="auto" w:fill="auto"/>
            <w:noWrap/>
            <w:vAlign w:val="bottom"/>
            <w:hideMark/>
          </w:tcPr>
          <w:p w14:paraId="66904115"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Netherland</w:t>
            </w:r>
          </w:p>
        </w:tc>
        <w:tc>
          <w:tcPr>
            <w:tcW w:w="1276" w:type="dxa"/>
            <w:gridSpan w:val="2"/>
            <w:tcBorders>
              <w:top w:val="nil"/>
              <w:left w:val="nil"/>
              <w:bottom w:val="nil"/>
              <w:right w:val="nil"/>
            </w:tcBorders>
            <w:shd w:val="clear" w:color="auto" w:fill="auto"/>
            <w:noWrap/>
            <w:vAlign w:val="bottom"/>
            <w:hideMark/>
          </w:tcPr>
          <w:p w14:paraId="471DA888"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1999-1995</w:t>
            </w:r>
          </w:p>
        </w:tc>
        <w:tc>
          <w:tcPr>
            <w:tcW w:w="1276" w:type="dxa"/>
            <w:tcBorders>
              <w:top w:val="nil"/>
              <w:left w:val="nil"/>
              <w:bottom w:val="nil"/>
              <w:right w:val="nil"/>
            </w:tcBorders>
            <w:shd w:val="clear" w:color="auto" w:fill="auto"/>
            <w:noWrap/>
            <w:vAlign w:val="bottom"/>
            <w:hideMark/>
          </w:tcPr>
          <w:p w14:paraId="57D74471"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4,289.2</w:t>
            </w:r>
          </w:p>
        </w:tc>
        <w:tc>
          <w:tcPr>
            <w:tcW w:w="1417" w:type="dxa"/>
            <w:gridSpan w:val="2"/>
            <w:tcBorders>
              <w:top w:val="nil"/>
              <w:left w:val="nil"/>
              <w:bottom w:val="nil"/>
              <w:right w:val="nil"/>
            </w:tcBorders>
            <w:shd w:val="clear" w:color="auto" w:fill="auto"/>
            <w:noWrap/>
            <w:vAlign w:val="bottom"/>
            <w:hideMark/>
          </w:tcPr>
          <w:p w14:paraId="7869977C"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-32,277.8</w:t>
            </w:r>
          </w:p>
        </w:tc>
        <w:tc>
          <w:tcPr>
            <w:tcW w:w="1261" w:type="dxa"/>
            <w:gridSpan w:val="2"/>
            <w:tcBorders>
              <w:top w:val="nil"/>
              <w:left w:val="nil"/>
              <w:bottom w:val="nil"/>
              <w:right w:val="nil"/>
            </w:tcBorders>
            <w:shd w:val="clear" w:color="auto" w:fill="auto"/>
            <w:noWrap/>
            <w:vAlign w:val="bottom"/>
            <w:hideMark/>
          </w:tcPr>
          <w:p w14:paraId="05E57A98"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4,058.4</w:t>
            </w:r>
          </w:p>
        </w:tc>
        <w:tc>
          <w:tcPr>
            <w:tcW w:w="1261" w:type="dxa"/>
            <w:tcBorders>
              <w:top w:val="nil"/>
              <w:left w:val="nil"/>
              <w:bottom w:val="nil"/>
              <w:right w:val="nil"/>
            </w:tcBorders>
            <w:shd w:val="clear" w:color="auto" w:fill="auto"/>
            <w:noWrap/>
            <w:vAlign w:val="bottom"/>
            <w:hideMark/>
          </w:tcPr>
          <w:p w14:paraId="4F9CC726"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27,167.6</w:t>
            </w:r>
          </w:p>
        </w:tc>
        <w:tc>
          <w:tcPr>
            <w:tcW w:w="1432" w:type="dxa"/>
            <w:gridSpan w:val="3"/>
            <w:tcBorders>
              <w:top w:val="nil"/>
              <w:left w:val="nil"/>
              <w:bottom w:val="nil"/>
              <w:right w:val="nil"/>
            </w:tcBorders>
            <w:shd w:val="clear" w:color="auto" w:fill="auto"/>
            <w:noWrap/>
            <w:vAlign w:val="bottom"/>
            <w:hideMark/>
          </w:tcPr>
          <w:p w14:paraId="4C90E3E8"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3,237.3</w:t>
            </w:r>
          </w:p>
        </w:tc>
        <w:tc>
          <w:tcPr>
            <w:tcW w:w="2178" w:type="dxa"/>
            <w:gridSpan w:val="2"/>
            <w:tcBorders>
              <w:top w:val="nil"/>
              <w:left w:val="nil"/>
              <w:bottom w:val="nil"/>
              <w:right w:val="nil"/>
            </w:tcBorders>
            <w:shd w:val="clear" w:color="auto" w:fill="auto"/>
            <w:noWrap/>
            <w:vAlign w:val="bottom"/>
            <w:hideMark/>
          </w:tcPr>
          <w:p w14:paraId="6D8412B8"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70A2B9DF" w14:textId="77777777" w:rsidTr="00B52C55">
        <w:trPr>
          <w:trHeight w:val="300"/>
        </w:trPr>
        <w:tc>
          <w:tcPr>
            <w:tcW w:w="1353" w:type="dxa"/>
            <w:tcBorders>
              <w:top w:val="nil"/>
              <w:left w:val="nil"/>
              <w:bottom w:val="nil"/>
              <w:right w:val="nil"/>
            </w:tcBorders>
            <w:shd w:val="clear" w:color="auto" w:fill="auto"/>
            <w:noWrap/>
            <w:vAlign w:val="bottom"/>
            <w:hideMark/>
          </w:tcPr>
          <w:p w14:paraId="6A74C8DC"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1D4A9689"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2003-1999</w:t>
            </w:r>
          </w:p>
        </w:tc>
        <w:tc>
          <w:tcPr>
            <w:tcW w:w="1276" w:type="dxa"/>
            <w:tcBorders>
              <w:top w:val="nil"/>
              <w:left w:val="nil"/>
              <w:bottom w:val="nil"/>
              <w:right w:val="nil"/>
            </w:tcBorders>
            <w:shd w:val="clear" w:color="auto" w:fill="auto"/>
            <w:noWrap/>
            <w:vAlign w:val="bottom"/>
            <w:hideMark/>
          </w:tcPr>
          <w:p w14:paraId="517DCDDA"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3,004.5</w:t>
            </w:r>
          </w:p>
        </w:tc>
        <w:tc>
          <w:tcPr>
            <w:tcW w:w="1417" w:type="dxa"/>
            <w:gridSpan w:val="2"/>
            <w:tcBorders>
              <w:top w:val="nil"/>
              <w:left w:val="nil"/>
              <w:bottom w:val="nil"/>
              <w:right w:val="nil"/>
            </w:tcBorders>
            <w:shd w:val="clear" w:color="auto" w:fill="auto"/>
            <w:noWrap/>
            <w:vAlign w:val="bottom"/>
            <w:hideMark/>
          </w:tcPr>
          <w:p w14:paraId="624EF3FE"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-4,670.2</w:t>
            </w:r>
          </w:p>
        </w:tc>
        <w:tc>
          <w:tcPr>
            <w:tcW w:w="1261" w:type="dxa"/>
            <w:gridSpan w:val="2"/>
            <w:tcBorders>
              <w:top w:val="nil"/>
              <w:left w:val="nil"/>
              <w:bottom w:val="nil"/>
              <w:right w:val="nil"/>
            </w:tcBorders>
            <w:shd w:val="clear" w:color="auto" w:fill="auto"/>
            <w:noWrap/>
            <w:vAlign w:val="bottom"/>
            <w:hideMark/>
          </w:tcPr>
          <w:p w14:paraId="09F34246"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-13,469.3</w:t>
            </w:r>
          </w:p>
        </w:tc>
        <w:tc>
          <w:tcPr>
            <w:tcW w:w="1261" w:type="dxa"/>
            <w:tcBorders>
              <w:top w:val="nil"/>
              <w:left w:val="nil"/>
              <w:bottom w:val="nil"/>
              <w:right w:val="nil"/>
            </w:tcBorders>
            <w:shd w:val="clear" w:color="auto" w:fill="auto"/>
            <w:noWrap/>
            <w:vAlign w:val="bottom"/>
            <w:hideMark/>
          </w:tcPr>
          <w:p w14:paraId="54423997"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25,954.6</w:t>
            </w:r>
          </w:p>
        </w:tc>
        <w:tc>
          <w:tcPr>
            <w:tcW w:w="1432" w:type="dxa"/>
            <w:gridSpan w:val="3"/>
            <w:tcBorders>
              <w:top w:val="nil"/>
              <w:left w:val="nil"/>
              <w:bottom w:val="nil"/>
              <w:right w:val="nil"/>
            </w:tcBorders>
            <w:shd w:val="clear" w:color="auto" w:fill="auto"/>
            <w:noWrap/>
            <w:vAlign w:val="bottom"/>
            <w:hideMark/>
          </w:tcPr>
          <w:p w14:paraId="0BA83E9C"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10,819.6</w:t>
            </w:r>
          </w:p>
        </w:tc>
        <w:tc>
          <w:tcPr>
            <w:tcW w:w="2178" w:type="dxa"/>
            <w:gridSpan w:val="2"/>
            <w:tcBorders>
              <w:top w:val="nil"/>
              <w:left w:val="nil"/>
              <w:bottom w:val="nil"/>
              <w:right w:val="nil"/>
            </w:tcBorders>
            <w:shd w:val="clear" w:color="auto" w:fill="auto"/>
            <w:noWrap/>
            <w:vAlign w:val="bottom"/>
            <w:hideMark/>
          </w:tcPr>
          <w:p w14:paraId="50769799"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377B60D7" w14:textId="77777777" w:rsidTr="00B52C55">
        <w:trPr>
          <w:trHeight w:val="300"/>
        </w:trPr>
        <w:tc>
          <w:tcPr>
            <w:tcW w:w="1353" w:type="dxa"/>
            <w:tcBorders>
              <w:top w:val="nil"/>
              <w:left w:val="nil"/>
              <w:bottom w:val="nil"/>
              <w:right w:val="nil"/>
            </w:tcBorders>
            <w:shd w:val="clear" w:color="auto" w:fill="auto"/>
            <w:noWrap/>
            <w:vAlign w:val="bottom"/>
            <w:hideMark/>
          </w:tcPr>
          <w:p w14:paraId="2DC1926E"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761B4785"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2007-2003</w:t>
            </w:r>
          </w:p>
        </w:tc>
        <w:tc>
          <w:tcPr>
            <w:tcW w:w="1276" w:type="dxa"/>
            <w:tcBorders>
              <w:top w:val="nil"/>
              <w:left w:val="nil"/>
              <w:bottom w:val="nil"/>
              <w:right w:val="nil"/>
            </w:tcBorders>
            <w:shd w:val="clear" w:color="auto" w:fill="auto"/>
            <w:noWrap/>
            <w:vAlign w:val="bottom"/>
            <w:hideMark/>
          </w:tcPr>
          <w:p w14:paraId="0F93B70D"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22,635.8</w:t>
            </w:r>
          </w:p>
        </w:tc>
        <w:tc>
          <w:tcPr>
            <w:tcW w:w="1417" w:type="dxa"/>
            <w:gridSpan w:val="2"/>
            <w:tcBorders>
              <w:top w:val="nil"/>
              <w:left w:val="nil"/>
              <w:bottom w:val="nil"/>
              <w:right w:val="nil"/>
            </w:tcBorders>
            <w:shd w:val="clear" w:color="auto" w:fill="auto"/>
            <w:noWrap/>
            <w:vAlign w:val="bottom"/>
            <w:hideMark/>
          </w:tcPr>
          <w:p w14:paraId="30E21968"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-49,357.5</w:t>
            </w:r>
          </w:p>
        </w:tc>
        <w:tc>
          <w:tcPr>
            <w:tcW w:w="1261" w:type="dxa"/>
            <w:gridSpan w:val="2"/>
            <w:tcBorders>
              <w:top w:val="nil"/>
              <w:left w:val="nil"/>
              <w:bottom w:val="nil"/>
              <w:right w:val="nil"/>
            </w:tcBorders>
            <w:shd w:val="clear" w:color="auto" w:fill="auto"/>
            <w:noWrap/>
            <w:vAlign w:val="bottom"/>
            <w:hideMark/>
          </w:tcPr>
          <w:p w14:paraId="6CF580A6"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-13,086.1</w:t>
            </w:r>
          </w:p>
        </w:tc>
        <w:tc>
          <w:tcPr>
            <w:tcW w:w="1261" w:type="dxa"/>
            <w:tcBorders>
              <w:top w:val="nil"/>
              <w:left w:val="nil"/>
              <w:bottom w:val="nil"/>
              <w:right w:val="nil"/>
            </w:tcBorders>
            <w:shd w:val="clear" w:color="auto" w:fill="auto"/>
            <w:noWrap/>
            <w:vAlign w:val="bottom"/>
            <w:hideMark/>
          </w:tcPr>
          <w:p w14:paraId="2155404A"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36,801.7</w:t>
            </w:r>
          </w:p>
        </w:tc>
        <w:tc>
          <w:tcPr>
            <w:tcW w:w="1432" w:type="dxa"/>
            <w:gridSpan w:val="3"/>
            <w:tcBorders>
              <w:top w:val="nil"/>
              <w:left w:val="nil"/>
              <w:bottom w:val="nil"/>
              <w:right w:val="nil"/>
            </w:tcBorders>
            <w:shd w:val="clear" w:color="auto" w:fill="auto"/>
            <w:noWrap/>
            <w:vAlign w:val="bottom"/>
            <w:hideMark/>
          </w:tcPr>
          <w:p w14:paraId="5E902495"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-3,006.1</w:t>
            </w:r>
          </w:p>
        </w:tc>
        <w:tc>
          <w:tcPr>
            <w:tcW w:w="2178" w:type="dxa"/>
            <w:gridSpan w:val="2"/>
            <w:tcBorders>
              <w:top w:val="nil"/>
              <w:left w:val="nil"/>
              <w:bottom w:val="nil"/>
              <w:right w:val="nil"/>
            </w:tcBorders>
            <w:shd w:val="clear" w:color="auto" w:fill="auto"/>
            <w:noWrap/>
            <w:vAlign w:val="bottom"/>
            <w:hideMark/>
          </w:tcPr>
          <w:p w14:paraId="5AD84FD4"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2D5013B1" w14:textId="77777777" w:rsidTr="00B52C55">
        <w:trPr>
          <w:trHeight w:val="300"/>
        </w:trPr>
        <w:tc>
          <w:tcPr>
            <w:tcW w:w="1353" w:type="dxa"/>
            <w:tcBorders>
              <w:top w:val="nil"/>
              <w:left w:val="nil"/>
              <w:bottom w:val="single" w:sz="4" w:space="0" w:color="auto"/>
              <w:right w:val="nil"/>
            </w:tcBorders>
            <w:shd w:val="clear" w:color="auto" w:fill="auto"/>
            <w:noWrap/>
            <w:vAlign w:val="bottom"/>
            <w:hideMark/>
          </w:tcPr>
          <w:p w14:paraId="133EF65E"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 </w:t>
            </w:r>
          </w:p>
        </w:tc>
        <w:tc>
          <w:tcPr>
            <w:tcW w:w="1276" w:type="dxa"/>
            <w:gridSpan w:val="2"/>
            <w:tcBorders>
              <w:top w:val="nil"/>
              <w:left w:val="nil"/>
              <w:bottom w:val="single" w:sz="4" w:space="0" w:color="auto"/>
              <w:right w:val="nil"/>
            </w:tcBorders>
            <w:shd w:val="clear" w:color="auto" w:fill="auto"/>
            <w:noWrap/>
            <w:vAlign w:val="bottom"/>
            <w:hideMark/>
          </w:tcPr>
          <w:p w14:paraId="717E3AF4"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2007-1995</w:t>
            </w:r>
          </w:p>
        </w:tc>
        <w:tc>
          <w:tcPr>
            <w:tcW w:w="1276" w:type="dxa"/>
            <w:tcBorders>
              <w:top w:val="nil"/>
              <w:left w:val="nil"/>
              <w:bottom w:val="single" w:sz="4" w:space="0" w:color="auto"/>
              <w:right w:val="nil"/>
            </w:tcBorders>
            <w:shd w:val="clear" w:color="auto" w:fill="auto"/>
            <w:noWrap/>
            <w:vAlign w:val="bottom"/>
            <w:hideMark/>
          </w:tcPr>
          <w:p w14:paraId="12A8956F"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29,968.6</w:t>
            </w:r>
          </w:p>
        </w:tc>
        <w:tc>
          <w:tcPr>
            <w:tcW w:w="1417" w:type="dxa"/>
            <w:gridSpan w:val="2"/>
            <w:tcBorders>
              <w:top w:val="nil"/>
              <w:left w:val="nil"/>
              <w:bottom w:val="single" w:sz="4" w:space="0" w:color="auto"/>
              <w:right w:val="nil"/>
            </w:tcBorders>
            <w:shd w:val="clear" w:color="auto" w:fill="auto"/>
            <w:noWrap/>
            <w:vAlign w:val="bottom"/>
            <w:hideMark/>
          </w:tcPr>
          <w:p w14:paraId="6879814A"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-87,742.6</w:t>
            </w:r>
          </w:p>
        </w:tc>
        <w:tc>
          <w:tcPr>
            <w:tcW w:w="1261" w:type="dxa"/>
            <w:gridSpan w:val="2"/>
            <w:tcBorders>
              <w:top w:val="nil"/>
              <w:left w:val="nil"/>
              <w:bottom w:val="single" w:sz="4" w:space="0" w:color="auto"/>
              <w:right w:val="nil"/>
            </w:tcBorders>
            <w:shd w:val="clear" w:color="auto" w:fill="auto"/>
            <w:noWrap/>
            <w:vAlign w:val="bottom"/>
            <w:hideMark/>
          </w:tcPr>
          <w:p w14:paraId="1861D60B"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-22,405.7</w:t>
            </w:r>
          </w:p>
        </w:tc>
        <w:tc>
          <w:tcPr>
            <w:tcW w:w="1261" w:type="dxa"/>
            <w:tcBorders>
              <w:top w:val="nil"/>
              <w:left w:val="nil"/>
              <w:bottom w:val="single" w:sz="4" w:space="0" w:color="auto"/>
              <w:right w:val="nil"/>
            </w:tcBorders>
            <w:shd w:val="clear" w:color="auto" w:fill="auto"/>
            <w:noWrap/>
            <w:vAlign w:val="bottom"/>
            <w:hideMark/>
          </w:tcPr>
          <w:p w14:paraId="7C5D1585"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91,230.6</w:t>
            </w:r>
          </w:p>
        </w:tc>
        <w:tc>
          <w:tcPr>
            <w:tcW w:w="1432" w:type="dxa"/>
            <w:gridSpan w:val="3"/>
            <w:tcBorders>
              <w:top w:val="nil"/>
              <w:left w:val="nil"/>
              <w:bottom w:val="single" w:sz="4" w:space="0" w:color="auto"/>
              <w:right w:val="nil"/>
            </w:tcBorders>
            <w:shd w:val="clear" w:color="auto" w:fill="auto"/>
            <w:noWrap/>
            <w:vAlign w:val="bottom"/>
            <w:hideMark/>
          </w:tcPr>
          <w:p w14:paraId="1A0F91FE"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11,050.9</w:t>
            </w:r>
          </w:p>
        </w:tc>
        <w:tc>
          <w:tcPr>
            <w:tcW w:w="2178" w:type="dxa"/>
            <w:gridSpan w:val="2"/>
            <w:tcBorders>
              <w:top w:val="nil"/>
              <w:left w:val="nil"/>
              <w:bottom w:val="nil"/>
              <w:right w:val="nil"/>
            </w:tcBorders>
            <w:shd w:val="clear" w:color="auto" w:fill="auto"/>
            <w:noWrap/>
            <w:vAlign w:val="bottom"/>
            <w:hideMark/>
          </w:tcPr>
          <w:p w14:paraId="62608EB8"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3372DC0B" w14:textId="77777777" w:rsidTr="00B52C55">
        <w:trPr>
          <w:trHeight w:val="300"/>
        </w:trPr>
        <w:tc>
          <w:tcPr>
            <w:tcW w:w="1353" w:type="dxa"/>
            <w:tcBorders>
              <w:top w:val="nil"/>
              <w:left w:val="nil"/>
              <w:bottom w:val="nil"/>
              <w:right w:val="nil"/>
            </w:tcBorders>
            <w:shd w:val="clear" w:color="auto" w:fill="auto"/>
            <w:noWrap/>
            <w:vAlign w:val="bottom"/>
            <w:hideMark/>
          </w:tcPr>
          <w:p w14:paraId="741047E3"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Poland</w:t>
            </w:r>
          </w:p>
        </w:tc>
        <w:tc>
          <w:tcPr>
            <w:tcW w:w="1276" w:type="dxa"/>
            <w:gridSpan w:val="2"/>
            <w:tcBorders>
              <w:top w:val="nil"/>
              <w:left w:val="nil"/>
              <w:bottom w:val="nil"/>
              <w:right w:val="nil"/>
            </w:tcBorders>
            <w:shd w:val="clear" w:color="auto" w:fill="auto"/>
            <w:noWrap/>
            <w:vAlign w:val="bottom"/>
            <w:hideMark/>
          </w:tcPr>
          <w:p w14:paraId="2FA2C075"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1999-1995</w:t>
            </w:r>
          </w:p>
        </w:tc>
        <w:tc>
          <w:tcPr>
            <w:tcW w:w="1276" w:type="dxa"/>
            <w:tcBorders>
              <w:top w:val="nil"/>
              <w:left w:val="nil"/>
              <w:bottom w:val="nil"/>
              <w:right w:val="nil"/>
            </w:tcBorders>
            <w:shd w:val="clear" w:color="auto" w:fill="auto"/>
            <w:noWrap/>
            <w:vAlign w:val="bottom"/>
            <w:hideMark/>
          </w:tcPr>
          <w:p w14:paraId="11BE1F0D"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-4,830.5</w:t>
            </w:r>
          </w:p>
        </w:tc>
        <w:tc>
          <w:tcPr>
            <w:tcW w:w="1417" w:type="dxa"/>
            <w:gridSpan w:val="2"/>
            <w:tcBorders>
              <w:top w:val="nil"/>
              <w:left w:val="nil"/>
              <w:bottom w:val="nil"/>
              <w:right w:val="nil"/>
            </w:tcBorders>
            <w:shd w:val="clear" w:color="auto" w:fill="auto"/>
            <w:noWrap/>
            <w:vAlign w:val="bottom"/>
            <w:hideMark/>
          </w:tcPr>
          <w:p w14:paraId="45B9E155"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-100,421.8</w:t>
            </w:r>
          </w:p>
        </w:tc>
        <w:tc>
          <w:tcPr>
            <w:tcW w:w="1261" w:type="dxa"/>
            <w:gridSpan w:val="2"/>
            <w:tcBorders>
              <w:top w:val="nil"/>
              <w:left w:val="nil"/>
              <w:bottom w:val="nil"/>
              <w:right w:val="nil"/>
            </w:tcBorders>
            <w:shd w:val="clear" w:color="auto" w:fill="auto"/>
            <w:noWrap/>
            <w:vAlign w:val="bottom"/>
            <w:hideMark/>
          </w:tcPr>
          <w:p w14:paraId="070648C8"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29,688.4</w:t>
            </w:r>
          </w:p>
        </w:tc>
        <w:tc>
          <w:tcPr>
            <w:tcW w:w="1261" w:type="dxa"/>
            <w:tcBorders>
              <w:top w:val="nil"/>
              <w:left w:val="nil"/>
              <w:bottom w:val="nil"/>
              <w:right w:val="nil"/>
            </w:tcBorders>
            <w:shd w:val="clear" w:color="auto" w:fill="auto"/>
            <w:noWrap/>
            <w:vAlign w:val="bottom"/>
            <w:hideMark/>
          </w:tcPr>
          <w:p w14:paraId="1722DE66"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49,739.6</w:t>
            </w:r>
          </w:p>
        </w:tc>
        <w:tc>
          <w:tcPr>
            <w:tcW w:w="1432" w:type="dxa"/>
            <w:gridSpan w:val="3"/>
            <w:tcBorders>
              <w:top w:val="nil"/>
              <w:left w:val="nil"/>
              <w:bottom w:val="nil"/>
              <w:right w:val="nil"/>
            </w:tcBorders>
            <w:shd w:val="clear" w:color="auto" w:fill="auto"/>
            <w:noWrap/>
            <w:vAlign w:val="bottom"/>
            <w:hideMark/>
          </w:tcPr>
          <w:p w14:paraId="2FBABC4F"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-25,824.3</w:t>
            </w:r>
          </w:p>
        </w:tc>
        <w:tc>
          <w:tcPr>
            <w:tcW w:w="2178" w:type="dxa"/>
            <w:gridSpan w:val="2"/>
            <w:tcBorders>
              <w:top w:val="nil"/>
              <w:left w:val="nil"/>
              <w:bottom w:val="nil"/>
              <w:right w:val="nil"/>
            </w:tcBorders>
            <w:shd w:val="clear" w:color="auto" w:fill="auto"/>
            <w:noWrap/>
            <w:vAlign w:val="bottom"/>
            <w:hideMark/>
          </w:tcPr>
          <w:p w14:paraId="29D6E097"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2273B3F6" w14:textId="77777777" w:rsidTr="00B52C55">
        <w:trPr>
          <w:trHeight w:val="300"/>
        </w:trPr>
        <w:tc>
          <w:tcPr>
            <w:tcW w:w="1353" w:type="dxa"/>
            <w:tcBorders>
              <w:top w:val="nil"/>
              <w:left w:val="nil"/>
              <w:bottom w:val="nil"/>
              <w:right w:val="nil"/>
            </w:tcBorders>
            <w:shd w:val="clear" w:color="auto" w:fill="auto"/>
            <w:noWrap/>
            <w:vAlign w:val="bottom"/>
            <w:hideMark/>
          </w:tcPr>
          <w:p w14:paraId="58706E02"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6C391EA9"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2003-1999</w:t>
            </w:r>
          </w:p>
        </w:tc>
        <w:tc>
          <w:tcPr>
            <w:tcW w:w="1276" w:type="dxa"/>
            <w:tcBorders>
              <w:top w:val="nil"/>
              <w:left w:val="nil"/>
              <w:bottom w:val="nil"/>
              <w:right w:val="nil"/>
            </w:tcBorders>
            <w:shd w:val="clear" w:color="auto" w:fill="auto"/>
            <w:noWrap/>
            <w:vAlign w:val="bottom"/>
            <w:hideMark/>
          </w:tcPr>
          <w:p w14:paraId="665A34B9"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-16,742.8</w:t>
            </w:r>
          </w:p>
        </w:tc>
        <w:tc>
          <w:tcPr>
            <w:tcW w:w="1417" w:type="dxa"/>
            <w:gridSpan w:val="2"/>
            <w:tcBorders>
              <w:top w:val="nil"/>
              <w:left w:val="nil"/>
              <w:bottom w:val="nil"/>
              <w:right w:val="nil"/>
            </w:tcBorders>
            <w:shd w:val="clear" w:color="auto" w:fill="auto"/>
            <w:noWrap/>
            <w:vAlign w:val="bottom"/>
            <w:hideMark/>
          </w:tcPr>
          <w:p w14:paraId="2DA59CD0"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-40,145.5</w:t>
            </w:r>
          </w:p>
        </w:tc>
        <w:tc>
          <w:tcPr>
            <w:tcW w:w="1261" w:type="dxa"/>
            <w:gridSpan w:val="2"/>
            <w:tcBorders>
              <w:top w:val="nil"/>
              <w:left w:val="nil"/>
              <w:bottom w:val="nil"/>
              <w:right w:val="nil"/>
            </w:tcBorders>
            <w:shd w:val="clear" w:color="auto" w:fill="auto"/>
            <w:noWrap/>
            <w:vAlign w:val="bottom"/>
            <w:hideMark/>
          </w:tcPr>
          <w:p w14:paraId="457D97DA"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-7,455.4</w:t>
            </w:r>
          </w:p>
        </w:tc>
        <w:tc>
          <w:tcPr>
            <w:tcW w:w="1261" w:type="dxa"/>
            <w:tcBorders>
              <w:top w:val="nil"/>
              <w:left w:val="nil"/>
              <w:bottom w:val="nil"/>
              <w:right w:val="nil"/>
            </w:tcBorders>
            <w:shd w:val="clear" w:color="auto" w:fill="auto"/>
            <w:noWrap/>
            <w:vAlign w:val="bottom"/>
            <w:hideMark/>
          </w:tcPr>
          <w:p w14:paraId="7E375A30"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42,655.3</w:t>
            </w:r>
          </w:p>
        </w:tc>
        <w:tc>
          <w:tcPr>
            <w:tcW w:w="1432" w:type="dxa"/>
            <w:gridSpan w:val="3"/>
            <w:tcBorders>
              <w:top w:val="nil"/>
              <w:left w:val="nil"/>
              <w:bottom w:val="nil"/>
              <w:right w:val="nil"/>
            </w:tcBorders>
            <w:shd w:val="clear" w:color="auto" w:fill="auto"/>
            <w:noWrap/>
            <w:vAlign w:val="bottom"/>
            <w:hideMark/>
          </w:tcPr>
          <w:p w14:paraId="2C8BD508"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-21,688.4</w:t>
            </w:r>
          </w:p>
        </w:tc>
        <w:tc>
          <w:tcPr>
            <w:tcW w:w="2178" w:type="dxa"/>
            <w:gridSpan w:val="2"/>
            <w:tcBorders>
              <w:top w:val="nil"/>
              <w:left w:val="nil"/>
              <w:bottom w:val="nil"/>
              <w:right w:val="nil"/>
            </w:tcBorders>
            <w:shd w:val="clear" w:color="auto" w:fill="auto"/>
            <w:noWrap/>
            <w:vAlign w:val="bottom"/>
            <w:hideMark/>
          </w:tcPr>
          <w:p w14:paraId="0B785579"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76A2D50E" w14:textId="77777777" w:rsidTr="00B52C55">
        <w:trPr>
          <w:trHeight w:val="300"/>
        </w:trPr>
        <w:tc>
          <w:tcPr>
            <w:tcW w:w="1353" w:type="dxa"/>
            <w:tcBorders>
              <w:top w:val="nil"/>
              <w:left w:val="nil"/>
              <w:bottom w:val="nil"/>
              <w:right w:val="nil"/>
            </w:tcBorders>
            <w:shd w:val="clear" w:color="auto" w:fill="auto"/>
            <w:noWrap/>
            <w:vAlign w:val="bottom"/>
            <w:hideMark/>
          </w:tcPr>
          <w:p w14:paraId="4BCBB643"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611C16A2"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2007-2003</w:t>
            </w:r>
          </w:p>
        </w:tc>
        <w:tc>
          <w:tcPr>
            <w:tcW w:w="1276" w:type="dxa"/>
            <w:tcBorders>
              <w:top w:val="nil"/>
              <w:left w:val="nil"/>
              <w:bottom w:val="nil"/>
              <w:right w:val="nil"/>
            </w:tcBorders>
            <w:shd w:val="clear" w:color="auto" w:fill="auto"/>
            <w:noWrap/>
            <w:vAlign w:val="bottom"/>
            <w:hideMark/>
          </w:tcPr>
          <w:p w14:paraId="0D9D2D15"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-4,198.8</w:t>
            </w:r>
          </w:p>
        </w:tc>
        <w:tc>
          <w:tcPr>
            <w:tcW w:w="1417" w:type="dxa"/>
            <w:gridSpan w:val="2"/>
            <w:tcBorders>
              <w:top w:val="nil"/>
              <w:left w:val="nil"/>
              <w:bottom w:val="nil"/>
              <w:right w:val="nil"/>
            </w:tcBorders>
            <w:shd w:val="clear" w:color="auto" w:fill="auto"/>
            <w:noWrap/>
            <w:vAlign w:val="bottom"/>
            <w:hideMark/>
          </w:tcPr>
          <w:p w14:paraId="61D72524"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-51,876.2</w:t>
            </w:r>
          </w:p>
        </w:tc>
        <w:tc>
          <w:tcPr>
            <w:tcW w:w="1261" w:type="dxa"/>
            <w:gridSpan w:val="2"/>
            <w:tcBorders>
              <w:top w:val="nil"/>
              <w:left w:val="nil"/>
              <w:bottom w:val="nil"/>
              <w:right w:val="nil"/>
            </w:tcBorders>
            <w:shd w:val="clear" w:color="auto" w:fill="auto"/>
            <w:noWrap/>
            <w:vAlign w:val="bottom"/>
            <w:hideMark/>
          </w:tcPr>
          <w:p w14:paraId="15B8BDDB"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11,967.2</w:t>
            </w:r>
          </w:p>
        </w:tc>
        <w:tc>
          <w:tcPr>
            <w:tcW w:w="1261" w:type="dxa"/>
            <w:tcBorders>
              <w:top w:val="nil"/>
              <w:left w:val="nil"/>
              <w:bottom w:val="nil"/>
              <w:right w:val="nil"/>
            </w:tcBorders>
            <w:shd w:val="clear" w:color="auto" w:fill="auto"/>
            <w:noWrap/>
            <w:vAlign w:val="bottom"/>
            <w:hideMark/>
          </w:tcPr>
          <w:p w14:paraId="6B5843FC"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58,247.0</w:t>
            </w:r>
          </w:p>
        </w:tc>
        <w:tc>
          <w:tcPr>
            <w:tcW w:w="1432" w:type="dxa"/>
            <w:gridSpan w:val="3"/>
            <w:tcBorders>
              <w:top w:val="nil"/>
              <w:left w:val="nil"/>
              <w:bottom w:val="nil"/>
              <w:right w:val="nil"/>
            </w:tcBorders>
            <w:shd w:val="clear" w:color="auto" w:fill="auto"/>
            <w:noWrap/>
            <w:vAlign w:val="bottom"/>
            <w:hideMark/>
          </w:tcPr>
          <w:p w14:paraId="34351B0D"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14,139.3</w:t>
            </w:r>
          </w:p>
        </w:tc>
        <w:tc>
          <w:tcPr>
            <w:tcW w:w="2178" w:type="dxa"/>
            <w:gridSpan w:val="2"/>
            <w:tcBorders>
              <w:top w:val="nil"/>
              <w:left w:val="nil"/>
              <w:bottom w:val="nil"/>
              <w:right w:val="nil"/>
            </w:tcBorders>
            <w:shd w:val="clear" w:color="auto" w:fill="auto"/>
            <w:noWrap/>
            <w:vAlign w:val="bottom"/>
            <w:hideMark/>
          </w:tcPr>
          <w:p w14:paraId="745B88FA"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71D02E1C" w14:textId="77777777" w:rsidTr="00B52C55">
        <w:trPr>
          <w:trHeight w:val="300"/>
        </w:trPr>
        <w:tc>
          <w:tcPr>
            <w:tcW w:w="1353" w:type="dxa"/>
            <w:tcBorders>
              <w:top w:val="nil"/>
              <w:left w:val="nil"/>
              <w:bottom w:val="single" w:sz="4" w:space="0" w:color="auto"/>
              <w:right w:val="nil"/>
            </w:tcBorders>
            <w:shd w:val="clear" w:color="auto" w:fill="auto"/>
            <w:noWrap/>
            <w:vAlign w:val="bottom"/>
            <w:hideMark/>
          </w:tcPr>
          <w:p w14:paraId="5FD46C33"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lastRenderedPageBreak/>
              <w:t> </w:t>
            </w:r>
          </w:p>
        </w:tc>
        <w:tc>
          <w:tcPr>
            <w:tcW w:w="1276" w:type="dxa"/>
            <w:gridSpan w:val="2"/>
            <w:tcBorders>
              <w:top w:val="nil"/>
              <w:left w:val="nil"/>
              <w:bottom w:val="single" w:sz="4" w:space="0" w:color="auto"/>
              <w:right w:val="nil"/>
            </w:tcBorders>
            <w:shd w:val="clear" w:color="auto" w:fill="auto"/>
            <w:noWrap/>
            <w:vAlign w:val="bottom"/>
            <w:hideMark/>
          </w:tcPr>
          <w:p w14:paraId="7347D2F1"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2007-1995</w:t>
            </w:r>
          </w:p>
        </w:tc>
        <w:tc>
          <w:tcPr>
            <w:tcW w:w="1276" w:type="dxa"/>
            <w:tcBorders>
              <w:top w:val="nil"/>
              <w:left w:val="nil"/>
              <w:bottom w:val="single" w:sz="4" w:space="0" w:color="auto"/>
              <w:right w:val="nil"/>
            </w:tcBorders>
            <w:shd w:val="clear" w:color="auto" w:fill="auto"/>
            <w:noWrap/>
            <w:vAlign w:val="bottom"/>
            <w:hideMark/>
          </w:tcPr>
          <w:p w14:paraId="25744F67"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-28,105.6</w:t>
            </w:r>
          </w:p>
        </w:tc>
        <w:tc>
          <w:tcPr>
            <w:tcW w:w="1417" w:type="dxa"/>
            <w:gridSpan w:val="2"/>
            <w:tcBorders>
              <w:top w:val="nil"/>
              <w:left w:val="nil"/>
              <w:bottom w:val="single" w:sz="4" w:space="0" w:color="auto"/>
              <w:right w:val="nil"/>
            </w:tcBorders>
            <w:shd w:val="clear" w:color="auto" w:fill="auto"/>
            <w:noWrap/>
            <w:vAlign w:val="bottom"/>
            <w:hideMark/>
          </w:tcPr>
          <w:p w14:paraId="7A16F2F6"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-204,239.4</w:t>
            </w:r>
          </w:p>
        </w:tc>
        <w:tc>
          <w:tcPr>
            <w:tcW w:w="1261" w:type="dxa"/>
            <w:gridSpan w:val="2"/>
            <w:tcBorders>
              <w:top w:val="nil"/>
              <w:left w:val="nil"/>
              <w:bottom w:val="single" w:sz="4" w:space="0" w:color="auto"/>
              <w:right w:val="nil"/>
            </w:tcBorders>
            <w:shd w:val="clear" w:color="auto" w:fill="auto"/>
            <w:noWrap/>
            <w:vAlign w:val="bottom"/>
            <w:hideMark/>
          </w:tcPr>
          <w:p w14:paraId="5D73D1AF"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35,528.2</w:t>
            </w:r>
          </w:p>
        </w:tc>
        <w:tc>
          <w:tcPr>
            <w:tcW w:w="1261" w:type="dxa"/>
            <w:tcBorders>
              <w:top w:val="nil"/>
              <w:left w:val="nil"/>
              <w:bottom w:val="single" w:sz="4" w:space="0" w:color="auto"/>
              <w:right w:val="nil"/>
            </w:tcBorders>
            <w:shd w:val="clear" w:color="auto" w:fill="auto"/>
            <w:noWrap/>
            <w:vAlign w:val="bottom"/>
            <w:hideMark/>
          </w:tcPr>
          <w:p w14:paraId="3F400C67"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163,443.5</w:t>
            </w:r>
          </w:p>
        </w:tc>
        <w:tc>
          <w:tcPr>
            <w:tcW w:w="1432" w:type="dxa"/>
            <w:gridSpan w:val="3"/>
            <w:tcBorders>
              <w:top w:val="nil"/>
              <w:left w:val="nil"/>
              <w:bottom w:val="single" w:sz="4" w:space="0" w:color="auto"/>
              <w:right w:val="nil"/>
            </w:tcBorders>
            <w:shd w:val="clear" w:color="auto" w:fill="auto"/>
            <w:noWrap/>
            <w:vAlign w:val="bottom"/>
            <w:hideMark/>
          </w:tcPr>
          <w:p w14:paraId="17289F7E"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-33,373.4</w:t>
            </w:r>
          </w:p>
        </w:tc>
        <w:tc>
          <w:tcPr>
            <w:tcW w:w="2178" w:type="dxa"/>
            <w:gridSpan w:val="2"/>
            <w:tcBorders>
              <w:top w:val="nil"/>
              <w:left w:val="nil"/>
              <w:bottom w:val="nil"/>
              <w:right w:val="nil"/>
            </w:tcBorders>
            <w:shd w:val="clear" w:color="auto" w:fill="auto"/>
            <w:noWrap/>
            <w:vAlign w:val="bottom"/>
            <w:hideMark/>
          </w:tcPr>
          <w:p w14:paraId="0C7B509C"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693D2A9F" w14:textId="77777777" w:rsidTr="00B52C55">
        <w:trPr>
          <w:trHeight w:val="300"/>
        </w:trPr>
        <w:tc>
          <w:tcPr>
            <w:tcW w:w="1353" w:type="dxa"/>
            <w:tcBorders>
              <w:top w:val="nil"/>
              <w:left w:val="nil"/>
              <w:bottom w:val="nil"/>
              <w:right w:val="nil"/>
            </w:tcBorders>
            <w:shd w:val="clear" w:color="auto" w:fill="auto"/>
            <w:noWrap/>
            <w:vAlign w:val="bottom"/>
            <w:hideMark/>
          </w:tcPr>
          <w:p w14:paraId="5A85E646"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Portugal</w:t>
            </w:r>
          </w:p>
        </w:tc>
        <w:tc>
          <w:tcPr>
            <w:tcW w:w="1276" w:type="dxa"/>
            <w:gridSpan w:val="2"/>
            <w:tcBorders>
              <w:top w:val="nil"/>
              <w:left w:val="nil"/>
              <w:bottom w:val="nil"/>
              <w:right w:val="nil"/>
            </w:tcBorders>
            <w:shd w:val="clear" w:color="auto" w:fill="auto"/>
            <w:noWrap/>
            <w:vAlign w:val="bottom"/>
            <w:hideMark/>
          </w:tcPr>
          <w:p w14:paraId="5DE0003E"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1999-1995</w:t>
            </w:r>
          </w:p>
        </w:tc>
        <w:tc>
          <w:tcPr>
            <w:tcW w:w="1276" w:type="dxa"/>
            <w:tcBorders>
              <w:top w:val="nil"/>
              <w:left w:val="nil"/>
              <w:bottom w:val="nil"/>
              <w:right w:val="nil"/>
            </w:tcBorders>
            <w:shd w:val="clear" w:color="auto" w:fill="auto"/>
            <w:noWrap/>
            <w:vAlign w:val="bottom"/>
            <w:hideMark/>
          </w:tcPr>
          <w:p w14:paraId="75762B2E"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-113.3</w:t>
            </w:r>
          </w:p>
        </w:tc>
        <w:tc>
          <w:tcPr>
            <w:tcW w:w="1417" w:type="dxa"/>
            <w:gridSpan w:val="2"/>
            <w:tcBorders>
              <w:top w:val="nil"/>
              <w:left w:val="nil"/>
              <w:bottom w:val="nil"/>
              <w:right w:val="nil"/>
            </w:tcBorders>
            <w:shd w:val="clear" w:color="auto" w:fill="auto"/>
            <w:noWrap/>
            <w:vAlign w:val="bottom"/>
            <w:hideMark/>
          </w:tcPr>
          <w:p w14:paraId="516369B0"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2,147.2</w:t>
            </w:r>
          </w:p>
        </w:tc>
        <w:tc>
          <w:tcPr>
            <w:tcW w:w="1261" w:type="dxa"/>
            <w:gridSpan w:val="2"/>
            <w:tcBorders>
              <w:top w:val="nil"/>
              <w:left w:val="nil"/>
              <w:bottom w:val="nil"/>
              <w:right w:val="nil"/>
            </w:tcBorders>
            <w:shd w:val="clear" w:color="auto" w:fill="auto"/>
            <w:noWrap/>
            <w:vAlign w:val="bottom"/>
            <w:hideMark/>
          </w:tcPr>
          <w:p w14:paraId="6DDA6704"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1,831.4</w:t>
            </w:r>
          </w:p>
        </w:tc>
        <w:tc>
          <w:tcPr>
            <w:tcW w:w="1261" w:type="dxa"/>
            <w:tcBorders>
              <w:top w:val="nil"/>
              <w:left w:val="nil"/>
              <w:bottom w:val="nil"/>
              <w:right w:val="nil"/>
            </w:tcBorders>
            <w:shd w:val="clear" w:color="auto" w:fill="auto"/>
            <w:noWrap/>
            <w:vAlign w:val="bottom"/>
            <w:hideMark/>
          </w:tcPr>
          <w:p w14:paraId="6EAEFBBD"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8,334.2</w:t>
            </w:r>
          </w:p>
        </w:tc>
        <w:tc>
          <w:tcPr>
            <w:tcW w:w="1432" w:type="dxa"/>
            <w:gridSpan w:val="3"/>
            <w:tcBorders>
              <w:top w:val="nil"/>
              <w:left w:val="nil"/>
              <w:bottom w:val="nil"/>
              <w:right w:val="nil"/>
            </w:tcBorders>
            <w:shd w:val="clear" w:color="auto" w:fill="auto"/>
            <w:noWrap/>
            <w:vAlign w:val="bottom"/>
            <w:hideMark/>
          </w:tcPr>
          <w:p w14:paraId="49FC6218"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12,199.5</w:t>
            </w:r>
          </w:p>
        </w:tc>
        <w:tc>
          <w:tcPr>
            <w:tcW w:w="2178" w:type="dxa"/>
            <w:gridSpan w:val="2"/>
            <w:tcBorders>
              <w:top w:val="nil"/>
              <w:left w:val="nil"/>
              <w:bottom w:val="nil"/>
              <w:right w:val="nil"/>
            </w:tcBorders>
            <w:shd w:val="clear" w:color="auto" w:fill="auto"/>
            <w:noWrap/>
            <w:vAlign w:val="bottom"/>
            <w:hideMark/>
          </w:tcPr>
          <w:p w14:paraId="724C03DD"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0920853F" w14:textId="77777777" w:rsidTr="00B52C55">
        <w:trPr>
          <w:trHeight w:val="300"/>
        </w:trPr>
        <w:tc>
          <w:tcPr>
            <w:tcW w:w="1353" w:type="dxa"/>
            <w:tcBorders>
              <w:top w:val="nil"/>
              <w:left w:val="nil"/>
              <w:bottom w:val="nil"/>
              <w:right w:val="nil"/>
            </w:tcBorders>
            <w:shd w:val="clear" w:color="auto" w:fill="auto"/>
            <w:noWrap/>
            <w:vAlign w:val="bottom"/>
            <w:hideMark/>
          </w:tcPr>
          <w:p w14:paraId="6A9900FB"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0AC79A9E"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2003-1999</w:t>
            </w:r>
          </w:p>
        </w:tc>
        <w:tc>
          <w:tcPr>
            <w:tcW w:w="1276" w:type="dxa"/>
            <w:tcBorders>
              <w:top w:val="nil"/>
              <w:left w:val="nil"/>
              <w:bottom w:val="nil"/>
              <w:right w:val="nil"/>
            </w:tcBorders>
            <w:shd w:val="clear" w:color="auto" w:fill="auto"/>
            <w:noWrap/>
            <w:vAlign w:val="bottom"/>
            <w:hideMark/>
          </w:tcPr>
          <w:p w14:paraId="2683556C"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-3,521.8</w:t>
            </w:r>
          </w:p>
        </w:tc>
        <w:tc>
          <w:tcPr>
            <w:tcW w:w="1417" w:type="dxa"/>
            <w:gridSpan w:val="2"/>
            <w:tcBorders>
              <w:top w:val="nil"/>
              <w:left w:val="nil"/>
              <w:bottom w:val="nil"/>
              <w:right w:val="nil"/>
            </w:tcBorders>
            <w:shd w:val="clear" w:color="auto" w:fill="auto"/>
            <w:noWrap/>
            <w:vAlign w:val="bottom"/>
            <w:hideMark/>
          </w:tcPr>
          <w:p w14:paraId="1770E8A7"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-290.8</w:t>
            </w:r>
          </w:p>
        </w:tc>
        <w:tc>
          <w:tcPr>
            <w:tcW w:w="1261" w:type="dxa"/>
            <w:gridSpan w:val="2"/>
            <w:tcBorders>
              <w:top w:val="nil"/>
              <w:left w:val="nil"/>
              <w:bottom w:val="nil"/>
              <w:right w:val="nil"/>
            </w:tcBorders>
            <w:shd w:val="clear" w:color="auto" w:fill="auto"/>
            <w:noWrap/>
            <w:vAlign w:val="bottom"/>
            <w:hideMark/>
          </w:tcPr>
          <w:p w14:paraId="619A0F08"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-4,784.5</w:t>
            </w:r>
          </w:p>
        </w:tc>
        <w:tc>
          <w:tcPr>
            <w:tcW w:w="1261" w:type="dxa"/>
            <w:tcBorders>
              <w:top w:val="nil"/>
              <w:left w:val="nil"/>
              <w:bottom w:val="nil"/>
              <w:right w:val="nil"/>
            </w:tcBorders>
            <w:shd w:val="clear" w:color="auto" w:fill="auto"/>
            <w:noWrap/>
            <w:vAlign w:val="bottom"/>
            <w:hideMark/>
          </w:tcPr>
          <w:p w14:paraId="6E3F80DE"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8,533.6</w:t>
            </w:r>
          </w:p>
        </w:tc>
        <w:tc>
          <w:tcPr>
            <w:tcW w:w="1432" w:type="dxa"/>
            <w:gridSpan w:val="3"/>
            <w:tcBorders>
              <w:top w:val="nil"/>
              <w:left w:val="nil"/>
              <w:bottom w:val="nil"/>
              <w:right w:val="nil"/>
            </w:tcBorders>
            <w:shd w:val="clear" w:color="auto" w:fill="auto"/>
            <w:noWrap/>
            <w:vAlign w:val="bottom"/>
            <w:hideMark/>
          </w:tcPr>
          <w:p w14:paraId="153FB21F"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-63.5</w:t>
            </w:r>
          </w:p>
        </w:tc>
        <w:tc>
          <w:tcPr>
            <w:tcW w:w="2178" w:type="dxa"/>
            <w:gridSpan w:val="2"/>
            <w:tcBorders>
              <w:top w:val="nil"/>
              <w:left w:val="nil"/>
              <w:bottom w:val="nil"/>
              <w:right w:val="nil"/>
            </w:tcBorders>
            <w:shd w:val="clear" w:color="auto" w:fill="auto"/>
            <w:noWrap/>
            <w:vAlign w:val="bottom"/>
            <w:hideMark/>
          </w:tcPr>
          <w:p w14:paraId="47A11146"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036B246C" w14:textId="77777777" w:rsidTr="00B52C55">
        <w:trPr>
          <w:trHeight w:val="300"/>
        </w:trPr>
        <w:tc>
          <w:tcPr>
            <w:tcW w:w="1353" w:type="dxa"/>
            <w:tcBorders>
              <w:top w:val="nil"/>
              <w:left w:val="nil"/>
              <w:bottom w:val="nil"/>
              <w:right w:val="nil"/>
            </w:tcBorders>
            <w:shd w:val="clear" w:color="auto" w:fill="auto"/>
            <w:noWrap/>
            <w:vAlign w:val="bottom"/>
            <w:hideMark/>
          </w:tcPr>
          <w:p w14:paraId="3FA47B0F"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2411B8A1"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2007-2003</w:t>
            </w:r>
          </w:p>
        </w:tc>
        <w:tc>
          <w:tcPr>
            <w:tcW w:w="1276" w:type="dxa"/>
            <w:tcBorders>
              <w:top w:val="nil"/>
              <w:left w:val="nil"/>
              <w:bottom w:val="nil"/>
              <w:right w:val="nil"/>
            </w:tcBorders>
            <w:shd w:val="clear" w:color="auto" w:fill="auto"/>
            <w:noWrap/>
            <w:vAlign w:val="bottom"/>
            <w:hideMark/>
          </w:tcPr>
          <w:p w14:paraId="56E4CB95"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-2,943.9</w:t>
            </w:r>
          </w:p>
        </w:tc>
        <w:tc>
          <w:tcPr>
            <w:tcW w:w="1417" w:type="dxa"/>
            <w:gridSpan w:val="2"/>
            <w:tcBorders>
              <w:top w:val="nil"/>
              <w:left w:val="nil"/>
              <w:bottom w:val="nil"/>
              <w:right w:val="nil"/>
            </w:tcBorders>
            <w:shd w:val="clear" w:color="auto" w:fill="auto"/>
            <w:noWrap/>
            <w:vAlign w:val="bottom"/>
            <w:hideMark/>
          </w:tcPr>
          <w:p w14:paraId="2262FDD4"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-2,177.1</w:t>
            </w:r>
          </w:p>
        </w:tc>
        <w:tc>
          <w:tcPr>
            <w:tcW w:w="1261" w:type="dxa"/>
            <w:gridSpan w:val="2"/>
            <w:tcBorders>
              <w:top w:val="nil"/>
              <w:left w:val="nil"/>
              <w:bottom w:val="nil"/>
              <w:right w:val="nil"/>
            </w:tcBorders>
            <w:shd w:val="clear" w:color="auto" w:fill="auto"/>
            <w:noWrap/>
            <w:vAlign w:val="bottom"/>
            <w:hideMark/>
          </w:tcPr>
          <w:p w14:paraId="4AB07AAB"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-7,673.3</w:t>
            </w:r>
          </w:p>
        </w:tc>
        <w:tc>
          <w:tcPr>
            <w:tcW w:w="1261" w:type="dxa"/>
            <w:tcBorders>
              <w:top w:val="nil"/>
              <w:left w:val="nil"/>
              <w:bottom w:val="nil"/>
              <w:right w:val="nil"/>
            </w:tcBorders>
            <w:shd w:val="clear" w:color="auto" w:fill="auto"/>
            <w:noWrap/>
            <w:vAlign w:val="bottom"/>
            <w:hideMark/>
          </w:tcPr>
          <w:p w14:paraId="6F5EC4FD"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11,700.1</w:t>
            </w:r>
          </w:p>
        </w:tc>
        <w:tc>
          <w:tcPr>
            <w:tcW w:w="1432" w:type="dxa"/>
            <w:gridSpan w:val="3"/>
            <w:tcBorders>
              <w:top w:val="nil"/>
              <w:left w:val="nil"/>
              <w:bottom w:val="nil"/>
              <w:right w:val="nil"/>
            </w:tcBorders>
            <w:shd w:val="clear" w:color="auto" w:fill="auto"/>
            <w:noWrap/>
            <w:vAlign w:val="bottom"/>
            <w:hideMark/>
          </w:tcPr>
          <w:p w14:paraId="21B81A12"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-1,094.2</w:t>
            </w:r>
          </w:p>
        </w:tc>
        <w:tc>
          <w:tcPr>
            <w:tcW w:w="2178" w:type="dxa"/>
            <w:gridSpan w:val="2"/>
            <w:tcBorders>
              <w:top w:val="nil"/>
              <w:left w:val="nil"/>
              <w:bottom w:val="nil"/>
              <w:right w:val="nil"/>
            </w:tcBorders>
            <w:shd w:val="clear" w:color="auto" w:fill="auto"/>
            <w:noWrap/>
            <w:vAlign w:val="bottom"/>
            <w:hideMark/>
          </w:tcPr>
          <w:p w14:paraId="2ECCD744"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1612366B" w14:textId="77777777" w:rsidTr="00B52C55">
        <w:trPr>
          <w:trHeight w:val="300"/>
        </w:trPr>
        <w:tc>
          <w:tcPr>
            <w:tcW w:w="1353" w:type="dxa"/>
            <w:tcBorders>
              <w:top w:val="nil"/>
              <w:left w:val="nil"/>
              <w:bottom w:val="single" w:sz="4" w:space="0" w:color="auto"/>
              <w:right w:val="nil"/>
            </w:tcBorders>
            <w:shd w:val="clear" w:color="auto" w:fill="auto"/>
            <w:noWrap/>
            <w:vAlign w:val="bottom"/>
            <w:hideMark/>
          </w:tcPr>
          <w:p w14:paraId="4060F91C"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 </w:t>
            </w:r>
          </w:p>
        </w:tc>
        <w:tc>
          <w:tcPr>
            <w:tcW w:w="1276" w:type="dxa"/>
            <w:gridSpan w:val="2"/>
            <w:tcBorders>
              <w:top w:val="nil"/>
              <w:left w:val="nil"/>
              <w:bottom w:val="single" w:sz="4" w:space="0" w:color="auto"/>
              <w:right w:val="nil"/>
            </w:tcBorders>
            <w:shd w:val="clear" w:color="auto" w:fill="auto"/>
            <w:noWrap/>
            <w:vAlign w:val="bottom"/>
            <w:hideMark/>
          </w:tcPr>
          <w:p w14:paraId="634171A6"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2007-1995</w:t>
            </w:r>
          </w:p>
        </w:tc>
        <w:tc>
          <w:tcPr>
            <w:tcW w:w="1276" w:type="dxa"/>
            <w:tcBorders>
              <w:top w:val="nil"/>
              <w:left w:val="nil"/>
              <w:bottom w:val="single" w:sz="4" w:space="0" w:color="auto"/>
              <w:right w:val="nil"/>
            </w:tcBorders>
            <w:shd w:val="clear" w:color="auto" w:fill="auto"/>
            <w:noWrap/>
            <w:vAlign w:val="bottom"/>
            <w:hideMark/>
          </w:tcPr>
          <w:p w14:paraId="60B1DC46"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-6,043.8</w:t>
            </w:r>
          </w:p>
        </w:tc>
        <w:tc>
          <w:tcPr>
            <w:tcW w:w="1417" w:type="dxa"/>
            <w:gridSpan w:val="2"/>
            <w:tcBorders>
              <w:top w:val="nil"/>
              <w:left w:val="nil"/>
              <w:bottom w:val="single" w:sz="4" w:space="0" w:color="auto"/>
              <w:right w:val="nil"/>
            </w:tcBorders>
            <w:shd w:val="clear" w:color="auto" w:fill="auto"/>
            <w:noWrap/>
            <w:vAlign w:val="bottom"/>
            <w:hideMark/>
          </w:tcPr>
          <w:p w14:paraId="225C43A5"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-99.8</w:t>
            </w:r>
          </w:p>
        </w:tc>
        <w:tc>
          <w:tcPr>
            <w:tcW w:w="1261" w:type="dxa"/>
            <w:gridSpan w:val="2"/>
            <w:tcBorders>
              <w:top w:val="nil"/>
              <w:left w:val="nil"/>
              <w:bottom w:val="single" w:sz="4" w:space="0" w:color="auto"/>
              <w:right w:val="nil"/>
            </w:tcBorders>
            <w:shd w:val="clear" w:color="auto" w:fill="auto"/>
            <w:noWrap/>
            <w:vAlign w:val="bottom"/>
            <w:hideMark/>
          </w:tcPr>
          <w:p w14:paraId="489BDF17"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-9,595.6</w:t>
            </w:r>
          </w:p>
        </w:tc>
        <w:tc>
          <w:tcPr>
            <w:tcW w:w="1261" w:type="dxa"/>
            <w:tcBorders>
              <w:top w:val="nil"/>
              <w:left w:val="nil"/>
              <w:bottom w:val="single" w:sz="4" w:space="0" w:color="auto"/>
              <w:right w:val="nil"/>
            </w:tcBorders>
            <w:shd w:val="clear" w:color="auto" w:fill="auto"/>
            <w:noWrap/>
            <w:vAlign w:val="bottom"/>
            <w:hideMark/>
          </w:tcPr>
          <w:p w14:paraId="1ECA6081"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26,780.9</w:t>
            </w:r>
          </w:p>
        </w:tc>
        <w:tc>
          <w:tcPr>
            <w:tcW w:w="1432" w:type="dxa"/>
            <w:gridSpan w:val="3"/>
            <w:tcBorders>
              <w:top w:val="nil"/>
              <w:left w:val="nil"/>
              <w:bottom w:val="single" w:sz="4" w:space="0" w:color="auto"/>
              <w:right w:val="nil"/>
            </w:tcBorders>
            <w:shd w:val="clear" w:color="auto" w:fill="auto"/>
            <w:noWrap/>
            <w:vAlign w:val="bottom"/>
            <w:hideMark/>
          </w:tcPr>
          <w:p w14:paraId="54E504F6"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11,041.8</w:t>
            </w:r>
          </w:p>
        </w:tc>
        <w:tc>
          <w:tcPr>
            <w:tcW w:w="2178" w:type="dxa"/>
            <w:gridSpan w:val="2"/>
            <w:tcBorders>
              <w:top w:val="nil"/>
              <w:left w:val="nil"/>
              <w:bottom w:val="nil"/>
              <w:right w:val="nil"/>
            </w:tcBorders>
            <w:shd w:val="clear" w:color="auto" w:fill="auto"/>
            <w:noWrap/>
            <w:vAlign w:val="bottom"/>
            <w:hideMark/>
          </w:tcPr>
          <w:p w14:paraId="70FC31DF"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54C329EB" w14:textId="77777777" w:rsidTr="00B52C55">
        <w:trPr>
          <w:trHeight w:val="300"/>
        </w:trPr>
        <w:tc>
          <w:tcPr>
            <w:tcW w:w="1353" w:type="dxa"/>
            <w:tcBorders>
              <w:top w:val="nil"/>
              <w:left w:val="nil"/>
              <w:bottom w:val="nil"/>
              <w:right w:val="nil"/>
            </w:tcBorders>
            <w:shd w:val="clear" w:color="auto" w:fill="auto"/>
            <w:noWrap/>
            <w:vAlign w:val="bottom"/>
            <w:hideMark/>
          </w:tcPr>
          <w:p w14:paraId="53BE6AD5"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Russia</w:t>
            </w:r>
          </w:p>
        </w:tc>
        <w:tc>
          <w:tcPr>
            <w:tcW w:w="1276" w:type="dxa"/>
            <w:gridSpan w:val="2"/>
            <w:tcBorders>
              <w:top w:val="nil"/>
              <w:left w:val="nil"/>
              <w:bottom w:val="nil"/>
              <w:right w:val="nil"/>
            </w:tcBorders>
            <w:shd w:val="clear" w:color="auto" w:fill="auto"/>
            <w:noWrap/>
            <w:vAlign w:val="bottom"/>
            <w:hideMark/>
          </w:tcPr>
          <w:p w14:paraId="4B153D8D"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1999-1995</w:t>
            </w:r>
          </w:p>
        </w:tc>
        <w:tc>
          <w:tcPr>
            <w:tcW w:w="1276" w:type="dxa"/>
            <w:tcBorders>
              <w:top w:val="nil"/>
              <w:left w:val="nil"/>
              <w:bottom w:val="nil"/>
              <w:right w:val="nil"/>
            </w:tcBorders>
            <w:shd w:val="clear" w:color="auto" w:fill="auto"/>
            <w:noWrap/>
            <w:vAlign w:val="bottom"/>
            <w:hideMark/>
          </w:tcPr>
          <w:p w14:paraId="08E731B4"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31,969.8</w:t>
            </w:r>
          </w:p>
        </w:tc>
        <w:tc>
          <w:tcPr>
            <w:tcW w:w="1417" w:type="dxa"/>
            <w:gridSpan w:val="2"/>
            <w:tcBorders>
              <w:top w:val="nil"/>
              <w:left w:val="nil"/>
              <w:bottom w:val="nil"/>
              <w:right w:val="nil"/>
            </w:tcBorders>
            <w:shd w:val="clear" w:color="auto" w:fill="auto"/>
            <w:noWrap/>
            <w:vAlign w:val="bottom"/>
            <w:hideMark/>
          </w:tcPr>
          <w:p w14:paraId="286A73F3"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-97,284.0</w:t>
            </w:r>
          </w:p>
        </w:tc>
        <w:tc>
          <w:tcPr>
            <w:tcW w:w="1261" w:type="dxa"/>
            <w:gridSpan w:val="2"/>
            <w:tcBorders>
              <w:top w:val="nil"/>
              <w:left w:val="nil"/>
              <w:bottom w:val="nil"/>
              <w:right w:val="nil"/>
            </w:tcBorders>
            <w:shd w:val="clear" w:color="auto" w:fill="auto"/>
            <w:noWrap/>
            <w:vAlign w:val="bottom"/>
            <w:hideMark/>
          </w:tcPr>
          <w:p w14:paraId="16EEF58A"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-243,414.8</w:t>
            </w:r>
          </w:p>
        </w:tc>
        <w:tc>
          <w:tcPr>
            <w:tcW w:w="1261" w:type="dxa"/>
            <w:tcBorders>
              <w:top w:val="nil"/>
              <w:left w:val="nil"/>
              <w:bottom w:val="nil"/>
              <w:right w:val="nil"/>
            </w:tcBorders>
            <w:shd w:val="clear" w:color="auto" w:fill="auto"/>
            <w:noWrap/>
            <w:vAlign w:val="bottom"/>
            <w:hideMark/>
          </w:tcPr>
          <w:p w14:paraId="684E74D0"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218,045.8</w:t>
            </w:r>
          </w:p>
        </w:tc>
        <w:tc>
          <w:tcPr>
            <w:tcW w:w="1432" w:type="dxa"/>
            <w:gridSpan w:val="3"/>
            <w:tcBorders>
              <w:top w:val="nil"/>
              <w:left w:val="nil"/>
              <w:bottom w:val="nil"/>
              <w:right w:val="nil"/>
            </w:tcBorders>
            <w:shd w:val="clear" w:color="auto" w:fill="auto"/>
            <w:noWrap/>
            <w:vAlign w:val="bottom"/>
            <w:hideMark/>
          </w:tcPr>
          <w:p w14:paraId="24E44CEB"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-90,683.1</w:t>
            </w:r>
          </w:p>
        </w:tc>
        <w:tc>
          <w:tcPr>
            <w:tcW w:w="2178" w:type="dxa"/>
            <w:gridSpan w:val="2"/>
            <w:tcBorders>
              <w:top w:val="nil"/>
              <w:left w:val="nil"/>
              <w:bottom w:val="nil"/>
              <w:right w:val="nil"/>
            </w:tcBorders>
            <w:shd w:val="clear" w:color="auto" w:fill="auto"/>
            <w:noWrap/>
            <w:vAlign w:val="bottom"/>
            <w:hideMark/>
          </w:tcPr>
          <w:p w14:paraId="6567A8CA"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29FBBFC6" w14:textId="77777777" w:rsidTr="00B52C55">
        <w:trPr>
          <w:trHeight w:val="300"/>
        </w:trPr>
        <w:tc>
          <w:tcPr>
            <w:tcW w:w="1353" w:type="dxa"/>
            <w:tcBorders>
              <w:top w:val="nil"/>
              <w:left w:val="nil"/>
              <w:bottom w:val="nil"/>
              <w:right w:val="nil"/>
            </w:tcBorders>
            <w:shd w:val="clear" w:color="auto" w:fill="auto"/>
            <w:noWrap/>
            <w:vAlign w:val="bottom"/>
            <w:hideMark/>
          </w:tcPr>
          <w:p w14:paraId="5E2C02B9"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597151B1"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2003-1999</w:t>
            </w:r>
          </w:p>
        </w:tc>
        <w:tc>
          <w:tcPr>
            <w:tcW w:w="1276" w:type="dxa"/>
            <w:tcBorders>
              <w:top w:val="nil"/>
              <w:left w:val="nil"/>
              <w:bottom w:val="nil"/>
              <w:right w:val="nil"/>
            </w:tcBorders>
            <w:shd w:val="clear" w:color="auto" w:fill="auto"/>
            <w:noWrap/>
            <w:vAlign w:val="bottom"/>
            <w:hideMark/>
          </w:tcPr>
          <w:p w14:paraId="6B57CF03"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35,796.7</w:t>
            </w:r>
          </w:p>
        </w:tc>
        <w:tc>
          <w:tcPr>
            <w:tcW w:w="1417" w:type="dxa"/>
            <w:gridSpan w:val="2"/>
            <w:tcBorders>
              <w:top w:val="nil"/>
              <w:left w:val="nil"/>
              <w:bottom w:val="nil"/>
              <w:right w:val="nil"/>
            </w:tcBorders>
            <w:shd w:val="clear" w:color="auto" w:fill="auto"/>
            <w:noWrap/>
            <w:vAlign w:val="bottom"/>
            <w:hideMark/>
          </w:tcPr>
          <w:p w14:paraId="22AD8C85"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-336,004.6</w:t>
            </w:r>
          </w:p>
        </w:tc>
        <w:tc>
          <w:tcPr>
            <w:tcW w:w="1261" w:type="dxa"/>
            <w:gridSpan w:val="2"/>
            <w:tcBorders>
              <w:top w:val="nil"/>
              <w:left w:val="nil"/>
              <w:bottom w:val="nil"/>
              <w:right w:val="nil"/>
            </w:tcBorders>
            <w:shd w:val="clear" w:color="auto" w:fill="auto"/>
            <w:noWrap/>
            <w:vAlign w:val="bottom"/>
            <w:hideMark/>
          </w:tcPr>
          <w:p w14:paraId="76F4897A"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211,730.3</w:t>
            </w:r>
          </w:p>
        </w:tc>
        <w:tc>
          <w:tcPr>
            <w:tcW w:w="1261" w:type="dxa"/>
            <w:tcBorders>
              <w:top w:val="nil"/>
              <w:left w:val="nil"/>
              <w:bottom w:val="nil"/>
              <w:right w:val="nil"/>
            </w:tcBorders>
            <w:shd w:val="clear" w:color="auto" w:fill="auto"/>
            <w:noWrap/>
            <w:vAlign w:val="bottom"/>
            <w:hideMark/>
          </w:tcPr>
          <w:p w14:paraId="1E4B123F"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203,386.4</w:t>
            </w:r>
          </w:p>
        </w:tc>
        <w:tc>
          <w:tcPr>
            <w:tcW w:w="1432" w:type="dxa"/>
            <w:gridSpan w:val="3"/>
            <w:tcBorders>
              <w:top w:val="nil"/>
              <w:left w:val="nil"/>
              <w:bottom w:val="nil"/>
              <w:right w:val="nil"/>
            </w:tcBorders>
            <w:shd w:val="clear" w:color="auto" w:fill="auto"/>
            <w:noWrap/>
            <w:vAlign w:val="bottom"/>
            <w:hideMark/>
          </w:tcPr>
          <w:p w14:paraId="4107B75B"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114,908.9</w:t>
            </w:r>
          </w:p>
        </w:tc>
        <w:tc>
          <w:tcPr>
            <w:tcW w:w="2178" w:type="dxa"/>
            <w:gridSpan w:val="2"/>
            <w:tcBorders>
              <w:top w:val="nil"/>
              <w:left w:val="nil"/>
              <w:bottom w:val="nil"/>
              <w:right w:val="nil"/>
            </w:tcBorders>
            <w:shd w:val="clear" w:color="auto" w:fill="auto"/>
            <w:noWrap/>
            <w:vAlign w:val="bottom"/>
            <w:hideMark/>
          </w:tcPr>
          <w:p w14:paraId="6011E7F0"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4F283BDD" w14:textId="77777777" w:rsidTr="00B52C55">
        <w:trPr>
          <w:trHeight w:val="300"/>
        </w:trPr>
        <w:tc>
          <w:tcPr>
            <w:tcW w:w="1353" w:type="dxa"/>
            <w:tcBorders>
              <w:top w:val="nil"/>
              <w:left w:val="nil"/>
              <w:bottom w:val="nil"/>
              <w:right w:val="nil"/>
            </w:tcBorders>
            <w:shd w:val="clear" w:color="auto" w:fill="auto"/>
            <w:noWrap/>
            <w:vAlign w:val="bottom"/>
            <w:hideMark/>
          </w:tcPr>
          <w:p w14:paraId="39F8E3C0"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1C4607E8"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2007-2003</w:t>
            </w:r>
          </w:p>
        </w:tc>
        <w:tc>
          <w:tcPr>
            <w:tcW w:w="1276" w:type="dxa"/>
            <w:tcBorders>
              <w:top w:val="nil"/>
              <w:left w:val="nil"/>
              <w:bottom w:val="nil"/>
              <w:right w:val="nil"/>
            </w:tcBorders>
            <w:shd w:val="clear" w:color="auto" w:fill="auto"/>
            <w:noWrap/>
            <w:vAlign w:val="bottom"/>
            <w:hideMark/>
          </w:tcPr>
          <w:p w14:paraId="45AA09E0"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24,453.0</w:t>
            </w:r>
          </w:p>
        </w:tc>
        <w:tc>
          <w:tcPr>
            <w:tcW w:w="1417" w:type="dxa"/>
            <w:gridSpan w:val="2"/>
            <w:tcBorders>
              <w:top w:val="nil"/>
              <w:left w:val="nil"/>
              <w:bottom w:val="nil"/>
              <w:right w:val="nil"/>
            </w:tcBorders>
            <w:shd w:val="clear" w:color="auto" w:fill="auto"/>
            <w:noWrap/>
            <w:vAlign w:val="bottom"/>
            <w:hideMark/>
          </w:tcPr>
          <w:p w14:paraId="2749B1DD"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-440,625.4</w:t>
            </w:r>
          </w:p>
        </w:tc>
        <w:tc>
          <w:tcPr>
            <w:tcW w:w="1261" w:type="dxa"/>
            <w:gridSpan w:val="2"/>
            <w:tcBorders>
              <w:top w:val="nil"/>
              <w:left w:val="nil"/>
              <w:bottom w:val="nil"/>
              <w:right w:val="nil"/>
            </w:tcBorders>
            <w:shd w:val="clear" w:color="auto" w:fill="auto"/>
            <w:noWrap/>
            <w:vAlign w:val="bottom"/>
            <w:hideMark/>
          </w:tcPr>
          <w:p w14:paraId="51393CCE"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192,264.1</w:t>
            </w:r>
          </w:p>
        </w:tc>
        <w:tc>
          <w:tcPr>
            <w:tcW w:w="1261" w:type="dxa"/>
            <w:tcBorders>
              <w:top w:val="nil"/>
              <w:left w:val="nil"/>
              <w:bottom w:val="nil"/>
              <w:right w:val="nil"/>
            </w:tcBorders>
            <w:shd w:val="clear" w:color="auto" w:fill="auto"/>
            <w:noWrap/>
            <w:vAlign w:val="bottom"/>
            <w:hideMark/>
          </w:tcPr>
          <w:p w14:paraId="1BDE9CA8"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298,530.1</w:t>
            </w:r>
          </w:p>
        </w:tc>
        <w:tc>
          <w:tcPr>
            <w:tcW w:w="1432" w:type="dxa"/>
            <w:gridSpan w:val="3"/>
            <w:tcBorders>
              <w:top w:val="nil"/>
              <w:left w:val="nil"/>
              <w:bottom w:val="nil"/>
              <w:right w:val="nil"/>
            </w:tcBorders>
            <w:shd w:val="clear" w:color="auto" w:fill="auto"/>
            <w:noWrap/>
            <w:vAlign w:val="bottom"/>
            <w:hideMark/>
          </w:tcPr>
          <w:p w14:paraId="462C8923"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74,621.9</w:t>
            </w:r>
          </w:p>
        </w:tc>
        <w:tc>
          <w:tcPr>
            <w:tcW w:w="2178" w:type="dxa"/>
            <w:gridSpan w:val="2"/>
            <w:tcBorders>
              <w:top w:val="nil"/>
              <w:left w:val="nil"/>
              <w:bottom w:val="nil"/>
              <w:right w:val="nil"/>
            </w:tcBorders>
            <w:shd w:val="clear" w:color="auto" w:fill="auto"/>
            <w:noWrap/>
            <w:vAlign w:val="bottom"/>
            <w:hideMark/>
          </w:tcPr>
          <w:p w14:paraId="3595CEB8"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5504FCCF" w14:textId="77777777" w:rsidTr="00B52C55">
        <w:trPr>
          <w:trHeight w:val="300"/>
        </w:trPr>
        <w:tc>
          <w:tcPr>
            <w:tcW w:w="1353" w:type="dxa"/>
            <w:tcBorders>
              <w:top w:val="nil"/>
              <w:left w:val="nil"/>
              <w:bottom w:val="single" w:sz="4" w:space="0" w:color="auto"/>
              <w:right w:val="nil"/>
            </w:tcBorders>
            <w:shd w:val="clear" w:color="auto" w:fill="auto"/>
            <w:noWrap/>
            <w:vAlign w:val="bottom"/>
            <w:hideMark/>
          </w:tcPr>
          <w:p w14:paraId="558D7104"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 </w:t>
            </w:r>
          </w:p>
        </w:tc>
        <w:tc>
          <w:tcPr>
            <w:tcW w:w="1276" w:type="dxa"/>
            <w:gridSpan w:val="2"/>
            <w:tcBorders>
              <w:top w:val="nil"/>
              <w:left w:val="nil"/>
              <w:bottom w:val="single" w:sz="4" w:space="0" w:color="auto"/>
              <w:right w:val="nil"/>
            </w:tcBorders>
            <w:shd w:val="clear" w:color="auto" w:fill="auto"/>
            <w:noWrap/>
            <w:vAlign w:val="bottom"/>
            <w:hideMark/>
          </w:tcPr>
          <w:p w14:paraId="2E35773A"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2007-1995</w:t>
            </w:r>
          </w:p>
        </w:tc>
        <w:tc>
          <w:tcPr>
            <w:tcW w:w="1276" w:type="dxa"/>
            <w:tcBorders>
              <w:top w:val="nil"/>
              <w:left w:val="nil"/>
              <w:bottom w:val="single" w:sz="4" w:space="0" w:color="auto"/>
              <w:right w:val="nil"/>
            </w:tcBorders>
            <w:shd w:val="clear" w:color="auto" w:fill="auto"/>
            <w:noWrap/>
            <w:vAlign w:val="bottom"/>
            <w:hideMark/>
          </w:tcPr>
          <w:p w14:paraId="542BBE91"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99,241.9</w:t>
            </w:r>
          </w:p>
        </w:tc>
        <w:tc>
          <w:tcPr>
            <w:tcW w:w="1417" w:type="dxa"/>
            <w:gridSpan w:val="2"/>
            <w:tcBorders>
              <w:top w:val="nil"/>
              <w:left w:val="nil"/>
              <w:bottom w:val="single" w:sz="4" w:space="0" w:color="auto"/>
              <w:right w:val="nil"/>
            </w:tcBorders>
            <w:shd w:val="clear" w:color="auto" w:fill="auto"/>
            <w:noWrap/>
            <w:vAlign w:val="bottom"/>
            <w:hideMark/>
          </w:tcPr>
          <w:p w14:paraId="2D3A99FE"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-926,104.6</w:t>
            </w:r>
          </w:p>
        </w:tc>
        <w:tc>
          <w:tcPr>
            <w:tcW w:w="1261" w:type="dxa"/>
            <w:gridSpan w:val="2"/>
            <w:tcBorders>
              <w:top w:val="nil"/>
              <w:left w:val="nil"/>
              <w:bottom w:val="single" w:sz="4" w:space="0" w:color="auto"/>
              <w:right w:val="nil"/>
            </w:tcBorders>
            <w:shd w:val="clear" w:color="auto" w:fill="auto"/>
            <w:noWrap/>
            <w:vAlign w:val="bottom"/>
            <w:hideMark/>
          </w:tcPr>
          <w:p w14:paraId="3C326C88"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159,771.4</w:t>
            </w:r>
          </w:p>
        </w:tc>
        <w:tc>
          <w:tcPr>
            <w:tcW w:w="1261" w:type="dxa"/>
            <w:tcBorders>
              <w:top w:val="nil"/>
              <w:left w:val="nil"/>
              <w:bottom w:val="single" w:sz="4" w:space="0" w:color="auto"/>
              <w:right w:val="nil"/>
            </w:tcBorders>
            <w:shd w:val="clear" w:color="auto" w:fill="auto"/>
            <w:noWrap/>
            <w:vAlign w:val="bottom"/>
            <w:hideMark/>
          </w:tcPr>
          <w:p w14:paraId="757A6D47"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765,938.9</w:t>
            </w:r>
          </w:p>
        </w:tc>
        <w:tc>
          <w:tcPr>
            <w:tcW w:w="1432" w:type="dxa"/>
            <w:gridSpan w:val="3"/>
            <w:tcBorders>
              <w:top w:val="nil"/>
              <w:left w:val="nil"/>
              <w:bottom w:val="single" w:sz="4" w:space="0" w:color="auto"/>
              <w:right w:val="nil"/>
            </w:tcBorders>
            <w:shd w:val="clear" w:color="auto" w:fill="auto"/>
            <w:noWrap/>
            <w:vAlign w:val="bottom"/>
            <w:hideMark/>
          </w:tcPr>
          <w:p w14:paraId="74BF2EC2"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98,847.7</w:t>
            </w:r>
          </w:p>
        </w:tc>
        <w:tc>
          <w:tcPr>
            <w:tcW w:w="2178" w:type="dxa"/>
            <w:gridSpan w:val="2"/>
            <w:tcBorders>
              <w:top w:val="nil"/>
              <w:left w:val="nil"/>
              <w:bottom w:val="nil"/>
              <w:right w:val="nil"/>
            </w:tcBorders>
            <w:shd w:val="clear" w:color="auto" w:fill="auto"/>
            <w:noWrap/>
            <w:vAlign w:val="bottom"/>
            <w:hideMark/>
          </w:tcPr>
          <w:p w14:paraId="6571ACF4"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0F8D7239" w14:textId="77777777" w:rsidTr="00B52C55">
        <w:trPr>
          <w:trHeight w:val="300"/>
        </w:trPr>
        <w:tc>
          <w:tcPr>
            <w:tcW w:w="1353" w:type="dxa"/>
            <w:tcBorders>
              <w:top w:val="nil"/>
              <w:left w:val="nil"/>
              <w:bottom w:val="nil"/>
              <w:right w:val="nil"/>
            </w:tcBorders>
            <w:shd w:val="clear" w:color="auto" w:fill="auto"/>
            <w:noWrap/>
            <w:vAlign w:val="bottom"/>
            <w:hideMark/>
          </w:tcPr>
          <w:p w14:paraId="3B6367D1"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Slovak Republic</w:t>
            </w:r>
          </w:p>
        </w:tc>
        <w:tc>
          <w:tcPr>
            <w:tcW w:w="1276" w:type="dxa"/>
            <w:gridSpan w:val="2"/>
            <w:tcBorders>
              <w:top w:val="nil"/>
              <w:left w:val="nil"/>
              <w:bottom w:val="nil"/>
              <w:right w:val="nil"/>
            </w:tcBorders>
            <w:shd w:val="clear" w:color="auto" w:fill="auto"/>
            <w:noWrap/>
            <w:vAlign w:val="bottom"/>
            <w:hideMark/>
          </w:tcPr>
          <w:p w14:paraId="6F9295DD"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1999-1995</w:t>
            </w:r>
          </w:p>
        </w:tc>
        <w:tc>
          <w:tcPr>
            <w:tcW w:w="1276" w:type="dxa"/>
            <w:tcBorders>
              <w:top w:val="nil"/>
              <w:left w:val="nil"/>
              <w:bottom w:val="nil"/>
              <w:right w:val="nil"/>
            </w:tcBorders>
            <w:shd w:val="clear" w:color="auto" w:fill="auto"/>
            <w:noWrap/>
            <w:vAlign w:val="bottom"/>
            <w:hideMark/>
          </w:tcPr>
          <w:p w14:paraId="658C306D"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-2,376.9</w:t>
            </w:r>
          </w:p>
        </w:tc>
        <w:tc>
          <w:tcPr>
            <w:tcW w:w="1417" w:type="dxa"/>
            <w:gridSpan w:val="2"/>
            <w:tcBorders>
              <w:top w:val="nil"/>
              <w:left w:val="nil"/>
              <w:bottom w:val="nil"/>
              <w:right w:val="nil"/>
            </w:tcBorders>
            <w:shd w:val="clear" w:color="auto" w:fill="auto"/>
            <w:noWrap/>
            <w:vAlign w:val="bottom"/>
            <w:hideMark/>
          </w:tcPr>
          <w:p w14:paraId="4E2AAA3A"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-6,787.3</w:t>
            </w:r>
          </w:p>
        </w:tc>
        <w:tc>
          <w:tcPr>
            <w:tcW w:w="1261" w:type="dxa"/>
            <w:gridSpan w:val="2"/>
            <w:tcBorders>
              <w:top w:val="nil"/>
              <w:left w:val="nil"/>
              <w:bottom w:val="nil"/>
              <w:right w:val="nil"/>
            </w:tcBorders>
            <w:shd w:val="clear" w:color="auto" w:fill="auto"/>
            <w:noWrap/>
            <w:vAlign w:val="bottom"/>
            <w:hideMark/>
          </w:tcPr>
          <w:p w14:paraId="55D14ABC"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642.2</w:t>
            </w:r>
          </w:p>
        </w:tc>
        <w:tc>
          <w:tcPr>
            <w:tcW w:w="1261" w:type="dxa"/>
            <w:tcBorders>
              <w:top w:val="nil"/>
              <w:left w:val="nil"/>
              <w:bottom w:val="nil"/>
              <w:right w:val="nil"/>
            </w:tcBorders>
            <w:shd w:val="clear" w:color="auto" w:fill="auto"/>
            <w:noWrap/>
            <w:vAlign w:val="bottom"/>
            <w:hideMark/>
          </w:tcPr>
          <w:p w14:paraId="592CFC11"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6,063.6</w:t>
            </w:r>
          </w:p>
        </w:tc>
        <w:tc>
          <w:tcPr>
            <w:tcW w:w="1432" w:type="dxa"/>
            <w:gridSpan w:val="3"/>
            <w:tcBorders>
              <w:top w:val="nil"/>
              <w:left w:val="nil"/>
              <w:bottom w:val="nil"/>
              <w:right w:val="nil"/>
            </w:tcBorders>
            <w:shd w:val="clear" w:color="auto" w:fill="auto"/>
            <w:noWrap/>
            <w:vAlign w:val="bottom"/>
            <w:hideMark/>
          </w:tcPr>
          <w:p w14:paraId="2DCEF5FD"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-2,458.3</w:t>
            </w:r>
          </w:p>
        </w:tc>
        <w:tc>
          <w:tcPr>
            <w:tcW w:w="2178" w:type="dxa"/>
            <w:gridSpan w:val="2"/>
            <w:tcBorders>
              <w:top w:val="nil"/>
              <w:left w:val="nil"/>
              <w:bottom w:val="nil"/>
              <w:right w:val="nil"/>
            </w:tcBorders>
            <w:shd w:val="clear" w:color="auto" w:fill="auto"/>
            <w:noWrap/>
            <w:vAlign w:val="bottom"/>
            <w:hideMark/>
          </w:tcPr>
          <w:p w14:paraId="77BFAE45"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549ABB57" w14:textId="77777777" w:rsidTr="00B52C55">
        <w:trPr>
          <w:trHeight w:val="300"/>
        </w:trPr>
        <w:tc>
          <w:tcPr>
            <w:tcW w:w="1353" w:type="dxa"/>
            <w:tcBorders>
              <w:top w:val="nil"/>
              <w:left w:val="nil"/>
              <w:bottom w:val="nil"/>
              <w:right w:val="nil"/>
            </w:tcBorders>
            <w:shd w:val="clear" w:color="auto" w:fill="auto"/>
            <w:noWrap/>
            <w:vAlign w:val="bottom"/>
            <w:hideMark/>
          </w:tcPr>
          <w:p w14:paraId="4063B093"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4B79D643"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2003-1999</w:t>
            </w:r>
          </w:p>
        </w:tc>
        <w:tc>
          <w:tcPr>
            <w:tcW w:w="1276" w:type="dxa"/>
            <w:tcBorders>
              <w:top w:val="nil"/>
              <w:left w:val="nil"/>
              <w:bottom w:val="nil"/>
              <w:right w:val="nil"/>
            </w:tcBorders>
            <w:shd w:val="clear" w:color="auto" w:fill="auto"/>
            <w:noWrap/>
            <w:vAlign w:val="bottom"/>
            <w:hideMark/>
          </w:tcPr>
          <w:p w14:paraId="1C1DA088"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-4,054.7</w:t>
            </w:r>
          </w:p>
        </w:tc>
        <w:tc>
          <w:tcPr>
            <w:tcW w:w="1417" w:type="dxa"/>
            <w:gridSpan w:val="2"/>
            <w:tcBorders>
              <w:top w:val="nil"/>
              <w:left w:val="nil"/>
              <w:bottom w:val="nil"/>
              <w:right w:val="nil"/>
            </w:tcBorders>
            <w:shd w:val="clear" w:color="auto" w:fill="auto"/>
            <w:noWrap/>
            <w:vAlign w:val="bottom"/>
            <w:hideMark/>
          </w:tcPr>
          <w:p w14:paraId="37A4533B"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-1,997.8</w:t>
            </w:r>
          </w:p>
        </w:tc>
        <w:tc>
          <w:tcPr>
            <w:tcW w:w="1261" w:type="dxa"/>
            <w:gridSpan w:val="2"/>
            <w:tcBorders>
              <w:top w:val="nil"/>
              <w:left w:val="nil"/>
              <w:bottom w:val="nil"/>
              <w:right w:val="nil"/>
            </w:tcBorders>
            <w:shd w:val="clear" w:color="auto" w:fill="auto"/>
            <w:noWrap/>
            <w:vAlign w:val="bottom"/>
            <w:hideMark/>
          </w:tcPr>
          <w:p w14:paraId="3619BF66"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457.8</w:t>
            </w:r>
          </w:p>
        </w:tc>
        <w:tc>
          <w:tcPr>
            <w:tcW w:w="1261" w:type="dxa"/>
            <w:tcBorders>
              <w:top w:val="nil"/>
              <w:left w:val="nil"/>
              <w:bottom w:val="nil"/>
              <w:right w:val="nil"/>
            </w:tcBorders>
            <w:shd w:val="clear" w:color="auto" w:fill="auto"/>
            <w:noWrap/>
            <w:vAlign w:val="bottom"/>
            <w:hideMark/>
          </w:tcPr>
          <w:p w14:paraId="14D0720A"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5,426.8</w:t>
            </w:r>
          </w:p>
        </w:tc>
        <w:tc>
          <w:tcPr>
            <w:tcW w:w="1432" w:type="dxa"/>
            <w:gridSpan w:val="3"/>
            <w:tcBorders>
              <w:top w:val="nil"/>
              <w:left w:val="nil"/>
              <w:bottom w:val="nil"/>
              <w:right w:val="nil"/>
            </w:tcBorders>
            <w:shd w:val="clear" w:color="auto" w:fill="auto"/>
            <w:noWrap/>
            <w:vAlign w:val="bottom"/>
            <w:hideMark/>
          </w:tcPr>
          <w:p w14:paraId="1BB3B623"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-168.0</w:t>
            </w:r>
          </w:p>
        </w:tc>
        <w:tc>
          <w:tcPr>
            <w:tcW w:w="2178" w:type="dxa"/>
            <w:gridSpan w:val="2"/>
            <w:tcBorders>
              <w:top w:val="nil"/>
              <w:left w:val="nil"/>
              <w:bottom w:val="nil"/>
              <w:right w:val="nil"/>
            </w:tcBorders>
            <w:shd w:val="clear" w:color="auto" w:fill="auto"/>
            <w:noWrap/>
            <w:vAlign w:val="bottom"/>
            <w:hideMark/>
          </w:tcPr>
          <w:p w14:paraId="585F21A6"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29D37471" w14:textId="77777777" w:rsidTr="00B52C55">
        <w:trPr>
          <w:trHeight w:val="300"/>
        </w:trPr>
        <w:tc>
          <w:tcPr>
            <w:tcW w:w="1353" w:type="dxa"/>
            <w:tcBorders>
              <w:top w:val="nil"/>
              <w:left w:val="nil"/>
              <w:bottom w:val="nil"/>
              <w:right w:val="nil"/>
            </w:tcBorders>
            <w:shd w:val="clear" w:color="auto" w:fill="auto"/>
            <w:noWrap/>
            <w:vAlign w:val="bottom"/>
            <w:hideMark/>
          </w:tcPr>
          <w:p w14:paraId="4F11D0DF"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7986D3CC"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2007-2003</w:t>
            </w:r>
          </w:p>
        </w:tc>
        <w:tc>
          <w:tcPr>
            <w:tcW w:w="1276" w:type="dxa"/>
            <w:tcBorders>
              <w:top w:val="nil"/>
              <w:left w:val="nil"/>
              <w:bottom w:val="nil"/>
              <w:right w:val="nil"/>
            </w:tcBorders>
            <w:shd w:val="clear" w:color="auto" w:fill="auto"/>
            <w:noWrap/>
            <w:vAlign w:val="bottom"/>
            <w:hideMark/>
          </w:tcPr>
          <w:p w14:paraId="447842AE"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-870.3</w:t>
            </w:r>
          </w:p>
        </w:tc>
        <w:tc>
          <w:tcPr>
            <w:tcW w:w="1417" w:type="dxa"/>
            <w:gridSpan w:val="2"/>
            <w:tcBorders>
              <w:top w:val="nil"/>
              <w:left w:val="nil"/>
              <w:bottom w:val="nil"/>
              <w:right w:val="nil"/>
            </w:tcBorders>
            <w:shd w:val="clear" w:color="auto" w:fill="auto"/>
            <w:noWrap/>
            <w:vAlign w:val="bottom"/>
            <w:hideMark/>
          </w:tcPr>
          <w:p w14:paraId="54A2D391"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-14,408.5</w:t>
            </w:r>
          </w:p>
        </w:tc>
        <w:tc>
          <w:tcPr>
            <w:tcW w:w="1261" w:type="dxa"/>
            <w:gridSpan w:val="2"/>
            <w:tcBorders>
              <w:top w:val="nil"/>
              <w:left w:val="nil"/>
              <w:bottom w:val="nil"/>
              <w:right w:val="nil"/>
            </w:tcBorders>
            <w:shd w:val="clear" w:color="auto" w:fill="auto"/>
            <w:noWrap/>
            <w:vAlign w:val="bottom"/>
            <w:hideMark/>
          </w:tcPr>
          <w:p w14:paraId="059B5106"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4,779.4</w:t>
            </w:r>
          </w:p>
        </w:tc>
        <w:tc>
          <w:tcPr>
            <w:tcW w:w="1261" w:type="dxa"/>
            <w:tcBorders>
              <w:top w:val="nil"/>
              <w:left w:val="nil"/>
              <w:bottom w:val="nil"/>
              <w:right w:val="nil"/>
            </w:tcBorders>
            <w:shd w:val="clear" w:color="auto" w:fill="auto"/>
            <w:noWrap/>
            <w:vAlign w:val="bottom"/>
            <w:hideMark/>
          </w:tcPr>
          <w:p w14:paraId="32800382"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7,277.8</w:t>
            </w:r>
          </w:p>
        </w:tc>
        <w:tc>
          <w:tcPr>
            <w:tcW w:w="1432" w:type="dxa"/>
            <w:gridSpan w:val="3"/>
            <w:tcBorders>
              <w:top w:val="nil"/>
              <w:left w:val="nil"/>
              <w:bottom w:val="nil"/>
              <w:right w:val="nil"/>
            </w:tcBorders>
            <w:shd w:val="clear" w:color="auto" w:fill="auto"/>
            <w:noWrap/>
            <w:vAlign w:val="bottom"/>
            <w:hideMark/>
          </w:tcPr>
          <w:p w14:paraId="74137222"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-3,221.6</w:t>
            </w:r>
          </w:p>
        </w:tc>
        <w:tc>
          <w:tcPr>
            <w:tcW w:w="2178" w:type="dxa"/>
            <w:gridSpan w:val="2"/>
            <w:tcBorders>
              <w:top w:val="nil"/>
              <w:left w:val="nil"/>
              <w:bottom w:val="nil"/>
              <w:right w:val="nil"/>
            </w:tcBorders>
            <w:shd w:val="clear" w:color="auto" w:fill="auto"/>
            <w:noWrap/>
            <w:vAlign w:val="bottom"/>
            <w:hideMark/>
          </w:tcPr>
          <w:p w14:paraId="290E6F60"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76EF0C63" w14:textId="77777777" w:rsidTr="00B52C55">
        <w:trPr>
          <w:trHeight w:val="300"/>
        </w:trPr>
        <w:tc>
          <w:tcPr>
            <w:tcW w:w="1353" w:type="dxa"/>
            <w:tcBorders>
              <w:top w:val="nil"/>
              <w:left w:val="nil"/>
              <w:bottom w:val="single" w:sz="4" w:space="0" w:color="auto"/>
              <w:right w:val="nil"/>
            </w:tcBorders>
            <w:shd w:val="clear" w:color="auto" w:fill="auto"/>
            <w:noWrap/>
            <w:vAlign w:val="bottom"/>
            <w:hideMark/>
          </w:tcPr>
          <w:p w14:paraId="3026E03A"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 </w:t>
            </w:r>
          </w:p>
        </w:tc>
        <w:tc>
          <w:tcPr>
            <w:tcW w:w="1276" w:type="dxa"/>
            <w:gridSpan w:val="2"/>
            <w:tcBorders>
              <w:top w:val="nil"/>
              <w:left w:val="nil"/>
              <w:bottom w:val="single" w:sz="4" w:space="0" w:color="auto"/>
              <w:right w:val="nil"/>
            </w:tcBorders>
            <w:shd w:val="clear" w:color="auto" w:fill="auto"/>
            <w:noWrap/>
            <w:vAlign w:val="bottom"/>
            <w:hideMark/>
          </w:tcPr>
          <w:p w14:paraId="5E74EE5B"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2007-1995</w:t>
            </w:r>
          </w:p>
        </w:tc>
        <w:tc>
          <w:tcPr>
            <w:tcW w:w="1276" w:type="dxa"/>
            <w:tcBorders>
              <w:top w:val="nil"/>
              <w:left w:val="nil"/>
              <w:bottom w:val="single" w:sz="4" w:space="0" w:color="auto"/>
              <w:right w:val="nil"/>
            </w:tcBorders>
            <w:shd w:val="clear" w:color="auto" w:fill="auto"/>
            <w:noWrap/>
            <w:vAlign w:val="bottom"/>
            <w:hideMark/>
          </w:tcPr>
          <w:p w14:paraId="46E8F85E"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-7,484.5</w:t>
            </w:r>
          </w:p>
        </w:tc>
        <w:tc>
          <w:tcPr>
            <w:tcW w:w="1417" w:type="dxa"/>
            <w:gridSpan w:val="2"/>
            <w:tcBorders>
              <w:top w:val="nil"/>
              <w:left w:val="nil"/>
              <w:bottom w:val="single" w:sz="4" w:space="0" w:color="auto"/>
              <w:right w:val="nil"/>
            </w:tcBorders>
            <w:shd w:val="clear" w:color="auto" w:fill="auto"/>
            <w:noWrap/>
            <w:vAlign w:val="bottom"/>
            <w:hideMark/>
          </w:tcPr>
          <w:p w14:paraId="728D09C8"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-24,086.0</w:t>
            </w:r>
          </w:p>
        </w:tc>
        <w:tc>
          <w:tcPr>
            <w:tcW w:w="1261" w:type="dxa"/>
            <w:gridSpan w:val="2"/>
            <w:tcBorders>
              <w:top w:val="nil"/>
              <w:left w:val="nil"/>
              <w:bottom w:val="single" w:sz="4" w:space="0" w:color="auto"/>
              <w:right w:val="nil"/>
            </w:tcBorders>
            <w:shd w:val="clear" w:color="auto" w:fill="auto"/>
            <w:noWrap/>
            <w:vAlign w:val="bottom"/>
            <w:hideMark/>
          </w:tcPr>
          <w:p w14:paraId="27BD437B"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6,212.3</w:t>
            </w:r>
          </w:p>
        </w:tc>
        <w:tc>
          <w:tcPr>
            <w:tcW w:w="1261" w:type="dxa"/>
            <w:tcBorders>
              <w:top w:val="nil"/>
              <w:left w:val="nil"/>
              <w:bottom w:val="single" w:sz="4" w:space="0" w:color="auto"/>
              <w:right w:val="nil"/>
            </w:tcBorders>
            <w:shd w:val="clear" w:color="auto" w:fill="auto"/>
            <w:noWrap/>
            <w:vAlign w:val="bottom"/>
            <w:hideMark/>
          </w:tcPr>
          <w:p w14:paraId="22D2890C"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19,510.2</w:t>
            </w:r>
          </w:p>
        </w:tc>
        <w:tc>
          <w:tcPr>
            <w:tcW w:w="1432" w:type="dxa"/>
            <w:gridSpan w:val="3"/>
            <w:tcBorders>
              <w:top w:val="nil"/>
              <w:left w:val="nil"/>
              <w:bottom w:val="single" w:sz="4" w:space="0" w:color="auto"/>
              <w:right w:val="nil"/>
            </w:tcBorders>
            <w:shd w:val="clear" w:color="auto" w:fill="auto"/>
            <w:noWrap/>
            <w:vAlign w:val="bottom"/>
            <w:hideMark/>
          </w:tcPr>
          <w:p w14:paraId="01E05027"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-5,847.9</w:t>
            </w:r>
          </w:p>
        </w:tc>
        <w:tc>
          <w:tcPr>
            <w:tcW w:w="2178" w:type="dxa"/>
            <w:gridSpan w:val="2"/>
            <w:tcBorders>
              <w:top w:val="nil"/>
              <w:left w:val="nil"/>
              <w:bottom w:val="nil"/>
              <w:right w:val="nil"/>
            </w:tcBorders>
            <w:shd w:val="clear" w:color="auto" w:fill="auto"/>
            <w:noWrap/>
            <w:vAlign w:val="bottom"/>
            <w:hideMark/>
          </w:tcPr>
          <w:p w14:paraId="156FA3E4"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1ABCACB6" w14:textId="77777777" w:rsidTr="00B52C55">
        <w:trPr>
          <w:trHeight w:val="300"/>
        </w:trPr>
        <w:tc>
          <w:tcPr>
            <w:tcW w:w="1353" w:type="dxa"/>
            <w:tcBorders>
              <w:top w:val="nil"/>
              <w:left w:val="nil"/>
              <w:bottom w:val="nil"/>
              <w:right w:val="nil"/>
            </w:tcBorders>
            <w:shd w:val="clear" w:color="auto" w:fill="auto"/>
            <w:noWrap/>
            <w:vAlign w:val="bottom"/>
            <w:hideMark/>
          </w:tcPr>
          <w:p w14:paraId="4BBB2966"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Slovenia</w:t>
            </w:r>
          </w:p>
        </w:tc>
        <w:tc>
          <w:tcPr>
            <w:tcW w:w="1276" w:type="dxa"/>
            <w:gridSpan w:val="2"/>
            <w:tcBorders>
              <w:top w:val="nil"/>
              <w:left w:val="nil"/>
              <w:bottom w:val="nil"/>
              <w:right w:val="nil"/>
            </w:tcBorders>
            <w:shd w:val="clear" w:color="auto" w:fill="auto"/>
            <w:noWrap/>
            <w:vAlign w:val="bottom"/>
            <w:hideMark/>
          </w:tcPr>
          <w:p w14:paraId="66301C92"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1999-1995</w:t>
            </w:r>
          </w:p>
        </w:tc>
        <w:tc>
          <w:tcPr>
            <w:tcW w:w="1276" w:type="dxa"/>
            <w:tcBorders>
              <w:top w:val="nil"/>
              <w:left w:val="nil"/>
              <w:bottom w:val="nil"/>
              <w:right w:val="nil"/>
            </w:tcBorders>
            <w:shd w:val="clear" w:color="auto" w:fill="auto"/>
            <w:noWrap/>
            <w:vAlign w:val="bottom"/>
            <w:hideMark/>
          </w:tcPr>
          <w:p w14:paraId="5EC50A2B"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-715.7</w:t>
            </w:r>
          </w:p>
        </w:tc>
        <w:tc>
          <w:tcPr>
            <w:tcW w:w="1417" w:type="dxa"/>
            <w:gridSpan w:val="2"/>
            <w:tcBorders>
              <w:top w:val="nil"/>
              <w:left w:val="nil"/>
              <w:bottom w:val="nil"/>
              <w:right w:val="nil"/>
            </w:tcBorders>
            <w:shd w:val="clear" w:color="auto" w:fill="auto"/>
            <w:noWrap/>
            <w:vAlign w:val="bottom"/>
            <w:hideMark/>
          </w:tcPr>
          <w:p w14:paraId="4823FA7F"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-1,774.2</w:t>
            </w:r>
          </w:p>
        </w:tc>
        <w:tc>
          <w:tcPr>
            <w:tcW w:w="1261" w:type="dxa"/>
            <w:gridSpan w:val="2"/>
            <w:tcBorders>
              <w:top w:val="nil"/>
              <w:left w:val="nil"/>
              <w:bottom w:val="nil"/>
              <w:right w:val="nil"/>
            </w:tcBorders>
            <w:shd w:val="clear" w:color="auto" w:fill="auto"/>
            <w:noWrap/>
            <w:vAlign w:val="bottom"/>
            <w:hideMark/>
          </w:tcPr>
          <w:p w14:paraId="274DC30A"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478.4</w:t>
            </w:r>
          </w:p>
        </w:tc>
        <w:tc>
          <w:tcPr>
            <w:tcW w:w="1261" w:type="dxa"/>
            <w:tcBorders>
              <w:top w:val="nil"/>
              <w:left w:val="nil"/>
              <w:bottom w:val="nil"/>
              <w:right w:val="nil"/>
            </w:tcBorders>
            <w:shd w:val="clear" w:color="auto" w:fill="auto"/>
            <w:noWrap/>
            <w:vAlign w:val="bottom"/>
            <w:hideMark/>
          </w:tcPr>
          <w:p w14:paraId="6D40157F"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2,094.0</w:t>
            </w:r>
          </w:p>
        </w:tc>
        <w:tc>
          <w:tcPr>
            <w:tcW w:w="1432" w:type="dxa"/>
            <w:gridSpan w:val="3"/>
            <w:tcBorders>
              <w:top w:val="nil"/>
              <w:left w:val="nil"/>
              <w:bottom w:val="nil"/>
              <w:right w:val="nil"/>
            </w:tcBorders>
            <w:shd w:val="clear" w:color="auto" w:fill="auto"/>
            <w:noWrap/>
            <w:vAlign w:val="bottom"/>
            <w:hideMark/>
          </w:tcPr>
          <w:p w14:paraId="4E859230"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82.5</w:t>
            </w:r>
          </w:p>
        </w:tc>
        <w:tc>
          <w:tcPr>
            <w:tcW w:w="2178" w:type="dxa"/>
            <w:gridSpan w:val="2"/>
            <w:tcBorders>
              <w:top w:val="nil"/>
              <w:left w:val="nil"/>
              <w:bottom w:val="nil"/>
              <w:right w:val="nil"/>
            </w:tcBorders>
            <w:shd w:val="clear" w:color="auto" w:fill="auto"/>
            <w:noWrap/>
            <w:vAlign w:val="bottom"/>
            <w:hideMark/>
          </w:tcPr>
          <w:p w14:paraId="75460863"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39F6687F" w14:textId="77777777" w:rsidTr="00B52C55">
        <w:trPr>
          <w:trHeight w:val="300"/>
        </w:trPr>
        <w:tc>
          <w:tcPr>
            <w:tcW w:w="1353" w:type="dxa"/>
            <w:tcBorders>
              <w:top w:val="nil"/>
              <w:left w:val="nil"/>
              <w:bottom w:val="nil"/>
              <w:right w:val="nil"/>
            </w:tcBorders>
            <w:shd w:val="clear" w:color="auto" w:fill="auto"/>
            <w:noWrap/>
            <w:vAlign w:val="bottom"/>
            <w:hideMark/>
          </w:tcPr>
          <w:p w14:paraId="533A8793"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076FFADB"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2003-1999</w:t>
            </w:r>
          </w:p>
        </w:tc>
        <w:tc>
          <w:tcPr>
            <w:tcW w:w="1276" w:type="dxa"/>
            <w:tcBorders>
              <w:top w:val="nil"/>
              <w:left w:val="nil"/>
              <w:bottom w:val="nil"/>
              <w:right w:val="nil"/>
            </w:tcBorders>
            <w:shd w:val="clear" w:color="auto" w:fill="auto"/>
            <w:noWrap/>
            <w:vAlign w:val="bottom"/>
            <w:hideMark/>
          </w:tcPr>
          <w:p w14:paraId="6DF75EF9"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388.3</w:t>
            </w:r>
          </w:p>
        </w:tc>
        <w:tc>
          <w:tcPr>
            <w:tcW w:w="1417" w:type="dxa"/>
            <w:gridSpan w:val="2"/>
            <w:tcBorders>
              <w:top w:val="nil"/>
              <w:left w:val="nil"/>
              <w:bottom w:val="nil"/>
              <w:right w:val="nil"/>
            </w:tcBorders>
            <w:shd w:val="clear" w:color="auto" w:fill="auto"/>
            <w:noWrap/>
            <w:vAlign w:val="bottom"/>
            <w:hideMark/>
          </w:tcPr>
          <w:p w14:paraId="4603783C"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-1,082.8</w:t>
            </w:r>
          </w:p>
        </w:tc>
        <w:tc>
          <w:tcPr>
            <w:tcW w:w="1261" w:type="dxa"/>
            <w:gridSpan w:val="2"/>
            <w:tcBorders>
              <w:top w:val="nil"/>
              <w:left w:val="nil"/>
              <w:bottom w:val="nil"/>
              <w:right w:val="nil"/>
            </w:tcBorders>
            <w:shd w:val="clear" w:color="auto" w:fill="auto"/>
            <w:noWrap/>
            <w:vAlign w:val="bottom"/>
            <w:hideMark/>
          </w:tcPr>
          <w:p w14:paraId="0E28605B"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138.3</w:t>
            </w:r>
          </w:p>
        </w:tc>
        <w:tc>
          <w:tcPr>
            <w:tcW w:w="1261" w:type="dxa"/>
            <w:tcBorders>
              <w:top w:val="nil"/>
              <w:left w:val="nil"/>
              <w:bottom w:val="nil"/>
              <w:right w:val="nil"/>
            </w:tcBorders>
            <w:shd w:val="clear" w:color="auto" w:fill="auto"/>
            <w:noWrap/>
            <w:vAlign w:val="bottom"/>
            <w:hideMark/>
          </w:tcPr>
          <w:p w14:paraId="3E052C45"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2,030.6</w:t>
            </w:r>
          </w:p>
        </w:tc>
        <w:tc>
          <w:tcPr>
            <w:tcW w:w="1432" w:type="dxa"/>
            <w:gridSpan w:val="3"/>
            <w:tcBorders>
              <w:top w:val="nil"/>
              <w:left w:val="nil"/>
              <w:bottom w:val="nil"/>
              <w:right w:val="nil"/>
            </w:tcBorders>
            <w:shd w:val="clear" w:color="auto" w:fill="auto"/>
            <w:noWrap/>
            <w:vAlign w:val="bottom"/>
            <w:hideMark/>
          </w:tcPr>
          <w:p w14:paraId="67802928"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1,474.4</w:t>
            </w:r>
          </w:p>
        </w:tc>
        <w:tc>
          <w:tcPr>
            <w:tcW w:w="2178" w:type="dxa"/>
            <w:gridSpan w:val="2"/>
            <w:tcBorders>
              <w:top w:val="nil"/>
              <w:left w:val="nil"/>
              <w:bottom w:val="nil"/>
              <w:right w:val="nil"/>
            </w:tcBorders>
            <w:shd w:val="clear" w:color="auto" w:fill="auto"/>
            <w:noWrap/>
            <w:vAlign w:val="bottom"/>
            <w:hideMark/>
          </w:tcPr>
          <w:p w14:paraId="3AB7D86C"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7B91A704" w14:textId="77777777" w:rsidTr="00B52C55">
        <w:trPr>
          <w:trHeight w:val="300"/>
        </w:trPr>
        <w:tc>
          <w:tcPr>
            <w:tcW w:w="1353" w:type="dxa"/>
            <w:tcBorders>
              <w:top w:val="nil"/>
              <w:left w:val="nil"/>
              <w:bottom w:val="nil"/>
              <w:right w:val="nil"/>
            </w:tcBorders>
            <w:shd w:val="clear" w:color="auto" w:fill="auto"/>
            <w:noWrap/>
            <w:vAlign w:val="bottom"/>
            <w:hideMark/>
          </w:tcPr>
          <w:p w14:paraId="3D13B1FE"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37A03FA8"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2007-2003</w:t>
            </w:r>
          </w:p>
        </w:tc>
        <w:tc>
          <w:tcPr>
            <w:tcW w:w="1276" w:type="dxa"/>
            <w:tcBorders>
              <w:top w:val="nil"/>
              <w:left w:val="nil"/>
              <w:bottom w:val="nil"/>
              <w:right w:val="nil"/>
            </w:tcBorders>
            <w:shd w:val="clear" w:color="auto" w:fill="auto"/>
            <w:noWrap/>
            <w:vAlign w:val="bottom"/>
            <w:hideMark/>
          </w:tcPr>
          <w:p w14:paraId="19B6D677"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668.1</w:t>
            </w:r>
          </w:p>
        </w:tc>
        <w:tc>
          <w:tcPr>
            <w:tcW w:w="1417" w:type="dxa"/>
            <w:gridSpan w:val="2"/>
            <w:tcBorders>
              <w:top w:val="nil"/>
              <w:left w:val="nil"/>
              <w:bottom w:val="nil"/>
              <w:right w:val="nil"/>
            </w:tcBorders>
            <w:shd w:val="clear" w:color="auto" w:fill="auto"/>
            <w:noWrap/>
            <w:vAlign w:val="bottom"/>
            <w:hideMark/>
          </w:tcPr>
          <w:p w14:paraId="164E632F"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-2,691.3</w:t>
            </w:r>
          </w:p>
        </w:tc>
        <w:tc>
          <w:tcPr>
            <w:tcW w:w="1261" w:type="dxa"/>
            <w:gridSpan w:val="2"/>
            <w:tcBorders>
              <w:top w:val="nil"/>
              <w:left w:val="nil"/>
              <w:bottom w:val="nil"/>
              <w:right w:val="nil"/>
            </w:tcBorders>
            <w:shd w:val="clear" w:color="auto" w:fill="auto"/>
            <w:noWrap/>
            <w:vAlign w:val="bottom"/>
            <w:hideMark/>
          </w:tcPr>
          <w:p w14:paraId="583FAE48"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508.7</w:t>
            </w:r>
          </w:p>
        </w:tc>
        <w:tc>
          <w:tcPr>
            <w:tcW w:w="1261" w:type="dxa"/>
            <w:tcBorders>
              <w:top w:val="nil"/>
              <w:left w:val="nil"/>
              <w:bottom w:val="nil"/>
              <w:right w:val="nil"/>
            </w:tcBorders>
            <w:shd w:val="clear" w:color="auto" w:fill="auto"/>
            <w:noWrap/>
            <w:vAlign w:val="bottom"/>
            <w:hideMark/>
          </w:tcPr>
          <w:p w14:paraId="1E0DE071"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3,080.2</w:t>
            </w:r>
          </w:p>
        </w:tc>
        <w:tc>
          <w:tcPr>
            <w:tcW w:w="1432" w:type="dxa"/>
            <w:gridSpan w:val="3"/>
            <w:tcBorders>
              <w:top w:val="nil"/>
              <w:left w:val="nil"/>
              <w:bottom w:val="nil"/>
              <w:right w:val="nil"/>
            </w:tcBorders>
            <w:shd w:val="clear" w:color="auto" w:fill="auto"/>
            <w:noWrap/>
            <w:vAlign w:val="bottom"/>
            <w:hideMark/>
          </w:tcPr>
          <w:p w14:paraId="15681231"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1,565.7</w:t>
            </w:r>
          </w:p>
        </w:tc>
        <w:tc>
          <w:tcPr>
            <w:tcW w:w="2178" w:type="dxa"/>
            <w:gridSpan w:val="2"/>
            <w:tcBorders>
              <w:top w:val="nil"/>
              <w:left w:val="nil"/>
              <w:bottom w:val="nil"/>
              <w:right w:val="nil"/>
            </w:tcBorders>
            <w:shd w:val="clear" w:color="auto" w:fill="auto"/>
            <w:noWrap/>
            <w:vAlign w:val="bottom"/>
            <w:hideMark/>
          </w:tcPr>
          <w:p w14:paraId="548E8BAF"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775C1618" w14:textId="77777777" w:rsidTr="00B52C55">
        <w:trPr>
          <w:trHeight w:val="300"/>
        </w:trPr>
        <w:tc>
          <w:tcPr>
            <w:tcW w:w="1353" w:type="dxa"/>
            <w:tcBorders>
              <w:top w:val="nil"/>
              <w:left w:val="nil"/>
              <w:bottom w:val="single" w:sz="4" w:space="0" w:color="auto"/>
              <w:right w:val="nil"/>
            </w:tcBorders>
            <w:shd w:val="clear" w:color="auto" w:fill="auto"/>
            <w:noWrap/>
            <w:vAlign w:val="bottom"/>
            <w:hideMark/>
          </w:tcPr>
          <w:p w14:paraId="1DC13A9E"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 </w:t>
            </w:r>
          </w:p>
        </w:tc>
        <w:tc>
          <w:tcPr>
            <w:tcW w:w="1276" w:type="dxa"/>
            <w:gridSpan w:val="2"/>
            <w:tcBorders>
              <w:top w:val="nil"/>
              <w:left w:val="nil"/>
              <w:bottom w:val="single" w:sz="4" w:space="0" w:color="auto"/>
              <w:right w:val="nil"/>
            </w:tcBorders>
            <w:shd w:val="clear" w:color="auto" w:fill="auto"/>
            <w:noWrap/>
            <w:vAlign w:val="bottom"/>
            <w:hideMark/>
          </w:tcPr>
          <w:p w14:paraId="18F2841C"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2007-1995</w:t>
            </w:r>
          </w:p>
        </w:tc>
        <w:tc>
          <w:tcPr>
            <w:tcW w:w="1276" w:type="dxa"/>
            <w:tcBorders>
              <w:top w:val="nil"/>
              <w:left w:val="nil"/>
              <w:bottom w:val="single" w:sz="4" w:space="0" w:color="auto"/>
              <w:right w:val="nil"/>
            </w:tcBorders>
            <w:shd w:val="clear" w:color="auto" w:fill="auto"/>
            <w:noWrap/>
            <w:vAlign w:val="bottom"/>
            <w:hideMark/>
          </w:tcPr>
          <w:p w14:paraId="2AC2EF4E"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262.1</w:t>
            </w:r>
          </w:p>
        </w:tc>
        <w:tc>
          <w:tcPr>
            <w:tcW w:w="1417" w:type="dxa"/>
            <w:gridSpan w:val="2"/>
            <w:tcBorders>
              <w:top w:val="nil"/>
              <w:left w:val="nil"/>
              <w:bottom w:val="single" w:sz="4" w:space="0" w:color="auto"/>
              <w:right w:val="nil"/>
            </w:tcBorders>
            <w:shd w:val="clear" w:color="auto" w:fill="auto"/>
            <w:noWrap/>
            <w:vAlign w:val="bottom"/>
            <w:hideMark/>
          </w:tcPr>
          <w:p w14:paraId="1363419B"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-5,800.4</w:t>
            </w:r>
          </w:p>
        </w:tc>
        <w:tc>
          <w:tcPr>
            <w:tcW w:w="1261" w:type="dxa"/>
            <w:gridSpan w:val="2"/>
            <w:tcBorders>
              <w:top w:val="nil"/>
              <w:left w:val="nil"/>
              <w:bottom w:val="single" w:sz="4" w:space="0" w:color="auto"/>
              <w:right w:val="nil"/>
            </w:tcBorders>
            <w:shd w:val="clear" w:color="auto" w:fill="auto"/>
            <w:noWrap/>
            <w:vAlign w:val="bottom"/>
            <w:hideMark/>
          </w:tcPr>
          <w:p w14:paraId="61D8889C"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1,180.0</w:t>
            </w:r>
          </w:p>
        </w:tc>
        <w:tc>
          <w:tcPr>
            <w:tcW w:w="1261" w:type="dxa"/>
            <w:tcBorders>
              <w:top w:val="nil"/>
              <w:left w:val="nil"/>
              <w:bottom w:val="single" w:sz="4" w:space="0" w:color="auto"/>
              <w:right w:val="nil"/>
            </w:tcBorders>
            <w:shd w:val="clear" w:color="auto" w:fill="auto"/>
            <w:noWrap/>
            <w:vAlign w:val="bottom"/>
            <w:hideMark/>
          </w:tcPr>
          <w:p w14:paraId="4AFDB671"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7,480.8</w:t>
            </w:r>
          </w:p>
        </w:tc>
        <w:tc>
          <w:tcPr>
            <w:tcW w:w="1432" w:type="dxa"/>
            <w:gridSpan w:val="3"/>
            <w:tcBorders>
              <w:top w:val="nil"/>
              <w:left w:val="nil"/>
              <w:bottom w:val="single" w:sz="4" w:space="0" w:color="auto"/>
              <w:right w:val="nil"/>
            </w:tcBorders>
            <w:shd w:val="clear" w:color="auto" w:fill="auto"/>
            <w:noWrap/>
            <w:vAlign w:val="bottom"/>
            <w:hideMark/>
          </w:tcPr>
          <w:p w14:paraId="024CEADD"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3,122.6</w:t>
            </w:r>
          </w:p>
        </w:tc>
        <w:tc>
          <w:tcPr>
            <w:tcW w:w="2178" w:type="dxa"/>
            <w:gridSpan w:val="2"/>
            <w:tcBorders>
              <w:top w:val="nil"/>
              <w:left w:val="nil"/>
              <w:bottom w:val="nil"/>
              <w:right w:val="nil"/>
            </w:tcBorders>
            <w:shd w:val="clear" w:color="auto" w:fill="auto"/>
            <w:noWrap/>
            <w:vAlign w:val="bottom"/>
            <w:hideMark/>
          </w:tcPr>
          <w:p w14:paraId="5BDAE3A5"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3339658A" w14:textId="77777777" w:rsidTr="00B52C55">
        <w:trPr>
          <w:trHeight w:val="300"/>
        </w:trPr>
        <w:tc>
          <w:tcPr>
            <w:tcW w:w="1353" w:type="dxa"/>
            <w:tcBorders>
              <w:top w:val="nil"/>
              <w:left w:val="nil"/>
              <w:bottom w:val="nil"/>
              <w:right w:val="nil"/>
            </w:tcBorders>
            <w:shd w:val="clear" w:color="auto" w:fill="auto"/>
            <w:noWrap/>
            <w:vAlign w:val="bottom"/>
            <w:hideMark/>
          </w:tcPr>
          <w:p w14:paraId="22C88FCE"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Spain</w:t>
            </w:r>
          </w:p>
        </w:tc>
        <w:tc>
          <w:tcPr>
            <w:tcW w:w="1276" w:type="dxa"/>
            <w:gridSpan w:val="2"/>
            <w:tcBorders>
              <w:top w:val="nil"/>
              <w:left w:val="nil"/>
              <w:bottom w:val="nil"/>
              <w:right w:val="nil"/>
            </w:tcBorders>
            <w:shd w:val="clear" w:color="auto" w:fill="auto"/>
            <w:noWrap/>
            <w:vAlign w:val="bottom"/>
            <w:hideMark/>
          </w:tcPr>
          <w:p w14:paraId="034199B2"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1999-1995</w:t>
            </w:r>
          </w:p>
        </w:tc>
        <w:tc>
          <w:tcPr>
            <w:tcW w:w="1276" w:type="dxa"/>
            <w:tcBorders>
              <w:top w:val="nil"/>
              <w:left w:val="nil"/>
              <w:bottom w:val="nil"/>
              <w:right w:val="nil"/>
            </w:tcBorders>
            <w:shd w:val="clear" w:color="auto" w:fill="auto"/>
            <w:noWrap/>
            <w:vAlign w:val="bottom"/>
            <w:hideMark/>
          </w:tcPr>
          <w:p w14:paraId="06B1FC90"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-80.0</w:t>
            </w:r>
          </w:p>
        </w:tc>
        <w:tc>
          <w:tcPr>
            <w:tcW w:w="1417" w:type="dxa"/>
            <w:gridSpan w:val="2"/>
            <w:tcBorders>
              <w:top w:val="nil"/>
              <w:left w:val="nil"/>
              <w:bottom w:val="nil"/>
              <w:right w:val="nil"/>
            </w:tcBorders>
            <w:shd w:val="clear" w:color="auto" w:fill="auto"/>
            <w:noWrap/>
            <w:vAlign w:val="bottom"/>
            <w:hideMark/>
          </w:tcPr>
          <w:p w14:paraId="7532CAF2"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-418.7</w:t>
            </w:r>
          </w:p>
        </w:tc>
        <w:tc>
          <w:tcPr>
            <w:tcW w:w="1261" w:type="dxa"/>
            <w:gridSpan w:val="2"/>
            <w:tcBorders>
              <w:top w:val="nil"/>
              <w:left w:val="nil"/>
              <w:bottom w:val="nil"/>
              <w:right w:val="nil"/>
            </w:tcBorders>
            <w:shd w:val="clear" w:color="auto" w:fill="auto"/>
            <w:noWrap/>
            <w:vAlign w:val="bottom"/>
            <w:hideMark/>
          </w:tcPr>
          <w:p w14:paraId="38A0A44F"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3,652.6</w:t>
            </w:r>
          </w:p>
        </w:tc>
        <w:tc>
          <w:tcPr>
            <w:tcW w:w="1261" w:type="dxa"/>
            <w:tcBorders>
              <w:top w:val="nil"/>
              <w:left w:val="nil"/>
              <w:bottom w:val="nil"/>
              <w:right w:val="nil"/>
            </w:tcBorders>
            <w:shd w:val="clear" w:color="auto" w:fill="auto"/>
            <w:noWrap/>
            <w:vAlign w:val="bottom"/>
            <w:hideMark/>
          </w:tcPr>
          <w:p w14:paraId="05CC45BE"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38,035.2</w:t>
            </w:r>
          </w:p>
        </w:tc>
        <w:tc>
          <w:tcPr>
            <w:tcW w:w="1432" w:type="dxa"/>
            <w:gridSpan w:val="3"/>
            <w:tcBorders>
              <w:top w:val="nil"/>
              <w:left w:val="nil"/>
              <w:bottom w:val="nil"/>
              <w:right w:val="nil"/>
            </w:tcBorders>
            <w:shd w:val="clear" w:color="auto" w:fill="auto"/>
            <w:noWrap/>
            <w:vAlign w:val="bottom"/>
            <w:hideMark/>
          </w:tcPr>
          <w:p w14:paraId="089C31BD"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41,189.1</w:t>
            </w:r>
          </w:p>
        </w:tc>
        <w:tc>
          <w:tcPr>
            <w:tcW w:w="2178" w:type="dxa"/>
            <w:gridSpan w:val="2"/>
            <w:tcBorders>
              <w:top w:val="nil"/>
              <w:left w:val="nil"/>
              <w:bottom w:val="nil"/>
              <w:right w:val="nil"/>
            </w:tcBorders>
            <w:shd w:val="clear" w:color="auto" w:fill="auto"/>
            <w:noWrap/>
            <w:vAlign w:val="bottom"/>
            <w:hideMark/>
          </w:tcPr>
          <w:p w14:paraId="6B2CDD79"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5378D248" w14:textId="77777777" w:rsidTr="00B52C55">
        <w:trPr>
          <w:trHeight w:val="300"/>
        </w:trPr>
        <w:tc>
          <w:tcPr>
            <w:tcW w:w="1353" w:type="dxa"/>
            <w:tcBorders>
              <w:top w:val="nil"/>
              <w:left w:val="nil"/>
              <w:bottom w:val="nil"/>
              <w:right w:val="nil"/>
            </w:tcBorders>
            <w:shd w:val="clear" w:color="auto" w:fill="auto"/>
            <w:noWrap/>
            <w:vAlign w:val="bottom"/>
            <w:hideMark/>
          </w:tcPr>
          <w:p w14:paraId="3BF93F44"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63FCEF43"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2003-1999</w:t>
            </w:r>
          </w:p>
        </w:tc>
        <w:tc>
          <w:tcPr>
            <w:tcW w:w="1276" w:type="dxa"/>
            <w:tcBorders>
              <w:top w:val="nil"/>
              <w:left w:val="nil"/>
              <w:bottom w:val="nil"/>
              <w:right w:val="nil"/>
            </w:tcBorders>
            <w:shd w:val="clear" w:color="auto" w:fill="auto"/>
            <w:noWrap/>
            <w:vAlign w:val="bottom"/>
            <w:hideMark/>
          </w:tcPr>
          <w:p w14:paraId="7973DC31"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-17,138.3</w:t>
            </w:r>
          </w:p>
        </w:tc>
        <w:tc>
          <w:tcPr>
            <w:tcW w:w="1417" w:type="dxa"/>
            <w:gridSpan w:val="2"/>
            <w:tcBorders>
              <w:top w:val="nil"/>
              <w:left w:val="nil"/>
              <w:bottom w:val="nil"/>
              <w:right w:val="nil"/>
            </w:tcBorders>
            <w:shd w:val="clear" w:color="auto" w:fill="auto"/>
            <w:noWrap/>
            <w:vAlign w:val="bottom"/>
            <w:hideMark/>
          </w:tcPr>
          <w:p w14:paraId="6CD3317E"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9,172.5</w:t>
            </w:r>
          </w:p>
        </w:tc>
        <w:tc>
          <w:tcPr>
            <w:tcW w:w="1261" w:type="dxa"/>
            <w:gridSpan w:val="2"/>
            <w:tcBorders>
              <w:top w:val="nil"/>
              <w:left w:val="nil"/>
              <w:bottom w:val="nil"/>
              <w:right w:val="nil"/>
            </w:tcBorders>
            <w:shd w:val="clear" w:color="auto" w:fill="auto"/>
            <w:noWrap/>
            <w:vAlign w:val="bottom"/>
            <w:hideMark/>
          </w:tcPr>
          <w:p w14:paraId="7D1EABFA"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4,390.9</w:t>
            </w:r>
          </w:p>
        </w:tc>
        <w:tc>
          <w:tcPr>
            <w:tcW w:w="1261" w:type="dxa"/>
            <w:tcBorders>
              <w:top w:val="nil"/>
              <w:left w:val="nil"/>
              <w:bottom w:val="nil"/>
              <w:right w:val="nil"/>
            </w:tcBorders>
            <w:shd w:val="clear" w:color="auto" w:fill="auto"/>
            <w:noWrap/>
            <w:vAlign w:val="bottom"/>
            <w:hideMark/>
          </w:tcPr>
          <w:p w14:paraId="1CB883BE"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40,208.7</w:t>
            </w:r>
          </w:p>
        </w:tc>
        <w:tc>
          <w:tcPr>
            <w:tcW w:w="1432" w:type="dxa"/>
            <w:gridSpan w:val="3"/>
            <w:tcBorders>
              <w:top w:val="nil"/>
              <w:left w:val="nil"/>
              <w:bottom w:val="nil"/>
              <w:right w:val="nil"/>
            </w:tcBorders>
            <w:shd w:val="clear" w:color="auto" w:fill="auto"/>
            <w:noWrap/>
            <w:vAlign w:val="bottom"/>
            <w:hideMark/>
          </w:tcPr>
          <w:p w14:paraId="6DA2D57B"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36,633.9</w:t>
            </w:r>
          </w:p>
        </w:tc>
        <w:tc>
          <w:tcPr>
            <w:tcW w:w="2178" w:type="dxa"/>
            <w:gridSpan w:val="2"/>
            <w:tcBorders>
              <w:top w:val="nil"/>
              <w:left w:val="nil"/>
              <w:bottom w:val="nil"/>
              <w:right w:val="nil"/>
            </w:tcBorders>
            <w:shd w:val="clear" w:color="auto" w:fill="auto"/>
            <w:noWrap/>
            <w:vAlign w:val="bottom"/>
            <w:hideMark/>
          </w:tcPr>
          <w:p w14:paraId="1AE4B823"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06BB69F3" w14:textId="77777777" w:rsidTr="00B52C55">
        <w:trPr>
          <w:trHeight w:val="300"/>
        </w:trPr>
        <w:tc>
          <w:tcPr>
            <w:tcW w:w="1353" w:type="dxa"/>
            <w:tcBorders>
              <w:top w:val="nil"/>
              <w:left w:val="nil"/>
              <w:bottom w:val="nil"/>
              <w:right w:val="nil"/>
            </w:tcBorders>
            <w:shd w:val="clear" w:color="auto" w:fill="auto"/>
            <w:noWrap/>
            <w:vAlign w:val="bottom"/>
            <w:hideMark/>
          </w:tcPr>
          <w:p w14:paraId="5D27FD81"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62352689"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2007-2003</w:t>
            </w:r>
          </w:p>
        </w:tc>
        <w:tc>
          <w:tcPr>
            <w:tcW w:w="1276" w:type="dxa"/>
            <w:tcBorders>
              <w:top w:val="nil"/>
              <w:left w:val="nil"/>
              <w:bottom w:val="nil"/>
              <w:right w:val="nil"/>
            </w:tcBorders>
            <w:shd w:val="clear" w:color="auto" w:fill="auto"/>
            <w:noWrap/>
            <w:vAlign w:val="bottom"/>
            <w:hideMark/>
          </w:tcPr>
          <w:p w14:paraId="2C144C75"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-3,253.9</w:t>
            </w:r>
          </w:p>
        </w:tc>
        <w:tc>
          <w:tcPr>
            <w:tcW w:w="1417" w:type="dxa"/>
            <w:gridSpan w:val="2"/>
            <w:tcBorders>
              <w:top w:val="nil"/>
              <w:left w:val="nil"/>
              <w:bottom w:val="nil"/>
              <w:right w:val="nil"/>
            </w:tcBorders>
            <w:shd w:val="clear" w:color="auto" w:fill="auto"/>
            <w:noWrap/>
            <w:vAlign w:val="bottom"/>
            <w:hideMark/>
          </w:tcPr>
          <w:p w14:paraId="21C5F38E"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-12,245.1</w:t>
            </w:r>
          </w:p>
        </w:tc>
        <w:tc>
          <w:tcPr>
            <w:tcW w:w="1261" w:type="dxa"/>
            <w:gridSpan w:val="2"/>
            <w:tcBorders>
              <w:top w:val="nil"/>
              <w:left w:val="nil"/>
              <w:bottom w:val="nil"/>
              <w:right w:val="nil"/>
            </w:tcBorders>
            <w:shd w:val="clear" w:color="auto" w:fill="auto"/>
            <w:noWrap/>
            <w:vAlign w:val="bottom"/>
            <w:hideMark/>
          </w:tcPr>
          <w:p w14:paraId="421D5A44"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-12,514.1</w:t>
            </w:r>
          </w:p>
        </w:tc>
        <w:tc>
          <w:tcPr>
            <w:tcW w:w="1261" w:type="dxa"/>
            <w:tcBorders>
              <w:top w:val="nil"/>
              <w:left w:val="nil"/>
              <w:bottom w:val="nil"/>
              <w:right w:val="nil"/>
            </w:tcBorders>
            <w:shd w:val="clear" w:color="auto" w:fill="auto"/>
            <w:noWrap/>
            <w:vAlign w:val="bottom"/>
            <w:hideMark/>
          </w:tcPr>
          <w:p w14:paraId="7B1CA7B5"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61,812.0</w:t>
            </w:r>
          </w:p>
        </w:tc>
        <w:tc>
          <w:tcPr>
            <w:tcW w:w="1432" w:type="dxa"/>
            <w:gridSpan w:val="3"/>
            <w:tcBorders>
              <w:top w:val="nil"/>
              <w:left w:val="nil"/>
              <w:bottom w:val="nil"/>
              <w:right w:val="nil"/>
            </w:tcBorders>
            <w:shd w:val="clear" w:color="auto" w:fill="auto"/>
            <w:noWrap/>
            <w:vAlign w:val="bottom"/>
            <w:hideMark/>
          </w:tcPr>
          <w:p w14:paraId="155AD620"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33,798.9</w:t>
            </w:r>
          </w:p>
        </w:tc>
        <w:tc>
          <w:tcPr>
            <w:tcW w:w="2178" w:type="dxa"/>
            <w:gridSpan w:val="2"/>
            <w:tcBorders>
              <w:top w:val="nil"/>
              <w:left w:val="nil"/>
              <w:bottom w:val="nil"/>
              <w:right w:val="nil"/>
            </w:tcBorders>
            <w:shd w:val="clear" w:color="auto" w:fill="auto"/>
            <w:noWrap/>
            <w:vAlign w:val="bottom"/>
            <w:hideMark/>
          </w:tcPr>
          <w:p w14:paraId="58D53768"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6F4A9C08" w14:textId="77777777" w:rsidTr="00B52C55">
        <w:trPr>
          <w:trHeight w:val="300"/>
        </w:trPr>
        <w:tc>
          <w:tcPr>
            <w:tcW w:w="1353" w:type="dxa"/>
            <w:tcBorders>
              <w:top w:val="nil"/>
              <w:left w:val="nil"/>
              <w:bottom w:val="single" w:sz="4" w:space="0" w:color="auto"/>
              <w:right w:val="nil"/>
            </w:tcBorders>
            <w:shd w:val="clear" w:color="auto" w:fill="auto"/>
            <w:noWrap/>
            <w:vAlign w:val="bottom"/>
            <w:hideMark/>
          </w:tcPr>
          <w:p w14:paraId="5EDC4899"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 </w:t>
            </w:r>
          </w:p>
        </w:tc>
        <w:tc>
          <w:tcPr>
            <w:tcW w:w="1276" w:type="dxa"/>
            <w:gridSpan w:val="2"/>
            <w:tcBorders>
              <w:top w:val="nil"/>
              <w:left w:val="nil"/>
              <w:bottom w:val="single" w:sz="4" w:space="0" w:color="auto"/>
              <w:right w:val="nil"/>
            </w:tcBorders>
            <w:shd w:val="clear" w:color="auto" w:fill="auto"/>
            <w:noWrap/>
            <w:vAlign w:val="bottom"/>
            <w:hideMark/>
          </w:tcPr>
          <w:p w14:paraId="43D9EDB3"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2007-1995</w:t>
            </w:r>
          </w:p>
        </w:tc>
        <w:tc>
          <w:tcPr>
            <w:tcW w:w="1276" w:type="dxa"/>
            <w:tcBorders>
              <w:top w:val="nil"/>
              <w:left w:val="nil"/>
              <w:bottom w:val="single" w:sz="4" w:space="0" w:color="auto"/>
              <w:right w:val="nil"/>
            </w:tcBorders>
            <w:shd w:val="clear" w:color="auto" w:fill="auto"/>
            <w:noWrap/>
            <w:vAlign w:val="bottom"/>
            <w:hideMark/>
          </w:tcPr>
          <w:p w14:paraId="1A80B6E2"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-20,044.1</w:t>
            </w:r>
          </w:p>
        </w:tc>
        <w:tc>
          <w:tcPr>
            <w:tcW w:w="1417" w:type="dxa"/>
            <w:gridSpan w:val="2"/>
            <w:tcBorders>
              <w:top w:val="nil"/>
              <w:left w:val="nil"/>
              <w:bottom w:val="single" w:sz="4" w:space="0" w:color="auto"/>
              <w:right w:val="nil"/>
            </w:tcBorders>
            <w:shd w:val="clear" w:color="auto" w:fill="auto"/>
            <w:noWrap/>
            <w:vAlign w:val="bottom"/>
            <w:hideMark/>
          </w:tcPr>
          <w:p w14:paraId="56F4C12F"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-2,276.8</w:t>
            </w:r>
          </w:p>
        </w:tc>
        <w:tc>
          <w:tcPr>
            <w:tcW w:w="1261" w:type="dxa"/>
            <w:gridSpan w:val="2"/>
            <w:tcBorders>
              <w:top w:val="nil"/>
              <w:left w:val="nil"/>
              <w:bottom w:val="single" w:sz="4" w:space="0" w:color="auto"/>
              <w:right w:val="nil"/>
            </w:tcBorders>
            <w:shd w:val="clear" w:color="auto" w:fill="auto"/>
            <w:noWrap/>
            <w:vAlign w:val="bottom"/>
            <w:hideMark/>
          </w:tcPr>
          <w:p w14:paraId="06A4140D"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-2,646.1</w:t>
            </w:r>
          </w:p>
        </w:tc>
        <w:tc>
          <w:tcPr>
            <w:tcW w:w="1261" w:type="dxa"/>
            <w:tcBorders>
              <w:top w:val="nil"/>
              <w:left w:val="nil"/>
              <w:bottom w:val="single" w:sz="4" w:space="0" w:color="auto"/>
              <w:right w:val="nil"/>
            </w:tcBorders>
            <w:shd w:val="clear" w:color="auto" w:fill="auto"/>
            <w:noWrap/>
            <w:vAlign w:val="bottom"/>
            <w:hideMark/>
          </w:tcPr>
          <w:p w14:paraId="5FA1E062"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136,588.8</w:t>
            </w:r>
          </w:p>
        </w:tc>
        <w:tc>
          <w:tcPr>
            <w:tcW w:w="1432" w:type="dxa"/>
            <w:gridSpan w:val="3"/>
            <w:tcBorders>
              <w:top w:val="nil"/>
              <w:left w:val="nil"/>
              <w:bottom w:val="single" w:sz="4" w:space="0" w:color="auto"/>
              <w:right w:val="nil"/>
            </w:tcBorders>
            <w:shd w:val="clear" w:color="auto" w:fill="auto"/>
            <w:noWrap/>
            <w:vAlign w:val="bottom"/>
            <w:hideMark/>
          </w:tcPr>
          <w:p w14:paraId="6029E924"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111,621.9</w:t>
            </w:r>
          </w:p>
        </w:tc>
        <w:tc>
          <w:tcPr>
            <w:tcW w:w="2178" w:type="dxa"/>
            <w:gridSpan w:val="2"/>
            <w:tcBorders>
              <w:top w:val="nil"/>
              <w:left w:val="nil"/>
              <w:bottom w:val="nil"/>
              <w:right w:val="nil"/>
            </w:tcBorders>
            <w:shd w:val="clear" w:color="auto" w:fill="auto"/>
            <w:noWrap/>
            <w:vAlign w:val="bottom"/>
            <w:hideMark/>
          </w:tcPr>
          <w:p w14:paraId="42E1E63D"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46619E6A" w14:textId="77777777" w:rsidTr="00B52C55">
        <w:trPr>
          <w:trHeight w:val="300"/>
        </w:trPr>
        <w:tc>
          <w:tcPr>
            <w:tcW w:w="1353" w:type="dxa"/>
            <w:tcBorders>
              <w:top w:val="nil"/>
              <w:left w:val="nil"/>
              <w:bottom w:val="nil"/>
              <w:right w:val="nil"/>
            </w:tcBorders>
            <w:shd w:val="clear" w:color="auto" w:fill="auto"/>
            <w:noWrap/>
            <w:vAlign w:val="bottom"/>
            <w:hideMark/>
          </w:tcPr>
          <w:p w14:paraId="1C50D200"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Sweden</w:t>
            </w:r>
          </w:p>
        </w:tc>
        <w:tc>
          <w:tcPr>
            <w:tcW w:w="1276" w:type="dxa"/>
            <w:gridSpan w:val="2"/>
            <w:tcBorders>
              <w:top w:val="nil"/>
              <w:left w:val="nil"/>
              <w:bottom w:val="nil"/>
              <w:right w:val="nil"/>
            </w:tcBorders>
            <w:shd w:val="clear" w:color="auto" w:fill="auto"/>
            <w:noWrap/>
            <w:vAlign w:val="bottom"/>
            <w:hideMark/>
          </w:tcPr>
          <w:p w14:paraId="6394FD79"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1999-1995</w:t>
            </w:r>
          </w:p>
        </w:tc>
        <w:tc>
          <w:tcPr>
            <w:tcW w:w="1276" w:type="dxa"/>
            <w:tcBorders>
              <w:top w:val="nil"/>
              <w:left w:val="nil"/>
              <w:bottom w:val="nil"/>
              <w:right w:val="nil"/>
            </w:tcBorders>
            <w:shd w:val="clear" w:color="auto" w:fill="auto"/>
            <w:noWrap/>
            <w:vAlign w:val="bottom"/>
            <w:hideMark/>
          </w:tcPr>
          <w:p w14:paraId="65CD02FD"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-3,530.2</w:t>
            </w:r>
          </w:p>
        </w:tc>
        <w:tc>
          <w:tcPr>
            <w:tcW w:w="1417" w:type="dxa"/>
            <w:gridSpan w:val="2"/>
            <w:tcBorders>
              <w:top w:val="nil"/>
              <w:left w:val="nil"/>
              <w:bottom w:val="nil"/>
              <w:right w:val="nil"/>
            </w:tcBorders>
            <w:shd w:val="clear" w:color="auto" w:fill="auto"/>
            <w:noWrap/>
            <w:vAlign w:val="bottom"/>
            <w:hideMark/>
          </w:tcPr>
          <w:p w14:paraId="04F8A3AB"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-6,143.0</w:t>
            </w:r>
          </w:p>
        </w:tc>
        <w:tc>
          <w:tcPr>
            <w:tcW w:w="1261" w:type="dxa"/>
            <w:gridSpan w:val="2"/>
            <w:tcBorders>
              <w:top w:val="nil"/>
              <w:left w:val="nil"/>
              <w:bottom w:val="nil"/>
              <w:right w:val="nil"/>
            </w:tcBorders>
            <w:shd w:val="clear" w:color="auto" w:fill="auto"/>
            <w:noWrap/>
            <w:vAlign w:val="bottom"/>
            <w:hideMark/>
          </w:tcPr>
          <w:p w14:paraId="51AB7EFB"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-593.8</w:t>
            </w:r>
          </w:p>
        </w:tc>
        <w:tc>
          <w:tcPr>
            <w:tcW w:w="1261" w:type="dxa"/>
            <w:tcBorders>
              <w:top w:val="nil"/>
              <w:left w:val="nil"/>
              <w:bottom w:val="nil"/>
              <w:right w:val="nil"/>
            </w:tcBorders>
            <w:shd w:val="clear" w:color="auto" w:fill="auto"/>
            <w:noWrap/>
            <w:vAlign w:val="bottom"/>
            <w:hideMark/>
          </w:tcPr>
          <w:p w14:paraId="3B33554D"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8,724.8</w:t>
            </w:r>
          </w:p>
        </w:tc>
        <w:tc>
          <w:tcPr>
            <w:tcW w:w="1432" w:type="dxa"/>
            <w:gridSpan w:val="3"/>
            <w:tcBorders>
              <w:top w:val="nil"/>
              <w:left w:val="nil"/>
              <w:bottom w:val="nil"/>
              <w:right w:val="nil"/>
            </w:tcBorders>
            <w:shd w:val="clear" w:color="auto" w:fill="auto"/>
            <w:noWrap/>
            <w:vAlign w:val="bottom"/>
            <w:hideMark/>
          </w:tcPr>
          <w:p w14:paraId="3B5C36F3"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-1,542.2</w:t>
            </w:r>
          </w:p>
        </w:tc>
        <w:tc>
          <w:tcPr>
            <w:tcW w:w="2178" w:type="dxa"/>
            <w:gridSpan w:val="2"/>
            <w:tcBorders>
              <w:top w:val="nil"/>
              <w:left w:val="nil"/>
              <w:bottom w:val="nil"/>
              <w:right w:val="nil"/>
            </w:tcBorders>
            <w:shd w:val="clear" w:color="auto" w:fill="auto"/>
            <w:noWrap/>
            <w:vAlign w:val="bottom"/>
            <w:hideMark/>
          </w:tcPr>
          <w:p w14:paraId="5BB4E929"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0D8774B4" w14:textId="77777777" w:rsidTr="00B52C55">
        <w:trPr>
          <w:trHeight w:val="300"/>
        </w:trPr>
        <w:tc>
          <w:tcPr>
            <w:tcW w:w="1353" w:type="dxa"/>
            <w:tcBorders>
              <w:top w:val="nil"/>
              <w:left w:val="nil"/>
              <w:bottom w:val="nil"/>
              <w:right w:val="nil"/>
            </w:tcBorders>
            <w:shd w:val="clear" w:color="auto" w:fill="auto"/>
            <w:noWrap/>
            <w:vAlign w:val="bottom"/>
            <w:hideMark/>
          </w:tcPr>
          <w:p w14:paraId="2A071E27"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6E1C893E"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2003-1999</w:t>
            </w:r>
          </w:p>
        </w:tc>
        <w:tc>
          <w:tcPr>
            <w:tcW w:w="1276" w:type="dxa"/>
            <w:tcBorders>
              <w:top w:val="nil"/>
              <w:left w:val="nil"/>
              <w:bottom w:val="nil"/>
              <w:right w:val="nil"/>
            </w:tcBorders>
            <w:shd w:val="clear" w:color="auto" w:fill="auto"/>
            <w:noWrap/>
            <w:vAlign w:val="bottom"/>
            <w:hideMark/>
          </w:tcPr>
          <w:p w14:paraId="57CA0FE0"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5,267.2</w:t>
            </w:r>
          </w:p>
        </w:tc>
        <w:tc>
          <w:tcPr>
            <w:tcW w:w="1417" w:type="dxa"/>
            <w:gridSpan w:val="2"/>
            <w:tcBorders>
              <w:top w:val="nil"/>
              <w:left w:val="nil"/>
              <w:bottom w:val="nil"/>
              <w:right w:val="nil"/>
            </w:tcBorders>
            <w:shd w:val="clear" w:color="auto" w:fill="auto"/>
            <w:noWrap/>
            <w:vAlign w:val="bottom"/>
            <w:hideMark/>
          </w:tcPr>
          <w:p w14:paraId="7DCFE40E"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-9,763.2</w:t>
            </w:r>
          </w:p>
        </w:tc>
        <w:tc>
          <w:tcPr>
            <w:tcW w:w="1261" w:type="dxa"/>
            <w:gridSpan w:val="2"/>
            <w:tcBorders>
              <w:top w:val="nil"/>
              <w:left w:val="nil"/>
              <w:bottom w:val="nil"/>
              <w:right w:val="nil"/>
            </w:tcBorders>
            <w:shd w:val="clear" w:color="auto" w:fill="auto"/>
            <w:noWrap/>
            <w:vAlign w:val="bottom"/>
            <w:hideMark/>
          </w:tcPr>
          <w:p w14:paraId="2B6CEB91"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-1,560.3</w:t>
            </w:r>
          </w:p>
        </w:tc>
        <w:tc>
          <w:tcPr>
            <w:tcW w:w="1261" w:type="dxa"/>
            <w:tcBorders>
              <w:top w:val="nil"/>
              <w:left w:val="nil"/>
              <w:bottom w:val="nil"/>
              <w:right w:val="nil"/>
            </w:tcBorders>
            <w:shd w:val="clear" w:color="auto" w:fill="auto"/>
            <w:noWrap/>
            <w:vAlign w:val="bottom"/>
            <w:hideMark/>
          </w:tcPr>
          <w:p w14:paraId="0C95E488"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8,105.0</w:t>
            </w:r>
          </w:p>
        </w:tc>
        <w:tc>
          <w:tcPr>
            <w:tcW w:w="1432" w:type="dxa"/>
            <w:gridSpan w:val="3"/>
            <w:tcBorders>
              <w:top w:val="nil"/>
              <w:left w:val="nil"/>
              <w:bottom w:val="nil"/>
              <w:right w:val="nil"/>
            </w:tcBorders>
            <w:shd w:val="clear" w:color="auto" w:fill="auto"/>
            <w:noWrap/>
            <w:vAlign w:val="bottom"/>
            <w:hideMark/>
          </w:tcPr>
          <w:p w14:paraId="6D6CFA7D"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2,048.6</w:t>
            </w:r>
          </w:p>
        </w:tc>
        <w:tc>
          <w:tcPr>
            <w:tcW w:w="2178" w:type="dxa"/>
            <w:gridSpan w:val="2"/>
            <w:tcBorders>
              <w:top w:val="nil"/>
              <w:left w:val="nil"/>
              <w:bottom w:val="nil"/>
              <w:right w:val="nil"/>
            </w:tcBorders>
            <w:shd w:val="clear" w:color="auto" w:fill="auto"/>
            <w:noWrap/>
            <w:vAlign w:val="bottom"/>
            <w:hideMark/>
          </w:tcPr>
          <w:p w14:paraId="08D27963"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7357541F" w14:textId="77777777" w:rsidTr="00B52C55">
        <w:trPr>
          <w:trHeight w:val="300"/>
        </w:trPr>
        <w:tc>
          <w:tcPr>
            <w:tcW w:w="1353" w:type="dxa"/>
            <w:tcBorders>
              <w:top w:val="nil"/>
              <w:left w:val="nil"/>
              <w:bottom w:val="nil"/>
              <w:right w:val="nil"/>
            </w:tcBorders>
            <w:shd w:val="clear" w:color="auto" w:fill="auto"/>
            <w:noWrap/>
            <w:vAlign w:val="bottom"/>
            <w:hideMark/>
          </w:tcPr>
          <w:p w14:paraId="2094D78A"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091D7AD0"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2007-2003</w:t>
            </w:r>
          </w:p>
        </w:tc>
        <w:tc>
          <w:tcPr>
            <w:tcW w:w="1276" w:type="dxa"/>
            <w:tcBorders>
              <w:top w:val="nil"/>
              <w:left w:val="nil"/>
              <w:bottom w:val="nil"/>
              <w:right w:val="nil"/>
            </w:tcBorders>
            <w:shd w:val="clear" w:color="auto" w:fill="auto"/>
            <w:noWrap/>
            <w:vAlign w:val="bottom"/>
            <w:hideMark/>
          </w:tcPr>
          <w:p w14:paraId="4AFD4172"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-2,787.4</w:t>
            </w:r>
          </w:p>
        </w:tc>
        <w:tc>
          <w:tcPr>
            <w:tcW w:w="1417" w:type="dxa"/>
            <w:gridSpan w:val="2"/>
            <w:tcBorders>
              <w:top w:val="nil"/>
              <w:left w:val="nil"/>
              <w:bottom w:val="nil"/>
              <w:right w:val="nil"/>
            </w:tcBorders>
            <w:shd w:val="clear" w:color="auto" w:fill="auto"/>
            <w:noWrap/>
            <w:vAlign w:val="bottom"/>
            <w:hideMark/>
          </w:tcPr>
          <w:p w14:paraId="70C4A1FB"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-8,312.8</w:t>
            </w:r>
          </w:p>
        </w:tc>
        <w:tc>
          <w:tcPr>
            <w:tcW w:w="1261" w:type="dxa"/>
            <w:gridSpan w:val="2"/>
            <w:tcBorders>
              <w:top w:val="nil"/>
              <w:left w:val="nil"/>
              <w:bottom w:val="nil"/>
              <w:right w:val="nil"/>
            </w:tcBorders>
            <w:shd w:val="clear" w:color="auto" w:fill="auto"/>
            <w:noWrap/>
            <w:vAlign w:val="bottom"/>
            <w:hideMark/>
          </w:tcPr>
          <w:p w14:paraId="428705C8"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-1,897.6</w:t>
            </w:r>
          </w:p>
        </w:tc>
        <w:tc>
          <w:tcPr>
            <w:tcW w:w="1261" w:type="dxa"/>
            <w:tcBorders>
              <w:top w:val="nil"/>
              <w:left w:val="nil"/>
              <w:bottom w:val="nil"/>
              <w:right w:val="nil"/>
            </w:tcBorders>
            <w:shd w:val="clear" w:color="auto" w:fill="auto"/>
            <w:noWrap/>
            <w:vAlign w:val="bottom"/>
            <w:hideMark/>
          </w:tcPr>
          <w:p w14:paraId="50F59D33"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11,222.4</w:t>
            </w:r>
          </w:p>
        </w:tc>
        <w:tc>
          <w:tcPr>
            <w:tcW w:w="1432" w:type="dxa"/>
            <w:gridSpan w:val="3"/>
            <w:tcBorders>
              <w:top w:val="nil"/>
              <w:left w:val="nil"/>
              <w:bottom w:val="nil"/>
              <w:right w:val="nil"/>
            </w:tcBorders>
            <w:shd w:val="clear" w:color="auto" w:fill="auto"/>
            <w:noWrap/>
            <w:vAlign w:val="bottom"/>
            <w:hideMark/>
          </w:tcPr>
          <w:p w14:paraId="799C9BAB"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-1,775.3</w:t>
            </w:r>
          </w:p>
        </w:tc>
        <w:tc>
          <w:tcPr>
            <w:tcW w:w="2178" w:type="dxa"/>
            <w:gridSpan w:val="2"/>
            <w:tcBorders>
              <w:top w:val="nil"/>
              <w:left w:val="nil"/>
              <w:bottom w:val="nil"/>
              <w:right w:val="nil"/>
            </w:tcBorders>
            <w:shd w:val="clear" w:color="auto" w:fill="auto"/>
            <w:noWrap/>
            <w:vAlign w:val="bottom"/>
            <w:hideMark/>
          </w:tcPr>
          <w:p w14:paraId="080CEFC7"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76CB8E48" w14:textId="77777777" w:rsidTr="00B52C55">
        <w:trPr>
          <w:trHeight w:val="300"/>
        </w:trPr>
        <w:tc>
          <w:tcPr>
            <w:tcW w:w="1353" w:type="dxa"/>
            <w:tcBorders>
              <w:top w:val="nil"/>
              <w:left w:val="nil"/>
              <w:bottom w:val="single" w:sz="4" w:space="0" w:color="auto"/>
              <w:right w:val="nil"/>
            </w:tcBorders>
            <w:shd w:val="clear" w:color="auto" w:fill="auto"/>
            <w:noWrap/>
            <w:vAlign w:val="bottom"/>
            <w:hideMark/>
          </w:tcPr>
          <w:p w14:paraId="78431741"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 </w:t>
            </w:r>
          </w:p>
        </w:tc>
        <w:tc>
          <w:tcPr>
            <w:tcW w:w="1276" w:type="dxa"/>
            <w:gridSpan w:val="2"/>
            <w:tcBorders>
              <w:top w:val="nil"/>
              <w:left w:val="nil"/>
              <w:bottom w:val="single" w:sz="4" w:space="0" w:color="auto"/>
              <w:right w:val="nil"/>
            </w:tcBorders>
            <w:shd w:val="clear" w:color="auto" w:fill="auto"/>
            <w:noWrap/>
            <w:vAlign w:val="bottom"/>
            <w:hideMark/>
          </w:tcPr>
          <w:p w14:paraId="40E00B54"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2007-1995</w:t>
            </w:r>
          </w:p>
        </w:tc>
        <w:tc>
          <w:tcPr>
            <w:tcW w:w="1276" w:type="dxa"/>
            <w:tcBorders>
              <w:top w:val="nil"/>
              <w:left w:val="nil"/>
              <w:bottom w:val="single" w:sz="4" w:space="0" w:color="auto"/>
              <w:right w:val="nil"/>
            </w:tcBorders>
            <w:shd w:val="clear" w:color="auto" w:fill="auto"/>
            <w:noWrap/>
            <w:vAlign w:val="bottom"/>
            <w:hideMark/>
          </w:tcPr>
          <w:p w14:paraId="6E1F72F3"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-1,086.8</w:t>
            </w:r>
          </w:p>
        </w:tc>
        <w:tc>
          <w:tcPr>
            <w:tcW w:w="1417" w:type="dxa"/>
            <w:gridSpan w:val="2"/>
            <w:tcBorders>
              <w:top w:val="nil"/>
              <w:left w:val="nil"/>
              <w:bottom w:val="single" w:sz="4" w:space="0" w:color="auto"/>
              <w:right w:val="nil"/>
            </w:tcBorders>
            <w:shd w:val="clear" w:color="auto" w:fill="auto"/>
            <w:noWrap/>
            <w:vAlign w:val="bottom"/>
            <w:hideMark/>
          </w:tcPr>
          <w:p w14:paraId="4789C186"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-24,782.4</w:t>
            </w:r>
          </w:p>
        </w:tc>
        <w:tc>
          <w:tcPr>
            <w:tcW w:w="1261" w:type="dxa"/>
            <w:gridSpan w:val="2"/>
            <w:tcBorders>
              <w:top w:val="nil"/>
              <w:left w:val="nil"/>
              <w:bottom w:val="single" w:sz="4" w:space="0" w:color="auto"/>
              <w:right w:val="nil"/>
            </w:tcBorders>
            <w:shd w:val="clear" w:color="auto" w:fill="auto"/>
            <w:noWrap/>
            <w:vAlign w:val="bottom"/>
            <w:hideMark/>
          </w:tcPr>
          <w:p w14:paraId="0AD2053A"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-4,145.3</w:t>
            </w:r>
          </w:p>
        </w:tc>
        <w:tc>
          <w:tcPr>
            <w:tcW w:w="1261" w:type="dxa"/>
            <w:tcBorders>
              <w:top w:val="nil"/>
              <w:left w:val="nil"/>
              <w:bottom w:val="single" w:sz="4" w:space="0" w:color="auto"/>
              <w:right w:val="nil"/>
            </w:tcBorders>
            <w:shd w:val="clear" w:color="auto" w:fill="auto"/>
            <w:noWrap/>
            <w:vAlign w:val="bottom"/>
            <w:hideMark/>
          </w:tcPr>
          <w:p w14:paraId="361F49DA"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28,745.6</w:t>
            </w:r>
          </w:p>
        </w:tc>
        <w:tc>
          <w:tcPr>
            <w:tcW w:w="1432" w:type="dxa"/>
            <w:gridSpan w:val="3"/>
            <w:tcBorders>
              <w:top w:val="nil"/>
              <w:left w:val="nil"/>
              <w:bottom w:val="single" w:sz="4" w:space="0" w:color="auto"/>
              <w:right w:val="nil"/>
            </w:tcBorders>
            <w:shd w:val="clear" w:color="auto" w:fill="auto"/>
            <w:noWrap/>
            <w:vAlign w:val="bottom"/>
            <w:hideMark/>
          </w:tcPr>
          <w:p w14:paraId="69610A7B"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-1,268.9</w:t>
            </w:r>
          </w:p>
        </w:tc>
        <w:tc>
          <w:tcPr>
            <w:tcW w:w="2178" w:type="dxa"/>
            <w:gridSpan w:val="2"/>
            <w:tcBorders>
              <w:top w:val="nil"/>
              <w:left w:val="nil"/>
              <w:bottom w:val="nil"/>
              <w:right w:val="nil"/>
            </w:tcBorders>
            <w:shd w:val="clear" w:color="auto" w:fill="auto"/>
            <w:noWrap/>
            <w:vAlign w:val="bottom"/>
            <w:hideMark/>
          </w:tcPr>
          <w:p w14:paraId="4ADC0C2A"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7E9A4E08" w14:textId="77777777" w:rsidTr="00B52C55">
        <w:trPr>
          <w:trHeight w:val="300"/>
        </w:trPr>
        <w:tc>
          <w:tcPr>
            <w:tcW w:w="1353" w:type="dxa"/>
            <w:tcBorders>
              <w:top w:val="nil"/>
              <w:left w:val="nil"/>
              <w:bottom w:val="nil"/>
              <w:right w:val="nil"/>
            </w:tcBorders>
            <w:shd w:val="clear" w:color="auto" w:fill="auto"/>
            <w:noWrap/>
            <w:vAlign w:val="bottom"/>
            <w:hideMark/>
          </w:tcPr>
          <w:p w14:paraId="7A1E56FD"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Turkey</w:t>
            </w:r>
          </w:p>
        </w:tc>
        <w:tc>
          <w:tcPr>
            <w:tcW w:w="1276" w:type="dxa"/>
            <w:gridSpan w:val="2"/>
            <w:tcBorders>
              <w:top w:val="nil"/>
              <w:left w:val="nil"/>
              <w:bottom w:val="nil"/>
              <w:right w:val="nil"/>
            </w:tcBorders>
            <w:shd w:val="clear" w:color="auto" w:fill="auto"/>
            <w:noWrap/>
            <w:vAlign w:val="bottom"/>
            <w:hideMark/>
          </w:tcPr>
          <w:p w14:paraId="78FC2B68"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1999-1995</w:t>
            </w:r>
          </w:p>
        </w:tc>
        <w:tc>
          <w:tcPr>
            <w:tcW w:w="1276" w:type="dxa"/>
            <w:tcBorders>
              <w:top w:val="nil"/>
              <w:left w:val="nil"/>
              <w:bottom w:val="nil"/>
              <w:right w:val="nil"/>
            </w:tcBorders>
            <w:shd w:val="clear" w:color="auto" w:fill="auto"/>
            <w:noWrap/>
            <w:vAlign w:val="bottom"/>
            <w:hideMark/>
          </w:tcPr>
          <w:p w14:paraId="7D1A2C97"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-4,349.6</w:t>
            </w:r>
          </w:p>
        </w:tc>
        <w:tc>
          <w:tcPr>
            <w:tcW w:w="1417" w:type="dxa"/>
            <w:gridSpan w:val="2"/>
            <w:tcBorders>
              <w:top w:val="nil"/>
              <w:left w:val="nil"/>
              <w:bottom w:val="nil"/>
              <w:right w:val="nil"/>
            </w:tcBorders>
            <w:shd w:val="clear" w:color="auto" w:fill="auto"/>
            <w:noWrap/>
            <w:vAlign w:val="bottom"/>
            <w:hideMark/>
          </w:tcPr>
          <w:p w14:paraId="702D87C7"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1,737.4</w:t>
            </w:r>
          </w:p>
        </w:tc>
        <w:tc>
          <w:tcPr>
            <w:tcW w:w="1261" w:type="dxa"/>
            <w:gridSpan w:val="2"/>
            <w:tcBorders>
              <w:top w:val="nil"/>
              <w:left w:val="nil"/>
              <w:bottom w:val="nil"/>
              <w:right w:val="nil"/>
            </w:tcBorders>
            <w:shd w:val="clear" w:color="auto" w:fill="auto"/>
            <w:noWrap/>
            <w:vAlign w:val="bottom"/>
            <w:hideMark/>
          </w:tcPr>
          <w:p w14:paraId="1DBEBEED"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-457.3</w:t>
            </w:r>
          </w:p>
        </w:tc>
        <w:tc>
          <w:tcPr>
            <w:tcW w:w="1261" w:type="dxa"/>
            <w:tcBorders>
              <w:top w:val="nil"/>
              <w:left w:val="nil"/>
              <w:bottom w:val="nil"/>
              <w:right w:val="nil"/>
            </w:tcBorders>
            <w:shd w:val="clear" w:color="auto" w:fill="auto"/>
            <w:noWrap/>
            <w:vAlign w:val="bottom"/>
            <w:hideMark/>
          </w:tcPr>
          <w:p w14:paraId="39AF57A6"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26,483.5</w:t>
            </w:r>
          </w:p>
        </w:tc>
        <w:tc>
          <w:tcPr>
            <w:tcW w:w="1432" w:type="dxa"/>
            <w:gridSpan w:val="3"/>
            <w:tcBorders>
              <w:top w:val="nil"/>
              <w:left w:val="nil"/>
              <w:bottom w:val="nil"/>
              <w:right w:val="nil"/>
            </w:tcBorders>
            <w:shd w:val="clear" w:color="auto" w:fill="auto"/>
            <w:noWrap/>
            <w:vAlign w:val="bottom"/>
            <w:hideMark/>
          </w:tcPr>
          <w:p w14:paraId="16C25512"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23,414.1</w:t>
            </w:r>
          </w:p>
        </w:tc>
        <w:tc>
          <w:tcPr>
            <w:tcW w:w="2178" w:type="dxa"/>
            <w:gridSpan w:val="2"/>
            <w:tcBorders>
              <w:top w:val="nil"/>
              <w:left w:val="nil"/>
              <w:bottom w:val="nil"/>
              <w:right w:val="nil"/>
            </w:tcBorders>
            <w:shd w:val="clear" w:color="auto" w:fill="auto"/>
            <w:noWrap/>
            <w:vAlign w:val="bottom"/>
            <w:hideMark/>
          </w:tcPr>
          <w:p w14:paraId="38465E3E"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1B73F28C" w14:textId="77777777" w:rsidTr="00B52C55">
        <w:trPr>
          <w:trHeight w:val="300"/>
        </w:trPr>
        <w:tc>
          <w:tcPr>
            <w:tcW w:w="1353" w:type="dxa"/>
            <w:tcBorders>
              <w:top w:val="nil"/>
              <w:left w:val="nil"/>
              <w:bottom w:val="nil"/>
              <w:right w:val="nil"/>
            </w:tcBorders>
            <w:shd w:val="clear" w:color="auto" w:fill="auto"/>
            <w:noWrap/>
            <w:vAlign w:val="bottom"/>
            <w:hideMark/>
          </w:tcPr>
          <w:p w14:paraId="00B07D20"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0DBCDD9D"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2003-1999</w:t>
            </w:r>
          </w:p>
        </w:tc>
        <w:tc>
          <w:tcPr>
            <w:tcW w:w="1276" w:type="dxa"/>
            <w:tcBorders>
              <w:top w:val="nil"/>
              <w:left w:val="nil"/>
              <w:bottom w:val="nil"/>
              <w:right w:val="nil"/>
            </w:tcBorders>
            <w:shd w:val="clear" w:color="auto" w:fill="auto"/>
            <w:noWrap/>
            <w:vAlign w:val="bottom"/>
            <w:hideMark/>
          </w:tcPr>
          <w:p w14:paraId="218E913A"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-1,793.4</w:t>
            </w:r>
          </w:p>
        </w:tc>
        <w:tc>
          <w:tcPr>
            <w:tcW w:w="1417" w:type="dxa"/>
            <w:gridSpan w:val="2"/>
            <w:tcBorders>
              <w:top w:val="nil"/>
              <w:left w:val="nil"/>
              <w:bottom w:val="nil"/>
              <w:right w:val="nil"/>
            </w:tcBorders>
            <w:shd w:val="clear" w:color="auto" w:fill="auto"/>
            <w:noWrap/>
            <w:vAlign w:val="bottom"/>
            <w:hideMark/>
          </w:tcPr>
          <w:p w14:paraId="75661E18"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5,955.5</w:t>
            </w:r>
          </w:p>
        </w:tc>
        <w:tc>
          <w:tcPr>
            <w:tcW w:w="1261" w:type="dxa"/>
            <w:gridSpan w:val="2"/>
            <w:tcBorders>
              <w:top w:val="nil"/>
              <w:left w:val="nil"/>
              <w:bottom w:val="nil"/>
              <w:right w:val="nil"/>
            </w:tcBorders>
            <w:shd w:val="clear" w:color="auto" w:fill="auto"/>
            <w:noWrap/>
            <w:vAlign w:val="bottom"/>
            <w:hideMark/>
          </w:tcPr>
          <w:p w14:paraId="699D73DE"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-2,266.9</w:t>
            </w:r>
          </w:p>
        </w:tc>
        <w:tc>
          <w:tcPr>
            <w:tcW w:w="1261" w:type="dxa"/>
            <w:tcBorders>
              <w:top w:val="nil"/>
              <w:left w:val="nil"/>
              <w:bottom w:val="nil"/>
              <w:right w:val="nil"/>
            </w:tcBorders>
            <w:shd w:val="clear" w:color="auto" w:fill="auto"/>
            <w:noWrap/>
            <w:vAlign w:val="bottom"/>
            <w:hideMark/>
          </w:tcPr>
          <w:p w14:paraId="5872F885"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27,884.0</w:t>
            </w:r>
          </w:p>
        </w:tc>
        <w:tc>
          <w:tcPr>
            <w:tcW w:w="1432" w:type="dxa"/>
            <w:gridSpan w:val="3"/>
            <w:tcBorders>
              <w:top w:val="nil"/>
              <w:left w:val="nil"/>
              <w:bottom w:val="nil"/>
              <w:right w:val="nil"/>
            </w:tcBorders>
            <w:shd w:val="clear" w:color="auto" w:fill="auto"/>
            <w:noWrap/>
            <w:vAlign w:val="bottom"/>
            <w:hideMark/>
          </w:tcPr>
          <w:p w14:paraId="4DB4DD3C"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29,779.2</w:t>
            </w:r>
          </w:p>
        </w:tc>
        <w:tc>
          <w:tcPr>
            <w:tcW w:w="2178" w:type="dxa"/>
            <w:gridSpan w:val="2"/>
            <w:tcBorders>
              <w:top w:val="nil"/>
              <w:left w:val="nil"/>
              <w:bottom w:val="nil"/>
              <w:right w:val="nil"/>
            </w:tcBorders>
            <w:shd w:val="clear" w:color="auto" w:fill="auto"/>
            <w:noWrap/>
            <w:vAlign w:val="bottom"/>
            <w:hideMark/>
          </w:tcPr>
          <w:p w14:paraId="2E981540"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7F516DA0" w14:textId="77777777" w:rsidTr="00B52C55">
        <w:trPr>
          <w:trHeight w:val="300"/>
        </w:trPr>
        <w:tc>
          <w:tcPr>
            <w:tcW w:w="1353" w:type="dxa"/>
            <w:tcBorders>
              <w:top w:val="nil"/>
              <w:left w:val="nil"/>
              <w:bottom w:val="nil"/>
              <w:right w:val="nil"/>
            </w:tcBorders>
            <w:shd w:val="clear" w:color="auto" w:fill="auto"/>
            <w:noWrap/>
            <w:vAlign w:val="bottom"/>
            <w:hideMark/>
          </w:tcPr>
          <w:p w14:paraId="4A2CA479"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2DAE97F7"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2007-2003</w:t>
            </w:r>
          </w:p>
        </w:tc>
        <w:tc>
          <w:tcPr>
            <w:tcW w:w="1276" w:type="dxa"/>
            <w:tcBorders>
              <w:top w:val="nil"/>
              <w:left w:val="nil"/>
              <w:bottom w:val="nil"/>
              <w:right w:val="nil"/>
            </w:tcBorders>
            <w:shd w:val="clear" w:color="auto" w:fill="auto"/>
            <w:noWrap/>
            <w:vAlign w:val="bottom"/>
            <w:hideMark/>
          </w:tcPr>
          <w:p w14:paraId="1E08A8B0"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2,089.1</w:t>
            </w:r>
          </w:p>
        </w:tc>
        <w:tc>
          <w:tcPr>
            <w:tcW w:w="1417" w:type="dxa"/>
            <w:gridSpan w:val="2"/>
            <w:tcBorders>
              <w:top w:val="nil"/>
              <w:left w:val="nil"/>
              <w:bottom w:val="nil"/>
              <w:right w:val="nil"/>
            </w:tcBorders>
            <w:shd w:val="clear" w:color="auto" w:fill="auto"/>
            <w:noWrap/>
            <w:vAlign w:val="bottom"/>
            <w:hideMark/>
          </w:tcPr>
          <w:p w14:paraId="4D3C2621"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-8,876.3</w:t>
            </w:r>
          </w:p>
        </w:tc>
        <w:tc>
          <w:tcPr>
            <w:tcW w:w="1261" w:type="dxa"/>
            <w:gridSpan w:val="2"/>
            <w:tcBorders>
              <w:top w:val="nil"/>
              <w:left w:val="nil"/>
              <w:bottom w:val="nil"/>
              <w:right w:val="nil"/>
            </w:tcBorders>
            <w:shd w:val="clear" w:color="auto" w:fill="auto"/>
            <w:noWrap/>
            <w:vAlign w:val="bottom"/>
            <w:hideMark/>
          </w:tcPr>
          <w:p w14:paraId="178F90B0"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27,908.4</w:t>
            </w:r>
          </w:p>
        </w:tc>
        <w:tc>
          <w:tcPr>
            <w:tcW w:w="1261" w:type="dxa"/>
            <w:tcBorders>
              <w:top w:val="nil"/>
              <w:left w:val="nil"/>
              <w:bottom w:val="nil"/>
              <w:right w:val="nil"/>
            </w:tcBorders>
            <w:shd w:val="clear" w:color="auto" w:fill="auto"/>
            <w:noWrap/>
            <w:vAlign w:val="bottom"/>
            <w:hideMark/>
          </w:tcPr>
          <w:p w14:paraId="79AE7B76"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46,951.9</w:t>
            </w:r>
          </w:p>
        </w:tc>
        <w:tc>
          <w:tcPr>
            <w:tcW w:w="1432" w:type="dxa"/>
            <w:gridSpan w:val="3"/>
            <w:tcBorders>
              <w:top w:val="nil"/>
              <w:left w:val="nil"/>
              <w:bottom w:val="nil"/>
              <w:right w:val="nil"/>
            </w:tcBorders>
            <w:shd w:val="clear" w:color="auto" w:fill="auto"/>
            <w:noWrap/>
            <w:vAlign w:val="bottom"/>
            <w:hideMark/>
          </w:tcPr>
          <w:p w14:paraId="35C361AB"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68,073.1</w:t>
            </w:r>
          </w:p>
        </w:tc>
        <w:tc>
          <w:tcPr>
            <w:tcW w:w="2178" w:type="dxa"/>
            <w:gridSpan w:val="2"/>
            <w:tcBorders>
              <w:top w:val="nil"/>
              <w:left w:val="nil"/>
              <w:bottom w:val="nil"/>
              <w:right w:val="nil"/>
            </w:tcBorders>
            <w:shd w:val="clear" w:color="auto" w:fill="auto"/>
            <w:noWrap/>
            <w:vAlign w:val="bottom"/>
            <w:hideMark/>
          </w:tcPr>
          <w:p w14:paraId="2386A415"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56C57B0C" w14:textId="77777777" w:rsidTr="00B52C55">
        <w:trPr>
          <w:trHeight w:val="300"/>
        </w:trPr>
        <w:tc>
          <w:tcPr>
            <w:tcW w:w="1353" w:type="dxa"/>
            <w:tcBorders>
              <w:top w:val="nil"/>
              <w:left w:val="nil"/>
              <w:bottom w:val="single" w:sz="4" w:space="0" w:color="auto"/>
              <w:right w:val="nil"/>
            </w:tcBorders>
            <w:shd w:val="clear" w:color="auto" w:fill="auto"/>
            <w:noWrap/>
            <w:vAlign w:val="bottom"/>
            <w:hideMark/>
          </w:tcPr>
          <w:p w14:paraId="71E79593"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 </w:t>
            </w:r>
          </w:p>
        </w:tc>
        <w:tc>
          <w:tcPr>
            <w:tcW w:w="1276" w:type="dxa"/>
            <w:gridSpan w:val="2"/>
            <w:tcBorders>
              <w:top w:val="nil"/>
              <w:left w:val="nil"/>
              <w:bottom w:val="single" w:sz="4" w:space="0" w:color="auto"/>
              <w:right w:val="nil"/>
            </w:tcBorders>
            <w:shd w:val="clear" w:color="auto" w:fill="auto"/>
            <w:noWrap/>
            <w:vAlign w:val="bottom"/>
            <w:hideMark/>
          </w:tcPr>
          <w:p w14:paraId="5C620B62"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2007-1995</w:t>
            </w:r>
          </w:p>
        </w:tc>
        <w:tc>
          <w:tcPr>
            <w:tcW w:w="1276" w:type="dxa"/>
            <w:tcBorders>
              <w:top w:val="nil"/>
              <w:left w:val="nil"/>
              <w:bottom w:val="single" w:sz="4" w:space="0" w:color="auto"/>
              <w:right w:val="nil"/>
            </w:tcBorders>
            <w:shd w:val="clear" w:color="auto" w:fill="auto"/>
            <w:noWrap/>
            <w:vAlign w:val="bottom"/>
            <w:hideMark/>
          </w:tcPr>
          <w:p w14:paraId="385B867E"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-5,532.7</w:t>
            </w:r>
          </w:p>
        </w:tc>
        <w:tc>
          <w:tcPr>
            <w:tcW w:w="1417" w:type="dxa"/>
            <w:gridSpan w:val="2"/>
            <w:tcBorders>
              <w:top w:val="nil"/>
              <w:left w:val="nil"/>
              <w:bottom w:val="single" w:sz="4" w:space="0" w:color="auto"/>
              <w:right w:val="nil"/>
            </w:tcBorders>
            <w:shd w:val="clear" w:color="auto" w:fill="auto"/>
            <w:noWrap/>
            <w:vAlign w:val="bottom"/>
            <w:hideMark/>
          </w:tcPr>
          <w:p w14:paraId="2A436C16"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749.2</w:t>
            </w:r>
          </w:p>
        </w:tc>
        <w:tc>
          <w:tcPr>
            <w:tcW w:w="1261" w:type="dxa"/>
            <w:gridSpan w:val="2"/>
            <w:tcBorders>
              <w:top w:val="nil"/>
              <w:left w:val="nil"/>
              <w:bottom w:val="single" w:sz="4" w:space="0" w:color="auto"/>
              <w:right w:val="nil"/>
            </w:tcBorders>
            <w:shd w:val="clear" w:color="auto" w:fill="auto"/>
            <w:noWrap/>
            <w:vAlign w:val="bottom"/>
            <w:hideMark/>
          </w:tcPr>
          <w:p w14:paraId="77965970"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21,956.0</w:t>
            </w:r>
          </w:p>
        </w:tc>
        <w:tc>
          <w:tcPr>
            <w:tcW w:w="1261" w:type="dxa"/>
            <w:tcBorders>
              <w:top w:val="nil"/>
              <w:left w:val="nil"/>
              <w:bottom w:val="single" w:sz="4" w:space="0" w:color="auto"/>
              <w:right w:val="nil"/>
            </w:tcBorders>
            <w:shd w:val="clear" w:color="auto" w:fill="auto"/>
            <w:noWrap/>
            <w:vAlign w:val="bottom"/>
            <w:hideMark/>
          </w:tcPr>
          <w:p w14:paraId="5DF20889"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104,093.8</w:t>
            </w:r>
          </w:p>
        </w:tc>
        <w:tc>
          <w:tcPr>
            <w:tcW w:w="1432" w:type="dxa"/>
            <w:gridSpan w:val="3"/>
            <w:tcBorders>
              <w:top w:val="nil"/>
              <w:left w:val="nil"/>
              <w:bottom w:val="single" w:sz="4" w:space="0" w:color="auto"/>
              <w:right w:val="nil"/>
            </w:tcBorders>
            <w:shd w:val="clear" w:color="auto" w:fill="auto"/>
            <w:noWrap/>
            <w:vAlign w:val="bottom"/>
            <w:hideMark/>
          </w:tcPr>
          <w:p w14:paraId="293E4A82"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121,266.4</w:t>
            </w:r>
          </w:p>
        </w:tc>
        <w:tc>
          <w:tcPr>
            <w:tcW w:w="2178" w:type="dxa"/>
            <w:gridSpan w:val="2"/>
            <w:tcBorders>
              <w:top w:val="nil"/>
              <w:left w:val="nil"/>
              <w:bottom w:val="nil"/>
              <w:right w:val="nil"/>
            </w:tcBorders>
            <w:shd w:val="clear" w:color="auto" w:fill="auto"/>
            <w:noWrap/>
            <w:vAlign w:val="bottom"/>
            <w:hideMark/>
          </w:tcPr>
          <w:p w14:paraId="55BD35CA"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5C47DADC" w14:textId="77777777" w:rsidTr="00B52C55">
        <w:trPr>
          <w:trHeight w:val="300"/>
        </w:trPr>
        <w:tc>
          <w:tcPr>
            <w:tcW w:w="1353" w:type="dxa"/>
            <w:tcBorders>
              <w:top w:val="nil"/>
              <w:left w:val="nil"/>
              <w:bottom w:val="nil"/>
              <w:right w:val="nil"/>
            </w:tcBorders>
            <w:shd w:val="clear" w:color="auto" w:fill="auto"/>
            <w:noWrap/>
            <w:vAlign w:val="bottom"/>
            <w:hideMark/>
          </w:tcPr>
          <w:p w14:paraId="710E4E14"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United Kingdom</w:t>
            </w:r>
          </w:p>
        </w:tc>
        <w:tc>
          <w:tcPr>
            <w:tcW w:w="1276" w:type="dxa"/>
            <w:gridSpan w:val="2"/>
            <w:tcBorders>
              <w:top w:val="nil"/>
              <w:left w:val="nil"/>
              <w:bottom w:val="nil"/>
              <w:right w:val="nil"/>
            </w:tcBorders>
            <w:shd w:val="clear" w:color="auto" w:fill="auto"/>
            <w:noWrap/>
            <w:vAlign w:val="bottom"/>
            <w:hideMark/>
          </w:tcPr>
          <w:p w14:paraId="4CD6437C"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1999-1995</w:t>
            </w:r>
          </w:p>
        </w:tc>
        <w:tc>
          <w:tcPr>
            <w:tcW w:w="1276" w:type="dxa"/>
            <w:tcBorders>
              <w:top w:val="nil"/>
              <w:left w:val="nil"/>
              <w:bottom w:val="nil"/>
              <w:right w:val="nil"/>
            </w:tcBorders>
            <w:shd w:val="clear" w:color="auto" w:fill="auto"/>
            <w:noWrap/>
            <w:vAlign w:val="bottom"/>
            <w:hideMark/>
          </w:tcPr>
          <w:p w14:paraId="52E7CD61"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-39,702.9</w:t>
            </w:r>
          </w:p>
        </w:tc>
        <w:tc>
          <w:tcPr>
            <w:tcW w:w="1417" w:type="dxa"/>
            <w:gridSpan w:val="2"/>
            <w:tcBorders>
              <w:top w:val="nil"/>
              <w:left w:val="nil"/>
              <w:bottom w:val="nil"/>
              <w:right w:val="nil"/>
            </w:tcBorders>
            <w:shd w:val="clear" w:color="auto" w:fill="auto"/>
            <w:noWrap/>
            <w:vAlign w:val="bottom"/>
            <w:hideMark/>
          </w:tcPr>
          <w:p w14:paraId="21BEDA35"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-42,296.8</w:t>
            </w:r>
          </w:p>
        </w:tc>
        <w:tc>
          <w:tcPr>
            <w:tcW w:w="1261" w:type="dxa"/>
            <w:gridSpan w:val="2"/>
            <w:tcBorders>
              <w:top w:val="nil"/>
              <w:left w:val="nil"/>
              <w:bottom w:val="nil"/>
              <w:right w:val="nil"/>
            </w:tcBorders>
            <w:shd w:val="clear" w:color="auto" w:fill="auto"/>
            <w:noWrap/>
            <w:vAlign w:val="bottom"/>
            <w:hideMark/>
          </w:tcPr>
          <w:p w14:paraId="31C5E02C"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1,184.7</w:t>
            </w:r>
          </w:p>
        </w:tc>
        <w:tc>
          <w:tcPr>
            <w:tcW w:w="1261" w:type="dxa"/>
            <w:tcBorders>
              <w:top w:val="nil"/>
              <w:left w:val="nil"/>
              <w:bottom w:val="nil"/>
              <w:right w:val="nil"/>
            </w:tcBorders>
            <w:shd w:val="clear" w:color="auto" w:fill="auto"/>
            <w:noWrap/>
            <w:vAlign w:val="bottom"/>
            <w:hideMark/>
          </w:tcPr>
          <w:p w14:paraId="0F35C550"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82,212.1</w:t>
            </w:r>
          </w:p>
        </w:tc>
        <w:tc>
          <w:tcPr>
            <w:tcW w:w="1432" w:type="dxa"/>
            <w:gridSpan w:val="3"/>
            <w:tcBorders>
              <w:top w:val="nil"/>
              <w:left w:val="nil"/>
              <w:bottom w:val="nil"/>
              <w:right w:val="nil"/>
            </w:tcBorders>
            <w:shd w:val="clear" w:color="auto" w:fill="auto"/>
            <w:noWrap/>
            <w:vAlign w:val="bottom"/>
            <w:hideMark/>
          </w:tcPr>
          <w:p w14:paraId="1CDF52ED"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1,397.1</w:t>
            </w:r>
          </w:p>
        </w:tc>
        <w:tc>
          <w:tcPr>
            <w:tcW w:w="2178" w:type="dxa"/>
            <w:gridSpan w:val="2"/>
            <w:tcBorders>
              <w:top w:val="nil"/>
              <w:left w:val="nil"/>
              <w:bottom w:val="nil"/>
              <w:right w:val="nil"/>
            </w:tcBorders>
            <w:shd w:val="clear" w:color="auto" w:fill="auto"/>
            <w:noWrap/>
            <w:vAlign w:val="bottom"/>
            <w:hideMark/>
          </w:tcPr>
          <w:p w14:paraId="3E7CFECD"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1B1B3A6C" w14:textId="77777777" w:rsidTr="00B52C55">
        <w:trPr>
          <w:trHeight w:val="300"/>
        </w:trPr>
        <w:tc>
          <w:tcPr>
            <w:tcW w:w="1353" w:type="dxa"/>
            <w:tcBorders>
              <w:top w:val="nil"/>
              <w:left w:val="nil"/>
              <w:bottom w:val="nil"/>
              <w:right w:val="nil"/>
            </w:tcBorders>
            <w:shd w:val="clear" w:color="auto" w:fill="auto"/>
            <w:noWrap/>
            <w:vAlign w:val="bottom"/>
            <w:hideMark/>
          </w:tcPr>
          <w:p w14:paraId="4BA40256"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6DFA83F7"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2003-1999</w:t>
            </w:r>
          </w:p>
        </w:tc>
        <w:tc>
          <w:tcPr>
            <w:tcW w:w="1276" w:type="dxa"/>
            <w:tcBorders>
              <w:top w:val="nil"/>
              <w:left w:val="nil"/>
              <w:bottom w:val="nil"/>
              <w:right w:val="nil"/>
            </w:tcBorders>
            <w:shd w:val="clear" w:color="auto" w:fill="auto"/>
            <w:noWrap/>
            <w:vAlign w:val="bottom"/>
            <w:hideMark/>
          </w:tcPr>
          <w:p w14:paraId="3EA59C0F"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21,438.8</w:t>
            </w:r>
          </w:p>
        </w:tc>
        <w:tc>
          <w:tcPr>
            <w:tcW w:w="1417" w:type="dxa"/>
            <w:gridSpan w:val="2"/>
            <w:tcBorders>
              <w:top w:val="nil"/>
              <w:left w:val="nil"/>
              <w:bottom w:val="nil"/>
              <w:right w:val="nil"/>
            </w:tcBorders>
            <w:shd w:val="clear" w:color="auto" w:fill="auto"/>
            <w:noWrap/>
            <w:vAlign w:val="bottom"/>
            <w:hideMark/>
          </w:tcPr>
          <w:p w14:paraId="7260B2B4"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-72,744.1</w:t>
            </w:r>
          </w:p>
        </w:tc>
        <w:tc>
          <w:tcPr>
            <w:tcW w:w="1261" w:type="dxa"/>
            <w:gridSpan w:val="2"/>
            <w:tcBorders>
              <w:top w:val="nil"/>
              <w:left w:val="nil"/>
              <w:bottom w:val="nil"/>
              <w:right w:val="nil"/>
            </w:tcBorders>
            <w:shd w:val="clear" w:color="auto" w:fill="auto"/>
            <w:noWrap/>
            <w:vAlign w:val="bottom"/>
            <w:hideMark/>
          </w:tcPr>
          <w:p w14:paraId="02B499A2"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-1,636.3</w:t>
            </w:r>
          </w:p>
        </w:tc>
        <w:tc>
          <w:tcPr>
            <w:tcW w:w="1261" w:type="dxa"/>
            <w:tcBorders>
              <w:top w:val="nil"/>
              <w:left w:val="nil"/>
              <w:bottom w:val="nil"/>
              <w:right w:val="nil"/>
            </w:tcBorders>
            <w:shd w:val="clear" w:color="auto" w:fill="auto"/>
            <w:noWrap/>
            <w:vAlign w:val="bottom"/>
            <w:hideMark/>
          </w:tcPr>
          <w:p w14:paraId="6576813D"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77,675.3</w:t>
            </w:r>
          </w:p>
        </w:tc>
        <w:tc>
          <w:tcPr>
            <w:tcW w:w="1432" w:type="dxa"/>
            <w:gridSpan w:val="3"/>
            <w:tcBorders>
              <w:top w:val="nil"/>
              <w:left w:val="nil"/>
              <w:bottom w:val="nil"/>
              <w:right w:val="nil"/>
            </w:tcBorders>
            <w:shd w:val="clear" w:color="auto" w:fill="auto"/>
            <w:noWrap/>
            <w:vAlign w:val="bottom"/>
            <w:hideMark/>
          </w:tcPr>
          <w:p w14:paraId="0E48F382"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24,733.8</w:t>
            </w:r>
          </w:p>
        </w:tc>
        <w:tc>
          <w:tcPr>
            <w:tcW w:w="2178" w:type="dxa"/>
            <w:gridSpan w:val="2"/>
            <w:tcBorders>
              <w:top w:val="nil"/>
              <w:left w:val="nil"/>
              <w:bottom w:val="nil"/>
              <w:right w:val="nil"/>
            </w:tcBorders>
            <w:shd w:val="clear" w:color="auto" w:fill="auto"/>
            <w:noWrap/>
            <w:vAlign w:val="bottom"/>
            <w:hideMark/>
          </w:tcPr>
          <w:p w14:paraId="1FB26D63"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4D409623" w14:textId="77777777" w:rsidTr="00B52C55">
        <w:trPr>
          <w:trHeight w:val="300"/>
        </w:trPr>
        <w:tc>
          <w:tcPr>
            <w:tcW w:w="1353" w:type="dxa"/>
            <w:tcBorders>
              <w:top w:val="nil"/>
              <w:left w:val="nil"/>
              <w:bottom w:val="nil"/>
              <w:right w:val="nil"/>
            </w:tcBorders>
            <w:shd w:val="clear" w:color="auto" w:fill="auto"/>
            <w:noWrap/>
            <w:vAlign w:val="bottom"/>
            <w:hideMark/>
          </w:tcPr>
          <w:p w14:paraId="7E9CF156"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65E3619B"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2007-2003</w:t>
            </w:r>
          </w:p>
        </w:tc>
        <w:tc>
          <w:tcPr>
            <w:tcW w:w="1276" w:type="dxa"/>
            <w:tcBorders>
              <w:top w:val="nil"/>
              <w:left w:val="nil"/>
              <w:bottom w:val="nil"/>
              <w:right w:val="nil"/>
            </w:tcBorders>
            <w:shd w:val="clear" w:color="auto" w:fill="auto"/>
            <w:noWrap/>
            <w:vAlign w:val="bottom"/>
            <w:hideMark/>
          </w:tcPr>
          <w:p w14:paraId="5F2470C4"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10,929.9</w:t>
            </w:r>
          </w:p>
        </w:tc>
        <w:tc>
          <w:tcPr>
            <w:tcW w:w="1417" w:type="dxa"/>
            <w:gridSpan w:val="2"/>
            <w:tcBorders>
              <w:top w:val="nil"/>
              <w:left w:val="nil"/>
              <w:bottom w:val="nil"/>
              <w:right w:val="nil"/>
            </w:tcBorders>
            <w:shd w:val="clear" w:color="auto" w:fill="auto"/>
            <w:noWrap/>
            <w:vAlign w:val="bottom"/>
            <w:hideMark/>
          </w:tcPr>
          <w:p w14:paraId="1406F9E7"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-99,174.2</w:t>
            </w:r>
          </w:p>
        </w:tc>
        <w:tc>
          <w:tcPr>
            <w:tcW w:w="1261" w:type="dxa"/>
            <w:gridSpan w:val="2"/>
            <w:tcBorders>
              <w:top w:val="nil"/>
              <w:left w:val="nil"/>
              <w:bottom w:val="nil"/>
              <w:right w:val="nil"/>
            </w:tcBorders>
            <w:shd w:val="clear" w:color="auto" w:fill="auto"/>
            <w:noWrap/>
            <w:vAlign w:val="bottom"/>
            <w:hideMark/>
          </w:tcPr>
          <w:p w14:paraId="6AADDF91"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-32,667.4</w:t>
            </w:r>
          </w:p>
        </w:tc>
        <w:tc>
          <w:tcPr>
            <w:tcW w:w="1261" w:type="dxa"/>
            <w:tcBorders>
              <w:top w:val="nil"/>
              <w:left w:val="nil"/>
              <w:bottom w:val="nil"/>
              <w:right w:val="nil"/>
            </w:tcBorders>
            <w:shd w:val="clear" w:color="auto" w:fill="auto"/>
            <w:noWrap/>
            <w:vAlign w:val="bottom"/>
            <w:hideMark/>
          </w:tcPr>
          <w:p w14:paraId="2B66B6E9"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108,660.3</w:t>
            </w:r>
          </w:p>
        </w:tc>
        <w:tc>
          <w:tcPr>
            <w:tcW w:w="1432" w:type="dxa"/>
            <w:gridSpan w:val="3"/>
            <w:tcBorders>
              <w:top w:val="nil"/>
              <w:left w:val="nil"/>
              <w:bottom w:val="nil"/>
              <w:right w:val="nil"/>
            </w:tcBorders>
            <w:shd w:val="clear" w:color="auto" w:fill="auto"/>
            <w:noWrap/>
            <w:vAlign w:val="bottom"/>
            <w:hideMark/>
          </w:tcPr>
          <w:p w14:paraId="1E83DE71"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-12,251.4</w:t>
            </w:r>
          </w:p>
        </w:tc>
        <w:tc>
          <w:tcPr>
            <w:tcW w:w="2178" w:type="dxa"/>
            <w:gridSpan w:val="2"/>
            <w:tcBorders>
              <w:top w:val="nil"/>
              <w:left w:val="nil"/>
              <w:bottom w:val="nil"/>
              <w:right w:val="nil"/>
            </w:tcBorders>
            <w:shd w:val="clear" w:color="auto" w:fill="auto"/>
            <w:noWrap/>
            <w:vAlign w:val="bottom"/>
            <w:hideMark/>
          </w:tcPr>
          <w:p w14:paraId="43F947B4"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3FAD5C24" w14:textId="77777777" w:rsidTr="00B52C55">
        <w:trPr>
          <w:trHeight w:val="300"/>
        </w:trPr>
        <w:tc>
          <w:tcPr>
            <w:tcW w:w="1353" w:type="dxa"/>
            <w:tcBorders>
              <w:top w:val="nil"/>
              <w:left w:val="nil"/>
              <w:bottom w:val="single" w:sz="4" w:space="0" w:color="auto"/>
              <w:right w:val="nil"/>
            </w:tcBorders>
            <w:shd w:val="clear" w:color="auto" w:fill="auto"/>
            <w:noWrap/>
            <w:vAlign w:val="bottom"/>
            <w:hideMark/>
          </w:tcPr>
          <w:p w14:paraId="41CC9D13"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 </w:t>
            </w:r>
          </w:p>
        </w:tc>
        <w:tc>
          <w:tcPr>
            <w:tcW w:w="1276" w:type="dxa"/>
            <w:gridSpan w:val="2"/>
            <w:tcBorders>
              <w:top w:val="nil"/>
              <w:left w:val="nil"/>
              <w:bottom w:val="single" w:sz="4" w:space="0" w:color="auto"/>
              <w:right w:val="nil"/>
            </w:tcBorders>
            <w:shd w:val="clear" w:color="auto" w:fill="auto"/>
            <w:noWrap/>
            <w:vAlign w:val="bottom"/>
            <w:hideMark/>
          </w:tcPr>
          <w:p w14:paraId="61B2AC01"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2007-1995</w:t>
            </w:r>
          </w:p>
        </w:tc>
        <w:tc>
          <w:tcPr>
            <w:tcW w:w="1276" w:type="dxa"/>
            <w:tcBorders>
              <w:top w:val="nil"/>
              <w:left w:val="nil"/>
              <w:bottom w:val="single" w:sz="4" w:space="0" w:color="auto"/>
              <w:right w:val="nil"/>
            </w:tcBorders>
            <w:shd w:val="clear" w:color="auto" w:fill="auto"/>
            <w:noWrap/>
            <w:vAlign w:val="bottom"/>
            <w:hideMark/>
          </w:tcPr>
          <w:p w14:paraId="1E7D94DB"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-8,465.3</w:t>
            </w:r>
          </w:p>
        </w:tc>
        <w:tc>
          <w:tcPr>
            <w:tcW w:w="1417" w:type="dxa"/>
            <w:gridSpan w:val="2"/>
            <w:tcBorders>
              <w:top w:val="nil"/>
              <w:left w:val="nil"/>
              <w:bottom w:val="single" w:sz="4" w:space="0" w:color="auto"/>
              <w:right w:val="nil"/>
            </w:tcBorders>
            <w:shd w:val="clear" w:color="auto" w:fill="auto"/>
            <w:noWrap/>
            <w:vAlign w:val="bottom"/>
            <w:hideMark/>
          </w:tcPr>
          <w:p w14:paraId="52C45E03"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-216,845.6</w:t>
            </w:r>
          </w:p>
        </w:tc>
        <w:tc>
          <w:tcPr>
            <w:tcW w:w="1261" w:type="dxa"/>
            <w:gridSpan w:val="2"/>
            <w:tcBorders>
              <w:top w:val="nil"/>
              <w:left w:val="nil"/>
              <w:bottom w:val="single" w:sz="4" w:space="0" w:color="auto"/>
              <w:right w:val="nil"/>
            </w:tcBorders>
            <w:shd w:val="clear" w:color="auto" w:fill="auto"/>
            <w:noWrap/>
            <w:vAlign w:val="bottom"/>
            <w:hideMark/>
          </w:tcPr>
          <w:p w14:paraId="52578BBB"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-33,117.6</w:t>
            </w:r>
          </w:p>
        </w:tc>
        <w:tc>
          <w:tcPr>
            <w:tcW w:w="1261" w:type="dxa"/>
            <w:tcBorders>
              <w:top w:val="nil"/>
              <w:left w:val="nil"/>
              <w:bottom w:val="single" w:sz="4" w:space="0" w:color="auto"/>
              <w:right w:val="nil"/>
            </w:tcBorders>
            <w:shd w:val="clear" w:color="auto" w:fill="auto"/>
            <w:noWrap/>
            <w:vAlign w:val="bottom"/>
            <w:hideMark/>
          </w:tcPr>
          <w:p w14:paraId="03985B54"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272,307.9</w:t>
            </w:r>
          </w:p>
        </w:tc>
        <w:tc>
          <w:tcPr>
            <w:tcW w:w="1432" w:type="dxa"/>
            <w:gridSpan w:val="3"/>
            <w:tcBorders>
              <w:top w:val="nil"/>
              <w:left w:val="nil"/>
              <w:bottom w:val="single" w:sz="4" w:space="0" w:color="auto"/>
              <w:right w:val="nil"/>
            </w:tcBorders>
            <w:shd w:val="clear" w:color="auto" w:fill="auto"/>
            <w:noWrap/>
            <w:vAlign w:val="bottom"/>
            <w:hideMark/>
          </w:tcPr>
          <w:p w14:paraId="06F4698E"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13,879.4</w:t>
            </w:r>
          </w:p>
        </w:tc>
        <w:tc>
          <w:tcPr>
            <w:tcW w:w="2178" w:type="dxa"/>
            <w:gridSpan w:val="2"/>
            <w:tcBorders>
              <w:top w:val="nil"/>
              <w:left w:val="nil"/>
              <w:bottom w:val="nil"/>
              <w:right w:val="nil"/>
            </w:tcBorders>
            <w:shd w:val="clear" w:color="auto" w:fill="auto"/>
            <w:noWrap/>
            <w:vAlign w:val="bottom"/>
            <w:hideMark/>
          </w:tcPr>
          <w:p w14:paraId="69821D5D"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1DB91D2E" w14:textId="77777777" w:rsidTr="00B52C55">
        <w:trPr>
          <w:trHeight w:val="300"/>
        </w:trPr>
        <w:tc>
          <w:tcPr>
            <w:tcW w:w="1353" w:type="dxa"/>
            <w:tcBorders>
              <w:top w:val="nil"/>
              <w:left w:val="nil"/>
              <w:bottom w:val="nil"/>
              <w:right w:val="nil"/>
            </w:tcBorders>
            <w:shd w:val="clear" w:color="auto" w:fill="auto"/>
            <w:noWrap/>
            <w:vAlign w:val="bottom"/>
            <w:hideMark/>
          </w:tcPr>
          <w:p w14:paraId="78B4A55F"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United States</w:t>
            </w:r>
          </w:p>
        </w:tc>
        <w:tc>
          <w:tcPr>
            <w:tcW w:w="1276" w:type="dxa"/>
            <w:gridSpan w:val="2"/>
            <w:tcBorders>
              <w:top w:val="nil"/>
              <w:left w:val="nil"/>
              <w:bottom w:val="nil"/>
              <w:right w:val="nil"/>
            </w:tcBorders>
            <w:shd w:val="clear" w:color="auto" w:fill="auto"/>
            <w:noWrap/>
            <w:vAlign w:val="bottom"/>
            <w:hideMark/>
          </w:tcPr>
          <w:p w14:paraId="4539149D"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1999-1995</w:t>
            </w:r>
          </w:p>
        </w:tc>
        <w:tc>
          <w:tcPr>
            <w:tcW w:w="1276" w:type="dxa"/>
            <w:tcBorders>
              <w:top w:val="nil"/>
              <w:left w:val="nil"/>
              <w:bottom w:val="nil"/>
              <w:right w:val="nil"/>
            </w:tcBorders>
            <w:shd w:val="clear" w:color="auto" w:fill="auto"/>
            <w:noWrap/>
            <w:vAlign w:val="bottom"/>
            <w:hideMark/>
          </w:tcPr>
          <w:p w14:paraId="39D8A27A"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27,843.7</w:t>
            </w:r>
          </w:p>
        </w:tc>
        <w:tc>
          <w:tcPr>
            <w:tcW w:w="1417" w:type="dxa"/>
            <w:gridSpan w:val="2"/>
            <w:tcBorders>
              <w:top w:val="nil"/>
              <w:left w:val="nil"/>
              <w:bottom w:val="nil"/>
              <w:right w:val="nil"/>
            </w:tcBorders>
            <w:shd w:val="clear" w:color="auto" w:fill="auto"/>
            <w:noWrap/>
            <w:vAlign w:val="bottom"/>
            <w:hideMark/>
          </w:tcPr>
          <w:p w14:paraId="46DDFB2F"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-512,675.6</w:t>
            </w:r>
          </w:p>
        </w:tc>
        <w:tc>
          <w:tcPr>
            <w:tcW w:w="1261" w:type="dxa"/>
            <w:gridSpan w:val="2"/>
            <w:tcBorders>
              <w:top w:val="nil"/>
              <w:left w:val="nil"/>
              <w:bottom w:val="nil"/>
              <w:right w:val="nil"/>
            </w:tcBorders>
            <w:shd w:val="clear" w:color="auto" w:fill="auto"/>
            <w:noWrap/>
            <w:vAlign w:val="bottom"/>
            <w:hideMark/>
          </w:tcPr>
          <w:p w14:paraId="4CFA243F"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170,976.1</w:t>
            </w:r>
          </w:p>
        </w:tc>
        <w:tc>
          <w:tcPr>
            <w:tcW w:w="1261" w:type="dxa"/>
            <w:tcBorders>
              <w:top w:val="nil"/>
              <w:left w:val="nil"/>
              <w:bottom w:val="nil"/>
              <w:right w:val="nil"/>
            </w:tcBorders>
            <w:shd w:val="clear" w:color="auto" w:fill="auto"/>
            <w:noWrap/>
            <w:vAlign w:val="bottom"/>
            <w:hideMark/>
          </w:tcPr>
          <w:p w14:paraId="334D6D7D"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716,881.0</w:t>
            </w:r>
          </w:p>
        </w:tc>
        <w:tc>
          <w:tcPr>
            <w:tcW w:w="1432" w:type="dxa"/>
            <w:gridSpan w:val="3"/>
            <w:tcBorders>
              <w:top w:val="nil"/>
              <w:left w:val="nil"/>
              <w:bottom w:val="nil"/>
              <w:right w:val="nil"/>
            </w:tcBorders>
            <w:shd w:val="clear" w:color="auto" w:fill="auto"/>
            <w:noWrap/>
            <w:vAlign w:val="bottom"/>
            <w:hideMark/>
          </w:tcPr>
          <w:p w14:paraId="3C6E1DC4"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403,025.1</w:t>
            </w:r>
          </w:p>
        </w:tc>
        <w:tc>
          <w:tcPr>
            <w:tcW w:w="2178" w:type="dxa"/>
            <w:gridSpan w:val="2"/>
            <w:tcBorders>
              <w:top w:val="nil"/>
              <w:left w:val="nil"/>
              <w:bottom w:val="nil"/>
              <w:right w:val="nil"/>
            </w:tcBorders>
            <w:shd w:val="clear" w:color="auto" w:fill="auto"/>
            <w:noWrap/>
            <w:vAlign w:val="bottom"/>
            <w:hideMark/>
          </w:tcPr>
          <w:p w14:paraId="6778BB5F"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17D45BD8" w14:textId="77777777" w:rsidTr="00B52C55">
        <w:trPr>
          <w:trHeight w:val="300"/>
        </w:trPr>
        <w:tc>
          <w:tcPr>
            <w:tcW w:w="1353" w:type="dxa"/>
            <w:tcBorders>
              <w:top w:val="nil"/>
              <w:left w:val="nil"/>
              <w:bottom w:val="nil"/>
              <w:right w:val="nil"/>
            </w:tcBorders>
            <w:shd w:val="clear" w:color="auto" w:fill="auto"/>
            <w:noWrap/>
            <w:vAlign w:val="bottom"/>
            <w:hideMark/>
          </w:tcPr>
          <w:p w14:paraId="61A1363D"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00AABBC6"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2003-1999</w:t>
            </w:r>
          </w:p>
        </w:tc>
        <w:tc>
          <w:tcPr>
            <w:tcW w:w="1276" w:type="dxa"/>
            <w:tcBorders>
              <w:top w:val="nil"/>
              <w:left w:val="nil"/>
              <w:bottom w:val="nil"/>
              <w:right w:val="nil"/>
            </w:tcBorders>
            <w:shd w:val="clear" w:color="auto" w:fill="auto"/>
            <w:noWrap/>
            <w:vAlign w:val="bottom"/>
            <w:hideMark/>
          </w:tcPr>
          <w:p w14:paraId="30F246D7"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-13,026.1</w:t>
            </w:r>
          </w:p>
        </w:tc>
        <w:tc>
          <w:tcPr>
            <w:tcW w:w="1417" w:type="dxa"/>
            <w:gridSpan w:val="2"/>
            <w:tcBorders>
              <w:top w:val="nil"/>
              <w:left w:val="nil"/>
              <w:bottom w:val="nil"/>
              <w:right w:val="nil"/>
            </w:tcBorders>
            <w:shd w:val="clear" w:color="auto" w:fill="auto"/>
            <w:noWrap/>
            <w:vAlign w:val="bottom"/>
            <w:hideMark/>
          </w:tcPr>
          <w:p w14:paraId="59946A84"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-410,035.6</w:t>
            </w:r>
          </w:p>
        </w:tc>
        <w:tc>
          <w:tcPr>
            <w:tcW w:w="1261" w:type="dxa"/>
            <w:gridSpan w:val="2"/>
            <w:tcBorders>
              <w:top w:val="nil"/>
              <w:left w:val="nil"/>
              <w:bottom w:val="nil"/>
              <w:right w:val="nil"/>
            </w:tcBorders>
            <w:shd w:val="clear" w:color="auto" w:fill="auto"/>
            <w:noWrap/>
            <w:vAlign w:val="bottom"/>
            <w:hideMark/>
          </w:tcPr>
          <w:p w14:paraId="2DC72913"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-182,763.2</w:t>
            </w:r>
          </w:p>
        </w:tc>
        <w:tc>
          <w:tcPr>
            <w:tcW w:w="1261" w:type="dxa"/>
            <w:tcBorders>
              <w:top w:val="nil"/>
              <w:left w:val="nil"/>
              <w:bottom w:val="nil"/>
              <w:right w:val="nil"/>
            </w:tcBorders>
            <w:shd w:val="clear" w:color="auto" w:fill="auto"/>
            <w:noWrap/>
            <w:vAlign w:val="bottom"/>
            <w:hideMark/>
          </w:tcPr>
          <w:p w14:paraId="4C7F9B43"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694,926.1</w:t>
            </w:r>
          </w:p>
        </w:tc>
        <w:tc>
          <w:tcPr>
            <w:tcW w:w="1432" w:type="dxa"/>
            <w:gridSpan w:val="3"/>
            <w:tcBorders>
              <w:top w:val="nil"/>
              <w:left w:val="nil"/>
              <w:bottom w:val="nil"/>
              <w:right w:val="nil"/>
            </w:tcBorders>
            <w:shd w:val="clear" w:color="auto" w:fill="auto"/>
            <w:noWrap/>
            <w:vAlign w:val="bottom"/>
            <w:hideMark/>
          </w:tcPr>
          <w:p w14:paraId="56743F9E"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89,101.1</w:t>
            </w:r>
          </w:p>
        </w:tc>
        <w:tc>
          <w:tcPr>
            <w:tcW w:w="2178" w:type="dxa"/>
            <w:gridSpan w:val="2"/>
            <w:tcBorders>
              <w:top w:val="nil"/>
              <w:left w:val="nil"/>
              <w:bottom w:val="nil"/>
              <w:right w:val="nil"/>
            </w:tcBorders>
            <w:shd w:val="clear" w:color="auto" w:fill="auto"/>
            <w:noWrap/>
            <w:vAlign w:val="bottom"/>
            <w:hideMark/>
          </w:tcPr>
          <w:p w14:paraId="44B967EA"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6ACE7318" w14:textId="77777777" w:rsidTr="00B52C55">
        <w:trPr>
          <w:trHeight w:val="300"/>
        </w:trPr>
        <w:tc>
          <w:tcPr>
            <w:tcW w:w="1353" w:type="dxa"/>
            <w:tcBorders>
              <w:top w:val="nil"/>
              <w:left w:val="nil"/>
              <w:bottom w:val="nil"/>
              <w:right w:val="nil"/>
            </w:tcBorders>
            <w:shd w:val="clear" w:color="auto" w:fill="auto"/>
            <w:noWrap/>
            <w:vAlign w:val="bottom"/>
            <w:hideMark/>
          </w:tcPr>
          <w:p w14:paraId="48D42D28"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gridSpan w:val="2"/>
            <w:tcBorders>
              <w:top w:val="nil"/>
              <w:left w:val="nil"/>
              <w:bottom w:val="nil"/>
              <w:right w:val="nil"/>
            </w:tcBorders>
            <w:shd w:val="clear" w:color="auto" w:fill="auto"/>
            <w:noWrap/>
            <w:vAlign w:val="bottom"/>
            <w:hideMark/>
          </w:tcPr>
          <w:p w14:paraId="0ED54082"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2007-2003</w:t>
            </w:r>
          </w:p>
        </w:tc>
        <w:tc>
          <w:tcPr>
            <w:tcW w:w="1276" w:type="dxa"/>
            <w:tcBorders>
              <w:top w:val="nil"/>
              <w:left w:val="nil"/>
              <w:bottom w:val="nil"/>
              <w:right w:val="nil"/>
            </w:tcBorders>
            <w:shd w:val="clear" w:color="auto" w:fill="auto"/>
            <w:noWrap/>
            <w:vAlign w:val="bottom"/>
            <w:hideMark/>
          </w:tcPr>
          <w:p w14:paraId="26188110"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-72,329.4</w:t>
            </w:r>
          </w:p>
        </w:tc>
        <w:tc>
          <w:tcPr>
            <w:tcW w:w="1417" w:type="dxa"/>
            <w:gridSpan w:val="2"/>
            <w:tcBorders>
              <w:top w:val="nil"/>
              <w:left w:val="nil"/>
              <w:bottom w:val="nil"/>
              <w:right w:val="nil"/>
            </w:tcBorders>
            <w:shd w:val="clear" w:color="auto" w:fill="auto"/>
            <w:noWrap/>
            <w:vAlign w:val="bottom"/>
            <w:hideMark/>
          </w:tcPr>
          <w:p w14:paraId="151C0161"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-413,426.5</w:t>
            </w:r>
          </w:p>
        </w:tc>
        <w:tc>
          <w:tcPr>
            <w:tcW w:w="1261" w:type="dxa"/>
            <w:gridSpan w:val="2"/>
            <w:tcBorders>
              <w:top w:val="nil"/>
              <w:left w:val="nil"/>
              <w:bottom w:val="nil"/>
              <w:right w:val="nil"/>
            </w:tcBorders>
            <w:shd w:val="clear" w:color="auto" w:fill="auto"/>
            <w:noWrap/>
            <w:vAlign w:val="bottom"/>
            <w:hideMark/>
          </w:tcPr>
          <w:p w14:paraId="6E6DB369"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-348,726.7</w:t>
            </w:r>
          </w:p>
        </w:tc>
        <w:tc>
          <w:tcPr>
            <w:tcW w:w="1261" w:type="dxa"/>
            <w:tcBorders>
              <w:top w:val="nil"/>
              <w:left w:val="nil"/>
              <w:bottom w:val="nil"/>
              <w:right w:val="nil"/>
            </w:tcBorders>
            <w:shd w:val="clear" w:color="auto" w:fill="auto"/>
            <w:noWrap/>
            <w:vAlign w:val="bottom"/>
            <w:hideMark/>
          </w:tcPr>
          <w:p w14:paraId="0188C6CC"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981,233.7</w:t>
            </w:r>
          </w:p>
        </w:tc>
        <w:tc>
          <w:tcPr>
            <w:tcW w:w="1432" w:type="dxa"/>
            <w:gridSpan w:val="3"/>
            <w:tcBorders>
              <w:top w:val="nil"/>
              <w:left w:val="nil"/>
              <w:bottom w:val="nil"/>
              <w:right w:val="nil"/>
            </w:tcBorders>
            <w:shd w:val="clear" w:color="auto" w:fill="auto"/>
            <w:noWrap/>
            <w:vAlign w:val="bottom"/>
            <w:hideMark/>
          </w:tcPr>
          <w:p w14:paraId="773F3920"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146,751.1</w:t>
            </w:r>
          </w:p>
        </w:tc>
        <w:tc>
          <w:tcPr>
            <w:tcW w:w="2178" w:type="dxa"/>
            <w:gridSpan w:val="2"/>
            <w:tcBorders>
              <w:top w:val="nil"/>
              <w:left w:val="nil"/>
              <w:bottom w:val="nil"/>
              <w:right w:val="nil"/>
            </w:tcBorders>
            <w:shd w:val="clear" w:color="auto" w:fill="auto"/>
            <w:noWrap/>
            <w:vAlign w:val="bottom"/>
            <w:hideMark/>
          </w:tcPr>
          <w:p w14:paraId="4F7F8998"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1695928A" w14:textId="77777777" w:rsidTr="00B52C55">
        <w:trPr>
          <w:trHeight w:val="300"/>
        </w:trPr>
        <w:tc>
          <w:tcPr>
            <w:tcW w:w="1353" w:type="dxa"/>
            <w:tcBorders>
              <w:top w:val="nil"/>
              <w:left w:val="nil"/>
              <w:bottom w:val="single" w:sz="4" w:space="0" w:color="auto"/>
              <w:right w:val="nil"/>
            </w:tcBorders>
            <w:shd w:val="clear" w:color="auto" w:fill="auto"/>
            <w:noWrap/>
            <w:vAlign w:val="bottom"/>
            <w:hideMark/>
          </w:tcPr>
          <w:p w14:paraId="0D22489F"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 </w:t>
            </w:r>
          </w:p>
        </w:tc>
        <w:tc>
          <w:tcPr>
            <w:tcW w:w="1276" w:type="dxa"/>
            <w:gridSpan w:val="2"/>
            <w:tcBorders>
              <w:top w:val="nil"/>
              <w:left w:val="nil"/>
              <w:bottom w:val="single" w:sz="4" w:space="0" w:color="auto"/>
              <w:right w:val="nil"/>
            </w:tcBorders>
            <w:shd w:val="clear" w:color="auto" w:fill="auto"/>
            <w:noWrap/>
            <w:vAlign w:val="bottom"/>
            <w:hideMark/>
          </w:tcPr>
          <w:p w14:paraId="7748BAA0"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2007-1995</w:t>
            </w:r>
          </w:p>
        </w:tc>
        <w:tc>
          <w:tcPr>
            <w:tcW w:w="1276" w:type="dxa"/>
            <w:tcBorders>
              <w:top w:val="nil"/>
              <w:left w:val="nil"/>
              <w:bottom w:val="single" w:sz="4" w:space="0" w:color="auto"/>
              <w:right w:val="nil"/>
            </w:tcBorders>
            <w:shd w:val="clear" w:color="auto" w:fill="auto"/>
            <w:noWrap/>
            <w:vAlign w:val="bottom"/>
            <w:hideMark/>
          </w:tcPr>
          <w:p w14:paraId="3C2C752D"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-54,257.7</w:t>
            </w:r>
          </w:p>
        </w:tc>
        <w:tc>
          <w:tcPr>
            <w:tcW w:w="1417" w:type="dxa"/>
            <w:gridSpan w:val="2"/>
            <w:tcBorders>
              <w:top w:val="nil"/>
              <w:left w:val="nil"/>
              <w:bottom w:val="single" w:sz="4" w:space="0" w:color="auto"/>
              <w:right w:val="nil"/>
            </w:tcBorders>
            <w:shd w:val="clear" w:color="auto" w:fill="auto"/>
            <w:noWrap/>
            <w:vAlign w:val="bottom"/>
            <w:hideMark/>
          </w:tcPr>
          <w:p w14:paraId="10980C4D"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-1,346,930.9</w:t>
            </w:r>
          </w:p>
        </w:tc>
        <w:tc>
          <w:tcPr>
            <w:tcW w:w="1261" w:type="dxa"/>
            <w:gridSpan w:val="2"/>
            <w:tcBorders>
              <w:top w:val="nil"/>
              <w:left w:val="nil"/>
              <w:bottom w:val="single" w:sz="4" w:space="0" w:color="auto"/>
              <w:right w:val="nil"/>
            </w:tcBorders>
            <w:shd w:val="clear" w:color="auto" w:fill="auto"/>
            <w:noWrap/>
            <w:vAlign w:val="bottom"/>
            <w:hideMark/>
          </w:tcPr>
          <w:p w14:paraId="341CAE5B"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-342,761.1</w:t>
            </w:r>
          </w:p>
        </w:tc>
        <w:tc>
          <w:tcPr>
            <w:tcW w:w="1261" w:type="dxa"/>
            <w:tcBorders>
              <w:top w:val="nil"/>
              <w:left w:val="nil"/>
              <w:bottom w:val="single" w:sz="4" w:space="0" w:color="auto"/>
              <w:right w:val="nil"/>
            </w:tcBorders>
            <w:shd w:val="clear" w:color="auto" w:fill="auto"/>
            <w:noWrap/>
            <w:vAlign w:val="bottom"/>
            <w:hideMark/>
          </w:tcPr>
          <w:p w14:paraId="4B599E5E"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2,382,827.1</w:t>
            </w:r>
          </w:p>
        </w:tc>
        <w:tc>
          <w:tcPr>
            <w:tcW w:w="1432" w:type="dxa"/>
            <w:gridSpan w:val="3"/>
            <w:tcBorders>
              <w:top w:val="nil"/>
              <w:left w:val="nil"/>
              <w:bottom w:val="single" w:sz="4" w:space="0" w:color="auto"/>
              <w:right w:val="nil"/>
            </w:tcBorders>
            <w:shd w:val="clear" w:color="auto" w:fill="auto"/>
            <w:noWrap/>
            <w:vAlign w:val="bottom"/>
            <w:hideMark/>
          </w:tcPr>
          <w:p w14:paraId="481D56A9" w14:textId="77777777" w:rsidR="00560991" w:rsidRPr="00560991" w:rsidRDefault="00560991" w:rsidP="00560991">
            <w:pPr>
              <w:spacing w:after="0" w:line="240" w:lineRule="auto"/>
              <w:jc w:val="right"/>
              <w:rPr>
                <w:rFonts w:ascii="Times New Roman" w:eastAsia="Times New Roman" w:hAnsi="Times New Roman" w:cs="Times New Roman"/>
                <w:color w:val="000000"/>
                <w:lang w:eastAsia="en-GB"/>
              </w:rPr>
            </w:pPr>
            <w:r w:rsidRPr="00560991">
              <w:rPr>
                <w:rFonts w:ascii="Times New Roman" w:eastAsia="Times New Roman" w:hAnsi="Times New Roman" w:cs="Times New Roman"/>
                <w:color w:val="000000"/>
                <w:lang w:eastAsia="en-GB"/>
              </w:rPr>
              <w:t>638,877.4</w:t>
            </w:r>
          </w:p>
        </w:tc>
        <w:tc>
          <w:tcPr>
            <w:tcW w:w="2178" w:type="dxa"/>
            <w:gridSpan w:val="2"/>
            <w:tcBorders>
              <w:top w:val="nil"/>
              <w:left w:val="nil"/>
              <w:bottom w:val="nil"/>
              <w:right w:val="nil"/>
            </w:tcBorders>
            <w:shd w:val="clear" w:color="auto" w:fill="auto"/>
            <w:noWrap/>
            <w:vAlign w:val="bottom"/>
            <w:hideMark/>
          </w:tcPr>
          <w:p w14:paraId="28927B6B"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6056F9F0" w14:textId="77777777" w:rsidTr="00B52C55">
        <w:trPr>
          <w:trHeight w:val="300"/>
        </w:trPr>
        <w:tc>
          <w:tcPr>
            <w:tcW w:w="1430" w:type="dxa"/>
            <w:gridSpan w:val="2"/>
            <w:tcBorders>
              <w:top w:val="nil"/>
              <w:left w:val="nil"/>
              <w:bottom w:val="nil"/>
              <w:right w:val="nil"/>
            </w:tcBorders>
            <w:shd w:val="clear" w:color="auto" w:fill="auto"/>
            <w:noWrap/>
            <w:vAlign w:val="bottom"/>
            <w:hideMark/>
          </w:tcPr>
          <w:p w14:paraId="0323635F"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199" w:type="dxa"/>
            <w:tcBorders>
              <w:top w:val="nil"/>
              <w:left w:val="nil"/>
              <w:bottom w:val="nil"/>
              <w:right w:val="nil"/>
            </w:tcBorders>
            <w:shd w:val="clear" w:color="auto" w:fill="auto"/>
            <w:noWrap/>
            <w:vAlign w:val="bottom"/>
            <w:hideMark/>
          </w:tcPr>
          <w:p w14:paraId="7FA7DF91"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76" w:type="dxa"/>
            <w:tcBorders>
              <w:top w:val="nil"/>
              <w:left w:val="nil"/>
              <w:bottom w:val="nil"/>
              <w:right w:val="nil"/>
            </w:tcBorders>
            <w:shd w:val="clear" w:color="auto" w:fill="auto"/>
            <w:noWrap/>
            <w:vAlign w:val="bottom"/>
            <w:hideMark/>
          </w:tcPr>
          <w:p w14:paraId="6638B663"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417" w:type="dxa"/>
            <w:gridSpan w:val="2"/>
            <w:tcBorders>
              <w:top w:val="nil"/>
              <w:left w:val="nil"/>
              <w:bottom w:val="nil"/>
              <w:right w:val="nil"/>
            </w:tcBorders>
            <w:shd w:val="clear" w:color="auto" w:fill="auto"/>
            <w:noWrap/>
            <w:vAlign w:val="bottom"/>
            <w:hideMark/>
          </w:tcPr>
          <w:p w14:paraId="28B9D659"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61" w:type="dxa"/>
            <w:gridSpan w:val="2"/>
            <w:tcBorders>
              <w:top w:val="nil"/>
              <w:left w:val="nil"/>
              <w:bottom w:val="nil"/>
              <w:right w:val="nil"/>
            </w:tcBorders>
            <w:shd w:val="clear" w:color="auto" w:fill="auto"/>
            <w:noWrap/>
            <w:vAlign w:val="bottom"/>
            <w:hideMark/>
          </w:tcPr>
          <w:p w14:paraId="7C60DAC3"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261" w:type="dxa"/>
            <w:tcBorders>
              <w:top w:val="nil"/>
              <w:left w:val="nil"/>
              <w:bottom w:val="nil"/>
              <w:right w:val="nil"/>
            </w:tcBorders>
            <w:shd w:val="clear" w:color="auto" w:fill="auto"/>
            <w:noWrap/>
            <w:vAlign w:val="bottom"/>
            <w:hideMark/>
          </w:tcPr>
          <w:p w14:paraId="2AB56127"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1432" w:type="dxa"/>
            <w:gridSpan w:val="3"/>
            <w:tcBorders>
              <w:top w:val="nil"/>
              <w:left w:val="nil"/>
              <w:bottom w:val="nil"/>
              <w:right w:val="nil"/>
            </w:tcBorders>
            <w:shd w:val="clear" w:color="auto" w:fill="auto"/>
            <w:noWrap/>
            <w:vAlign w:val="bottom"/>
            <w:hideMark/>
          </w:tcPr>
          <w:p w14:paraId="0B5CE7D1" w14:textId="77777777" w:rsidR="00560991" w:rsidRPr="00560991" w:rsidRDefault="00560991" w:rsidP="00560991">
            <w:pPr>
              <w:spacing w:after="0" w:line="240" w:lineRule="auto"/>
              <w:rPr>
                <w:rFonts w:ascii="Times New Roman" w:eastAsia="Times New Roman" w:hAnsi="Times New Roman" w:cs="Times New Roman"/>
                <w:color w:val="000000"/>
                <w:lang w:eastAsia="en-GB"/>
              </w:rPr>
            </w:pPr>
          </w:p>
        </w:tc>
        <w:tc>
          <w:tcPr>
            <w:tcW w:w="2178" w:type="dxa"/>
            <w:gridSpan w:val="2"/>
            <w:tcBorders>
              <w:top w:val="nil"/>
              <w:left w:val="nil"/>
              <w:bottom w:val="nil"/>
              <w:right w:val="nil"/>
            </w:tcBorders>
            <w:shd w:val="clear" w:color="auto" w:fill="auto"/>
            <w:noWrap/>
            <w:vAlign w:val="bottom"/>
            <w:hideMark/>
          </w:tcPr>
          <w:p w14:paraId="0635FDD1"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69A4BD8C" w14:textId="77777777" w:rsidTr="00B52C55">
        <w:trPr>
          <w:trHeight w:val="300"/>
        </w:trPr>
        <w:tc>
          <w:tcPr>
            <w:tcW w:w="1430" w:type="dxa"/>
            <w:gridSpan w:val="2"/>
            <w:tcBorders>
              <w:top w:val="nil"/>
              <w:left w:val="nil"/>
              <w:bottom w:val="nil"/>
              <w:right w:val="nil"/>
            </w:tcBorders>
            <w:shd w:val="clear" w:color="auto" w:fill="auto"/>
            <w:noWrap/>
            <w:vAlign w:val="bottom"/>
            <w:hideMark/>
          </w:tcPr>
          <w:p w14:paraId="03BF632D" w14:textId="77777777" w:rsidR="00560991" w:rsidRPr="00560991" w:rsidRDefault="00560991" w:rsidP="00560991">
            <w:pPr>
              <w:spacing w:after="0" w:line="240" w:lineRule="auto"/>
              <w:rPr>
                <w:rFonts w:ascii="Calibri" w:eastAsia="Times New Roman" w:hAnsi="Calibri" w:cs="Times New Roman"/>
                <w:color w:val="000000"/>
                <w:lang w:eastAsia="en-GB"/>
              </w:rPr>
            </w:pPr>
          </w:p>
        </w:tc>
        <w:tc>
          <w:tcPr>
            <w:tcW w:w="1199" w:type="dxa"/>
            <w:tcBorders>
              <w:top w:val="nil"/>
              <w:left w:val="nil"/>
              <w:bottom w:val="nil"/>
              <w:right w:val="nil"/>
            </w:tcBorders>
            <w:shd w:val="clear" w:color="auto" w:fill="auto"/>
            <w:noWrap/>
            <w:vAlign w:val="bottom"/>
            <w:hideMark/>
          </w:tcPr>
          <w:p w14:paraId="604C79E8" w14:textId="77777777" w:rsidR="00560991" w:rsidRPr="00560991" w:rsidRDefault="00560991" w:rsidP="00560991">
            <w:pPr>
              <w:spacing w:after="0" w:line="240" w:lineRule="auto"/>
              <w:rPr>
                <w:rFonts w:ascii="Calibri" w:eastAsia="Times New Roman" w:hAnsi="Calibri" w:cs="Times New Roman"/>
                <w:color w:val="000000"/>
                <w:lang w:eastAsia="en-GB"/>
              </w:rPr>
            </w:pPr>
          </w:p>
        </w:tc>
        <w:tc>
          <w:tcPr>
            <w:tcW w:w="2045" w:type="dxa"/>
            <w:gridSpan w:val="2"/>
            <w:tcBorders>
              <w:top w:val="nil"/>
              <w:left w:val="nil"/>
              <w:bottom w:val="nil"/>
              <w:right w:val="nil"/>
            </w:tcBorders>
            <w:shd w:val="clear" w:color="auto" w:fill="auto"/>
            <w:noWrap/>
            <w:vAlign w:val="bottom"/>
            <w:hideMark/>
          </w:tcPr>
          <w:p w14:paraId="70ED9AD6" w14:textId="77777777" w:rsidR="00560991" w:rsidRPr="00560991" w:rsidRDefault="00560991" w:rsidP="00560991">
            <w:pPr>
              <w:spacing w:after="0" w:line="240" w:lineRule="auto"/>
              <w:rPr>
                <w:rFonts w:ascii="Calibri" w:eastAsia="Times New Roman" w:hAnsi="Calibri" w:cs="Times New Roman"/>
                <w:color w:val="000000"/>
                <w:lang w:eastAsia="en-GB"/>
              </w:rPr>
            </w:pPr>
          </w:p>
        </w:tc>
        <w:tc>
          <w:tcPr>
            <w:tcW w:w="1424" w:type="dxa"/>
            <w:gridSpan w:val="2"/>
            <w:tcBorders>
              <w:top w:val="nil"/>
              <w:left w:val="nil"/>
              <w:bottom w:val="nil"/>
              <w:right w:val="nil"/>
            </w:tcBorders>
            <w:shd w:val="clear" w:color="auto" w:fill="auto"/>
            <w:noWrap/>
            <w:vAlign w:val="bottom"/>
            <w:hideMark/>
          </w:tcPr>
          <w:p w14:paraId="6659F09C" w14:textId="77777777" w:rsidR="00560991" w:rsidRPr="00560991" w:rsidRDefault="00560991" w:rsidP="00560991">
            <w:pPr>
              <w:spacing w:after="0" w:line="240" w:lineRule="auto"/>
              <w:rPr>
                <w:rFonts w:ascii="Calibri" w:eastAsia="Times New Roman" w:hAnsi="Calibri" w:cs="Times New Roman"/>
                <w:color w:val="000000"/>
                <w:lang w:eastAsia="en-GB"/>
              </w:rPr>
            </w:pPr>
          </w:p>
        </w:tc>
        <w:tc>
          <w:tcPr>
            <w:tcW w:w="1832" w:type="dxa"/>
            <w:gridSpan w:val="3"/>
            <w:tcBorders>
              <w:top w:val="nil"/>
              <w:left w:val="nil"/>
              <w:bottom w:val="nil"/>
              <w:right w:val="nil"/>
            </w:tcBorders>
            <w:shd w:val="clear" w:color="auto" w:fill="auto"/>
            <w:noWrap/>
            <w:vAlign w:val="bottom"/>
            <w:hideMark/>
          </w:tcPr>
          <w:p w14:paraId="23708E07" w14:textId="77777777" w:rsidR="00560991" w:rsidRPr="00560991" w:rsidRDefault="00560991" w:rsidP="00560991">
            <w:pPr>
              <w:spacing w:after="0" w:line="240" w:lineRule="auto"/>
              <w:rPr>
                <w:rFonts w:ascii="Calibri" w:eastAsia="Times New Roman" w:hAnsi="Calibri" w:cs="Times New Roman"/>
                <w:color w:val="000000"/>
                <w:lang w:eastAsia="en-GB"/>
              </w:rPr>
            </w:pPr>
          </w:p>
        </w:tc>
        <w:tc>
          <w:tcPr>
            <w:tcW w:w="1274" w:type="dxa"/>
            <w:tcBorders>
              <w:top w:val="nil"/>
              <w:left w:val="nil"/>
              <w:bottom w:val="nil"/>
              <w:right w:val="nil"/>
            </w:tcBorders>
            <w:shd w:val="clear" w:color="auto" w:fill="auto"/>
            <w:noWrap/>
            <w:vAlign w:val="bottom"/>
            <w:hideMark/>
          </w:tcPr>
          <w:p w14:paraId="300577F6" w14:textId="77777777" w:rsidR="00560991" w:rsidRPr="00560991" w:rsidRDefault="00560991" w:rsidP="00560991">
            <w:pPr>
              <w:spacing w:after="0" w:line="240" w:lineRule="auto"/>
              <w:rPr>
                <w:rFonts w:ascii="Calibri" w:eastAsia="Times New Roman" w:hAnsi="Calibri" w:cs="Times New Roman"/>
                <w:color w:val="000000"/>
                <w:lang w:eastAsia="en-GB"/>
              </w:rPr>
            </w:pPr>
          </w:p>
        </w:tc>
        <w:tc>
          <w:tcPr>
            <w:tcW w:w="236" w:type="dxa"/>
            <w:gridSpan w:val="2"/>
            <w:tcBorders>
              <w:top w:val="nil"/>
              <w:left w:val="nil"/>
              <w:bottom w:val="nil"/>
              <w:right w:val="nil"/>
            </w:tcBorders>
            <w:shd w:val="clear" w:color="auto" w:fill="auto"/>
            <w:noWrap/>
            <w:vAlign w:val="bottom"/>
            <w:hideMark/>
          </w:tcPr>
          <w:p w14:paraId="5CD7F4E7" w14:textId="77777777" w:rsidR="00560991" w:rsidRPr="00560991" w:rsidRDefault="00560991" w:rsidP="00560991">
            <w:pPr>
              <w:spacing w:after="0" w:line="240" w:lineRule="auto"/>
              <w:rPr>
                <w:rFonts w:ascii="Calibri" w:eastAsia="Times New Roman" w:hAnsi="Calibri" w:cs="Times New Roman"/>
                <w:color w:val="000000"/>
                <w:lang w:eastAsia="en-GB"/>
              </w:rPr>
            </w:pPr>
          </w:p>
        </w:tc>
        <w:tc>
          <w:tcPr>
            <w:tcW w:w="2014" w:type="dxa"/>
            <w:tcBorders>
              <w:top w:val="nil"/>
              <w:left w:val="nil"/>
              <w:bottom w:val="nil"/>
              <w:right w:val="nil"/>
            </w:tcBorders>
            <w:shd w:val="clear" w:color="auto" w:fill="auto"/>
            <w:noWrap/>
            <w:vAlign w:val="bottom"/>
            <w:hideMark/>
          </w:tcPr>
          <w:p w14:paraId="63DB2845" w14:textId="77777777" w:rsidR="00560991" w:rsidRPr="00560991" w:rsidRDefault="00560991" w:rsidP="00560991">
            <w:pPr>
              <w:spacing w:after="0" w:line="240" w:lineRule="auto"/>
              <w:rPr>
                <w:rFonts w:ascii="Calibri" w:eastAsia="Times New Roman" w:hAnsi="Calibri" w:cs="Times New Roman"/>
                <w:color w:val="000000"/>
                <w:lang w:eastAsia="en-GB"/>
              </w:rPr>
            </w:pPr>
          </w:p>
        </w:tc>
      </w:tr>
      <w:tr w:rsidR="00560991" w:rsidRPr="00560991" w14:paraId="039EA397" w14:textId="77777777" w:rsidTr="00B52C55">
        <w:trPr>
          <w:trHeight w:val="300"/>
        </w:trPr>
        <w:tc>
          <w:tcPr>
            <w:tcW w:w="1430" w:type="dxa"/>
            <w:gridSpan w:val="2"/>
            <w:tcBorders>
              <w:top w:val="nil"/>
              <w:left w:val="nil"/>
              <w:bottom w:val="nil"/>
              <w:right w:val="nil"/>
            </w:tcBorders>
            <w:shd w:val="clear" w:color="auto" w:fill="auto"/>
            <w:noWrap/>
            <w:vAlign w:val="bottom"/>
            <w:hideMark/>
          </w:tcPr>
          <w:p w14:paraId="7008A5EF" w14:textId="77777777" w:rsidR="00560991" w:rsidRPr="00560991" w:rsidRDefault="00560991" w:rsidP="00560991">
            <w:pPr>
              <w:spacing w:after="0" w:line="240" w:lineRule="auto"/>
              <w:rPr>
                <w:rFonts w:ascii="Calibri" w:eastAsia="Times New Roman" w:hAnsi="Calibri" w:cs="Times New Roman"/>
                <w:color w:val="000000"/>
                <w:lang w:eastAsia="en-GB"/>
              </w:rPr>
            </w:pPr>
          </w:p>
        </w:tc>
        <w:tc>
          <w:tcPr>
            <w:tcW w:w="1199" w:type="dxa"/>
            <w:tcBorders>
              <w:top w:val="nil"/>
              <w:left w:val="nil"/>
              <w:bottom w:val="nil"/>
              <w:right w:val="nil"/>
            </w:tcBorders>
            <w:shd w:val="clear" w:color="auto" w:fill="auto"/>
            <w:noWrap/>
            <w:vAlign w:val="bottom"/>
            <w:hideMark/>
          </w:tcPr>
          <w:p w14:paraId="16D2A841" w14:textId="77777777" w:rsidR="00560991" w:rsidRPr="00560991" w:rsidRDefault="00560991" w:rsidP="00560991">
            <w:pPr>
              <w:spacing w:after="0" w:line="240" w:lineRule="auto"/>
              <w:rPr>
                <w:rFonts w:ascii="Calibri" w:eastAsia="Times New Roman" w:hAnsi="Calibri" w:cs="Times New Roman"/>
                <w:color w:val="000000"/>
                <w:lang w:eastAsia="en-GB"/>
              </w:rPr>
            </w:pPr>
          </w:p>
        </w:tc>
        <w:tc>
          <w:tcPr>
            <w:tcW w:w="2045" w:type="dxa"/>
            <w:gridSpan w:val="2"/>
            <w:tcBorders>
              <w:top w:val="nil"/>
              <w:left w:val="nil"/>
              <w:bottom w:val="nil"/>
              <w:right w:val="nil"/>
            </w:tcBorders>
            <w:shd w:val="clear" w:color="auto" w:fill="auto"/>
            <w:noWrap/>
            <w:vAlign w:val="bottom"/>
            <w:hideMark/>
          </w:tcPr>
          <w:p w14:paraId="2A8D84C8" w14:textId="77777777" w:rsidR="00560991" w:rsidRPr="00560991" w:rsidRDefault="00560991" w:rsidP="00560991">
            <w:pPr>
              <w:spacing w:after="0" w:line="240" w:lineRule="auto"/>
              <w:rPr>
                <w:rFonts w:ascii="Calibri" w:eastAsia="Times New Roman" w:hAnsi="Calibri" w:cs="Times New Roman"/>
                <w:color w:val="000000"/>
                <w:lang w:eastAsia="en-GB"/>
              </w:rPr>
            </w:pPr>
          </w:p>
        </w:tc>
        <w:tc>
          <w:tcPr>
            <w:tcW w:w="1424" w:type="dxa"/>
            <w:gridSpan w:val="2"/>
            <w:tcBorders>
              <w:top w:val="nil"/>
              <w:left w:val="nil"/>
              <w:bottom w:val="nil"/>
              <w:right w:val="nil"/>
            </w:tcBorders>
            <w:shd w:val="clear" w:color="auto" w:fill="auto"/>
            <w:noWrap/>
            <w:vAlign w:val="bottom"/>
            <w:hideMark/>
          </w:tcPr>
          <w:p w14:paraId="122BA4DB" w14:textId="77777777" w:rsidR="00560991" w:rsidRPr="00560991" w:rsidRDefault="00560991" w:rsidP="00560991">
            <w:pPr>
              <w:spacing w:after="0" w:line="240" w:lineRule="auto"/>
              <w:rPr>
                <w:rFonts w:ascii="Calibri" w:eastAsia="Times New Roman" w:hAnsi="Calibri" w:cs="Times New Roman"/>
                <w:color w:val="000000"/>
                <w:lang w:eastAsia="en-GB"/>
              </w:rPr>
            </w:pPr>
          </w:p>
        </w:tc>
        <w:tc>
          <w:tcPr>
            <w:tcW w:w="1832" w:type="dxa"/>
            <w:gridSpan w:val="3"/>
            <w:tcBorders>
              <w:top w:val="nil"/>
              <w:left w:val="nil"/>
              <w:bottom w:val="nil"/>
              <w:right w:val="nil"/>
            </w:tcBorders>
            <w:shd w:val="clear" w:color="auto" w:fill="auto"/>
            <w:noWrap/>
            <w:vAlign w:val="bottom"/>
            <w:hideMark/>
          </w:tcPr>
          <w:p w14:paraId="2F6021E1" w14:textId="77777777" w:rsidR="00560991" w:rsidRPr="00560991" w:rsidRDefault="00560991" w:rsidP="00560991">
            <w:pPr>
              <w:spacing w:after="0" w:line="240" w:lineRule="auto"/>
              <w:rPr>
                <w:rFonts w:ascii="Calibri" w:eastAsia="Times New Roman" w:hAnsi="Calibri" w:cs="Times New Roman"/>
                <w:color w:val="000000"/>
                <w:lang w:eastAsia="en-GB"/>
              </w:rPr>
            </w:pPr>
          </w:p>
        </w:tc>
        <w:tc>
          <w:tcPr>
            <w:tcW w:w="1274" w:type="dxa"/>
            <w:tcBorders>
              <w:top w:val="nil"/>
              <w:left w:val="nil"/>
              <w:bottom w:val="nil"/>
              <w:right w:val="nil"/>
            </w:tcBorders>
            <w:shd w:val="clear" w:color="auto" w:fill="auto"/>
            <w:noWrap/>
            <w:vAlign w:val="bottom"/>
            <w:hideMark/>
          </w:tcPr>
          <w:p w14:paraId="160070AF" w14:textId="77777777" w:rsidR="00560991" w:rsidRPr="00560991" w:rsidRDefault="00560991" w:rsidP="00560991">
            <w:pPr>
              <w:spacing w:after="0" w:line="240" w:lineRule="auto"/>
              <w:rPr>
                <w:rFonts w:ascii="Calibri" w:eastAsia="Times New Roman" w:hAnsi="Calibri" w:cs="Times New Roman"/>
                <w:color w:val="000000"/>
                <w:lang w:eastAsia="en-GB"/>
              </w:rPr>
            </w:pPr>
          </w:p>
        </w:tc>
        <w:tc>
          <w:tcPr>
            <w:tcW w:w="236" w:type="dxa"/>
            <w:gridSpan w:val="2"/>
            <w:tcBorders>
              <w:top w:val="nil"/>
              <w:left w:val="nil"/>
              <w:bottom w:val="nil"/>
              <w:right w:val="nil"/>
            </w:tcBorders>
            <w:shd w:val="clear" w:color="auto" w:fill="auto"/>
            <w:noWrap/>
            <w:vAlign w:val="bottom"/>
            <w:hideMark/>
          </w:tcPr>
          <w:p w14:paraId="29EFA90A" w14:textId="77777777" w:rsidR="00560991" w:rsidRPr="00560991" w:rsidRDefault="00560991" w:rsidP="00560991">
            <w:pPr>
              <w:spacing w:after="0" w:line="240" w:lineRule="auto"/>
              <w:rPr>
                <w:rFonts w:ascii="Calibri" w:eastAsia="Times New Roman" w:hAnsi="Calibri" w:cs="Times New Roman"/>
                <w:color w:val="000000"/>
                <w:lang w:eastAsia="en-GB"/>
              </w:rPr>
            </w:pPr>
          </w:p>
        </w:tc>
        <w:tc>
          <w:tcPr>
            <w:tcW w:w="2014" w:type="dxa"/>
            <w:tcBorders>
              <w:top w:val="nil"/>
              <w:left w:val="nil"/>
              <w:bottom w:val="nil"/>
              <w:right w:val="nil"/>
            </w:tcBorders>
            <w:shd w:val="clear" w:color="auto" w:fill="auto"/>
            <w:noWrap/>
            <w:vAlign w:val="bottom"/>
            <w:hideMark/>
          </w:tcPr>
          <w:p w14:paraId="6A34B8B3" w14:textId="77777777" w:rsidR="00560991" w:rsidRPr="00560991" w:rsidRDefault="00560991" w:rsidP="00560991">
            <w:pPr>
              <w:spacing w:after="0" w:line="240" w:lineRule="auto"/>
              <w:rPr>
                <w:rFonts w:ascii="Calibri" w:eastAsia="Times New Roman" w:hAnsi="Calibri" w:cs="Times New Roman"/>
                <w:color w:val="000000"/>
                <w:lang w:eastAsia="en-GB"/>
              </w:rPr>
            </w:pPr>
          </w:p>
        </w:tc>
      </w:tr>
    </w:tbl>
    <w:p w14:paraId="51BA05E6" w14:textId="77777777" w:rsidR="008B681D" w:rsidRDefault="008B681D">
      <w:pPr>
        <w:rPr>
          <w:rFonts w:ascii="Times New Roman" w:eastAsia="Times New Roman" w:hAnsi="Times New Roman" w:cs="Times New Roman"/>
          <w:b/>
          <w:bCs/>
          <w:color w:val="000000"/>
          <w:sz w:val="24"/>
          <w:szCs w:val="24"/>
          <w:lang w:eastAsia="en-GB"/>
        </w:rPr>
      </w:pPr>
    </w:p>
    <w:p w14:paraId="3EFFCF1F" w14:textId="77777777" w:rsidR="008B681D" w:rsidRDefault="008B681D">
      <w:pPr>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br w:type="page"/>
      </w:r>
    </w:p>
    <w:p w14:paraId="77F6954B" w14:textId="68812F48" w:rsidR="00D2181D" w:rsidRDefault="003B23DD">
      <w:pPr>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lastRenderedPageBreak/>
        <w:t>Appendix 2</w:t>
      </w:r>
      <w:r w:rsidRPr="00803ABC">
        <w:rPr>
          <w:rFonts w:ascii="Times New Roman" w:eastAsia="Times New Roman" w:hAnsi="Times New Roman" w:cs="Times New Roman"/>
          <w:b/>
          <w:bCs/>
          <w:color w:val="000000"/>
          <w:sz w:val="24"/>
          <w:szCs w:val="24"/>
          <w:lang w:eastAsia="en-GB"/>
        </w:rPr>
        <w:t>. Decomposition of CO</w:t>
      </w:r>
      <w:r w:rsidRPr="00CE1271">
        <w:rPr>
          <w:rFonts w:ascii="Times New Roman" w:eastAsia="Times New Roman" w:hAnsi="Times New Roman" w:cs="Times New Roman"/>
          <w:b/>
          <w:bCs/>
          <w:color w:val="000000"/>
          <w:sz w:val="24"/>
          <w:szCs w:val="24"/>
          <w:vertAlign w:val="subscript"/>
          <w:lang w:eastAsia="en-GB"/>
        </w:rPr>
        <w:t>2</w:t>
      </w:r>
      <w:r w:rsidRPr="00803ABC">
        <w:rPr>
          <w:rFonts w:ascii="Times New Roman" w:eastAsia="Times New Roman" w:hAnsi="Times New Roman" w:cs="Times New Roman"/>
          <w:b/>
          <w:bCs/>
          <w:color w:val="000000"/>
          <w:sz w:val="24"/>
          <w:szCs w:val="24"/>
          <w:lang w:eastAsia="en-GB"/>
        </w:rPr>
        <w:t xml:space="preserve"> emissions (Kilotones)</w:t>
      </w:r>
      <w:r>
        <w:rPr>
          <w:rFonts w:ascii="Times New Roman" w:eastAsia="Times New Roman" w:hAnsi="Times New Roman" w:cs="Times New Roman"/>
          <w:b/>
          <w:bCs/>
          <w:color w:val="000000"/>
          <w:sz w:val="24"/>
          <w:szCs w:val="24"/>
          <w:lang w:eastAsia="en-GB"/>
        </w:rPr>
        <w:t xml:space="preserve"> – Brazil and India</w:t>
      </w:r>
    </w:p>
    <w:tbl>
      <w:tblPr>
        <w:tblW w:w="9639" w:type="dxa"/>
        <w:tblInd w:w="108" w:type="dxa"/>
        <w:tblLook w:val="04A0" w:firstRow="1" w:lastRow="0" w:firstColumn="1" w:lastColumn="0" w:noHBand="0" w:noVBand="1"/>
      </w:tblPr>
      <w:tblGrid>
        <w:gridCol w:w="1203"/>
        <w:gridCol w:w="1596"/>
        <w:gridCol w:w="1256"/>
        <w:gridCol w:w="1376"/>
        <w:gridCol w:w="1296"/>
        <w:gridCol w:w="1296"/>
        <w:gridCol w:w="1616"/>
      </w:tblGrid>
      <w:tr w:rsidR="003B23DD" w:rsidRPr="007E68DD" w14:paraId="51CEEEE2" w14:textId="77777777" w:rsidTr="008B681D">
        <w:trPr>
          <w:trHeight w:val="615"/>
        </w:trPr>
        <w:tc>
          <w:tcPr>
            <w:tcW w:w="1203" w:type="dxa"/>
            <w:tcBorders>
              <w:top w:val="nil"/>
              <w:left w:val="nil"/>
              <w:bottom w:val="nil"/>
              <w:right w:val="nil"/>
            </w:tcBorders>
            <w:shd w:val="clear" w:color="auto" w:fill="auto"/>
            <w:noWrap/>
            <w:vAlign w:val="bottom"/>
            <w:hideMark/>
          </w:tcPr>
          <w:p w14:paraId="49CA5C5A" w14:textId="77777777" w:rsidR="003B23DD" w:rsidRPr="007E68DD" w:rsidRDefault="003B23DD" w:rsidP="006F082A">
            <w:pPr>
              <w:spacing w:after="0" w:line="240" w:lineRule="auto"/>
              <w:rPr>
                <w:rFonts w:ascii="Times New Roman" w:eastAsia="Times New Roman" w:hAnsi="Times New Roman" w:cs="Times New Roman"/>
                <w:b/>
                <w:bCs/>
                <w:color w:val="000000"/>
                <w:sz w:val="24"/>
                <w:szCs w:val="24"/>
                <w:lang w:eastAsia="en-GB"/>
              </w:rPr>
            </w:pPr>
            <w:r w:rsidRPr="007E68DD">
              <w:rPr>
                <w:rFonts w:ascii="Times New Roman" w:eastAsia="Times New Roman" w:hAnsi="Times New Roman" w:cs="Times New Roman"/>
                <w:b/>
                <w:bCs/>
                <w:color w:val="000000"/>
                <w:sz w:val="24"/>
                <w:szCs w:val="24"/>
                <w:lang w:eastAsia="en-GB"/>
              </w:rPr>
              <w:t>Country</w:t>
            </w:r>
          </w:p>
        </w:tc>
        <w:tc>
          <w:tcPr>
            <w:tcW w:w="1596" w:type="dxa"/>
            <w:tcBorders>
              <w:top w:val="single" w:sz="8" w:space="0" w:color="auto"/>
              <w:left w:val="nil"/>
              <w:bottom w:val="single" w:sz="8" w:space="0" w:color="auto"/>
              <w:right w:val="nil"/>
            </w:tcBorders>
            <w:shd w:val="clear" w:color="auto" w:fill="auto"/>
            <w:hideMark/>
          </w:tcPr>
          <w:p w14:paraId="7345B724" w14:textId="77777777" w:rsidR="003B23DD" w:rsidRPr="007E68DD" w:rsidRDefault="003B23DD" w:rsidP="006F082A">
            <w:pPr>
              <w:spacing w:after="0" w:line="240" w:lineRule="auto"/>
              <w:jc w:val="both"/>
              <w:rPr>
                <w:rFonts w:ascii="Times New Roman" w:eastAsia="Times New Roman" w:hAnsi="Times New Roman" w:cs="Times New Roman"/>
                <w:b/>
                <w:bCs/>
                <w:color w:val="000000"/>
                <w:sz w:val="24"/>
                <w:szCs w:val="24"/>
                <w:lang w:eastAsia="en-GB"/>
              </w:rPr>
            </w:pPr>
            <w:r w:rsidRPr="007E68DD">
              <w:rPr>
                <w:rFonts w:ascii="Times New Roman" w:eastAsia="Times New Roman" w:hAnsi="Times New Roman" w:cs="Times New Roman"/>
                <w:b/>
                <w:bCs/>
                <w:color w:val="000000"/>
                <w:sz w:val="24"/>
                <w:szCs w:val="24"/>
                <w:lang w:eastAsia="en-GB"/>
              </w:rPr>
              <w:t>Time period</w:t>
            </w:r>
          </w:p>
        </w:tc>
        <w:tc>
          <w:tcPr>
            <w:tcW w:w="1256" w:type="dxa"/>
            <w:tcBorders>
              <w:top w:val="single" w:sz="8" w:space="0" w:color="auto"/>
              <w:left w:val="nil"/>
              <w:bottom w:val="single" w:sz="8" w:space="0" w:color="auto"/>
              <w:right w:val="nil"/>
            </w:tcBorders>
            <w:shd w:val="clear" w:color="auto" w:fill="auto"/>
            <w:hideMark/>
          </w:tcPr>
          <w:p w14:paraId="548FE719" w14:textId="77777777" w:rsidR="003B23DD" w:rsidRPr="007E68DD" w:rsidRDefault="003B23DD" w:rsidP="006F082A">
            <w:pPr>
              <w:spacing w:after="0" w:line="240" w:lineRule="auto"/>
              <w:jc w:val="both"/>
              <w:rPr>
                <w:rFonts w:ascii="Times New Roman" w:eastAsia="Times New Roman" w:hAnsi="Times New Roman" w:cs="Times New Roman"/>
                <w:b/>
                <w:bCs/>
                <w:color w:val="000000"/>
                <w:sz w:val="24"/>
                <w:szCs w:val="24"/>
                <w:lang w:eastAsia="en-GB"/>
              </w:rPr>
            </w:pPr>
            <w:r w:rsidRPr="007E68DD">
              <w:rPr>
                <w:rFonts w:ascii="Times New Roman" w:eastAsia="Times New Roman" w:hAnsi="Times New Roman" w:cs="Times New Roman"/>
                <w:b/>
                <w:bCs/>
                <w:color w:val="000000"/>
                <w:sz w:val="24"/>
                <w:szCs w:val="24"/>
                <w:lang w:eastAsia="en-GB"/>
              </w:rPr>
              <w:t>CI effect</w:t>
            </w:r>
          </w:p>
        </w:tc>
        <w:tc>
          <w:tcPr>
            <w:tcW w:w="1376" w:type="dxa"/>
            <w:tcBorders>
              <w:top w:val="single" w:sz="8" w:space="0" w:color="auto"/>
              <w:left w:val="nil"/>
              <w:bottom w:val="single" w:sz="8" w:space="0" w:color="auto"/>
              <w:right w:val="nil"/>
            </w:tcBorders>
            <w:shd w:val="clear" w:color="auto" w:fill="auto"/>
            <w:hideMark/>
          </w:tcPr>
          <w:p w14:paraId="2FA19036" w14:textId="77777777" w:rsidR="003B23DD" w:rsidRPr="007E68DD" w:rsidRDefault="003B23DD" w:rsidP="006F082A">
            <w:pPr>
              <w:spacing w:after="0" w:line="240" w:lineRule="auto"/>
              <w:jc w:val="both"/>
              <w:rPr>
                <w:rFonts w:ascii="Times New Roman" w:eastAsia="Times New Roman" w:hAnsi="Times New Roman" w:cs="Times New Roman"/>
                <w:b/>
                <w:bCs/>
                <w:color w:val="000000"/>
                <w:sz w:val="24"/>
                <w:szCs w:val="24"/>
                <w:lang w:eastAsia="en-GB"/>
              </w:rPr>
            </w:pPr>
            <w:r w:rsidRPr="007E68DD">
              <w:rPr>
                <w:rFonts w:ascii="Times New Roman" w:eastAsia="Times New Roman" w:hAnsi="Times New Roman" w:cs="Times New Roman"/>
                <w:b/>
                <w:bCs/>
                <w:color w:val="000000"/>
                <w:sz w:val="24"/>
                <w:szCs w:val="24"/>
                <w:lang w:eastAsia="en-GB"/>
              </w:rPr>
              <w:t>EI effect</w:t>
            </w:r>
          </w:p>
        </w:tc>
        <w:tc>
          <w:tcPr>
            <w:tcW w:w="1296" w:type="dxa"/>
            <w:tcBorders>
              <w:top w:val="single" w:sz="8" w:space="0" w:color="auto"/>
              <w:left w:val="nil"/>
              <w:bottom w:val="single" w:sz="8" w:space="0" w:color="auto"/>
              <w:right w:val="nil"/>
            </w:tcBorders>
            <w:shd w:val="clear" w:color="auto" w:fill="auto"/>
            <w:hideMark/>
          </w:tcPr>
          <w:p w14:paraId="64263132" w14:textId="77777777" w:rsidR="003B23DD" w:rsidRPr="007E68DD" w:rsidRDefault="003B23DD" w:rsidP="006F082A">
            <w:pPr>
              <w:spacing w:after="0" w:line="240" w:lineRule="auto"/>
              <w:jc w:val="both"/>
              <w:rPr>
                <w:rFonts w:ascii="Times New Roman" w:eastAsia="Times New Roman" w:hAnsi="Times New Roman" w:cs="Times New Roman"/>
                <w:b/>
                <w:bCs/>
                <w:color w:val="000000"/>
                <w:sz w:val="24"/>
                <w:szCs w:val="24"/>
                <w:lang w:eastAsia="en-GB"/>
              </w:rPr>
            </w:pPr>
            <w:r w:rsidRPr="007E68DD">
              <w:rPr>
                <w:rFonts w:ascii="Times New Roman" w:eastAsia="Times New Roman" w:hAnsi="Times New Roman" w:cs="Times New Roman"/>
                <w:b/>
                <w:bCs/>
                <w:color w:val="000000"/>
                <w:sz w:val="24"/>
                <w:szCs w:val="24"/>
                <w:lang w:eastAsia="en-GB"/>
              </w:rPr>
              <w:t>ES effect</w:t>
            </w:r>
          </w:p>
        </w:tc>
        <w:tc>
          <w:tcPr>
            <w:tcW w:w="1296" w:type="dxa"/>
            <w:tcBorders>
              <w:top w:val="single" w:sz="8" w:space="0" w:color="auto"/>
              <w:left w:val="nil"/>
              <w:bottom w:val="single" w:sz="8" w:space="0" w:color="auto"/>
              <w:right w:val="nil"/>
            </w:tcBorders>
            <w:shd w:val="clear" w:color="auto" w:fill="auto"/>
            <w:hideMark/>
          </w:tcPr>
          <w:p w14:paraId="283A333E" w14:textId="77777777" w:rsidR="003B23DD" w:rsidRPr="007E68DD" w:rsidRDefault="003B23DD" w:rsidP="006F082A">
            <w:pPr>
              <w:spacing w:after="0" w:line="240" w:lineRule="auto"/>
              <w:jc w:val="both"/>
              <w:rPr>
                <w:rFonts w:ascii="Times New Roman" w:eastAsia="Times New Roman" w:hAnsi="Times New Roman" w:cs="Times New Roman"/>
                <w:b/>
                <w:bCs/>
                <w:color w:val="000000"/>
                <w:sz w:val="24"/>
                <w:szCs w:val="24"/>
                <w:lang w:eastAsia="en-GB"/>
              </w:rPr>
            </w:pPr>
            <w:r w:rsidRPr="007E68DD">
              <w:rPr>
                <w:rFonts w:ascii="Times New Roman" w:eastAsia="Times New Roman" w:hAnsi="Times New Roman" w:cs="Times New Roman"/>
                <w:b/>
                <w:bCs/>
                <w:color w:val="000000"/>
                <w:sz w:val="24"/>
                <w:szCs w:val="24"/>
                <w:lang w:eastAsia="en-GB"/>
              </w:rPr>
              <w:t>G effect</w:t>
            </w:r>
          </w:p>
        </w:tc>
        <w:tc>
          <w:tcPr>
            <w:tcW w:w="1616" w:type="dxa"/>
            <w:tcBorders>
              <w:top w:val="single" w:sz="8" w:space="0" w:color="auto"/>
              <w:left w:val="nil"/>
              <w:bottom w:val="single" w:sz="8" w:space="0" w:color="auto"/>
              <w:right w:val="nil"/>
            </w:tcBorders>
            <w:shd w:val="clear" w:color="auto" w:fill="auto"/>
            <w:hideMark/>
          </w:tcPr>
          <w:p w14:paraId="5BCC9076" w14:textId="77777777" w:rsidR="003B23DD" w:rsidRPr="007E68DD" w:rsidRDefault="003B23DD" w:rsidP="006F082A">
            <w:pPr>
              <w:spacing w:after="0" w:line="240" w:lineRule="auto"/>
              <w:jc w:val="right"/>
              <w:rPr>
                <w:rFonts w:ascii="Times New Roman" w:eastAsia="Times New Roman" w:hAnsi="Times New Roman" w:cs="Times New Roman"/>
                <w:b/>
                <w:bCs/>
                <w:color w:val="000000"/>
                <w:sz w:val="24"/>
                <w:szCs w:val="24"/>
                <w:lang w:eastAsia="en-GB"/>
              </w:rPr>
            </w:pPr>
            <w:r w:rsidRPr="007E68DD">
              <w:rPr>
                <w:rFonts w:ascii="Times New Roman" w:eastAsia="Times New Roman" w:hAnsi="Times New Roman" w:cs="Times New Roman"/>
                <w:b/>
                <w:bCs/>
                <w:color w:val="000000"/>
                <w:sz w:val="24"/>
                <w:szCs w:val="24"/>
                <w:lang w:eastAsia="en-GB"/>
              </w:rPr>
              <w:t>Cumulated change</w:t>
            </w:r>
          </w:p>
        </w:tc>
      </w:tr>
      <w:tr w:rsidR="007E68DD" w:rsidRPr="007E68DD" w14:paraId="548509D7" w14:textId="77777777" w:rsidTr="008B681D">
        <w:trPr>
          <w:trHeight w:val="300"/>
        </w:trPr>
        <w:tc>
          <w:tcPr>
            <w:tcW w:w="1203" w:type="dxa"/>
            <w:tcBorders>
              <w:top w:val="single" w:sz="4" w:space="0" w:color="auto"/>
              <w:left w:val="nil"/>
              <w:bottom w:val="nil"/>
              <w:right w:val="nil"/>
            </w:tcBorders>
            <w:shd w:val="clear" w:color="auto" w:fill="auto"/>
            <w:noWrap/>
            <w:vAlign w:val="bottom"/>
            <w:hideMark/>
          </w:tcPr>
          <w:p w14:paraId="0AAF4326" w14:textId="77777777" w:rsidR="007E68DD" w:rsidRPr="007E68DD" w:rsidRDefault="007E68DD" w:rsidP="006F082A">
            <w:pPr>
              <w:spacing w:after="0" w:line="240" w:lineRule="auto"/>
              <w:rPr>
                <w:rFonts w:ascii="Times New Roman" w:eastAsia="Times New Roman" w:hAnsi="Times New Roman" w:cs="Times New Roman"/>
                <w:color w:val="000000"/>
                <w:sz w:val="24"/>
                <w:szCs w:val="24"/>
                <w:lang w:eastAsia="en-GB"/>
              </w:rPr>
            </w:pPr>
            <w:r w:rsidRPr="007E68DD">
              <w:rPr>
                <w:rFonts w:ascii="Times New Roman" w:eastAsia="Times New Roman" w:hAnsi="Times New Roman" w:cs="Times New Roman"/>
                <w:color w:val="000000"/>
                <w:sz w:val="24"/>
                <w:szCs w:val="24"/>
                <w:lang w:eastAsia="en-GB"/>
              </w:rPr>
              <w:t>Brazil</w:t>
            </w:r>
          </w:p>
        </w:tc>
        <w:tc>
          <w:tcPr>
            <w:tcW w:w="1596" w:type="dxa"/>
            <w:tcBorders>
              <w:top w:val="single" w:sz="4" w:space="0" w:color="auto"/>
              <w:left w:val="nil"/>
              <w:bottom w:val="nil"/>
              <w:right w:val="nil"/>
            </w:tcBorders>
            <w:shd w:val="clear" w:color="auto" w:fill="auto"/>
            <w:noWrap/>
            <w:vAlign w:val="bottom"/>
            <w:hideMark/>
          </w:tcPr>
          <w:p w14:paraId="00AFC3A1" w14:textId="77777777" w:rsidR="007E68DD" w:rsidRPr="007E68DD" w:rsidRDefault="007E68DD" w:rsidP="006F082A">
            <w:pPr>
              <w:spacing w:after="0" w:line="240" w:lineRule="auto"/>
              <w:rPr>
                <w:rFonts w:ascii="Times New Roman" w:eastAsia="Times New Roman" w:hAnsi="Times New Roman" w:cs="Times New Roman"/>
                <w:color w:val="000000"/>
                <w:sz w:val="24"/>
                <w:szCs w:val="24"/>
                <w:lang w:eastAsia="en-GB"/>
              </w:rPr>
            </w:pPr>
            <w:r w:rsidRPr="007E68DD">
              <w:rPr>
                <w:rFonts w:ascii="Times New Roman" w:eastAsia="Times New Roman" w:hAnsi="Times New Roman" w:cs="Times New Roman"/>
                <w:color w:val="000000"/>
                <w:sz w:val="24"/>
                <w:szCs w:val="24"/>
                <w:lang w:eastAsia="en-GB"/>
              </w:rPr>
              <w:t>2008-2000</w:t>
            </w:r>
          </w:p>
        </w:tc>
        <w:tc>
          <w:tcPr>
            <w:tcW w:w="1256" w:type="dxa"/>
            <w:tcBorders>
              <w:top w:val="single" w:sz="4" w:space="0" w:color="auto"/>
              <w:left w:val="nil"/>
              <w:bottom w:val="nil"/>
              <w:right w:val="nil"/>
            </w:tcBorders>
            <w:shd w:val="clear" w:color="auto" w:fill="auto"/>
            <w:noWrap/>
            <w:hideMark/>
          </w:tcPr>
          <w:p w14:paraId="71F09B27" w14:textId="77777777" w:rsidR="007E68DD" w:rsidRPr="007E68DD" w:rsidRDefault="007E68DD" w:rsidP="006F082A">
            <w:pPr>
              <w:spacing w:after="0" w:line="240" w:lineRule="auto"/>
              <w:jc w:val="right"/>
              <w:rPr>
                <w:rFonts w:ascii="Times New Roman" w:eastAsia="Times New Roman" w:hAnsi="Times New Roman" w:cs="Times New Roman"/>
                <w:color w:val="000000"/>
                <w:sz w:val="24"/>
                <w:szCs w:val="24"/>
                <w:lang w:eastAsia="en-GB"/>
              </w:rPr>
            </w:pPr>
            <w:r w:rsidRPr="007E68DD">
              <w:rPr>
                <w:rFonts w:ascii="Times New Roman" w:hAnsi="Times New Roman" w:cs="Times New Roman"/>
                <w:sz w:val="24"/>
                <w:szCs w:val="24"/>
              </w:rPr>
              <w:t>-36,349.0</w:t>
            </w:r>
          </w:p>
        </w:tc>
        <w:tc>
          <w:tcPr>
            <w:tcW w:w="1376" w:type="dxa"/>
            <w:tcBorders>
              <w:top w:val="single" w:sz="4" w:space="0" w:color="auto"/>
              <w:left w:val="nil"/>
              <w:bottom w:val="nil"/>
              <w:right w:val="nil"/>
            </w:tcBorders>
            <w:shd w:val="clear" w:color="auto" w:fill="auto"/>
            <w:noWrap/>
            <w:hideMark/>
          </w:tcPr>
          <w:p w14:paraId="367D12B1" w14:textId="77777777" w:rsidR="007E68DD" w:rsidRPr="007E68DD" w:rsidRDefault="007E68DD" w:rsidP="006F082A">
            <w:pPr>
              <w:spacing w:after="0" w:line="240" w:lineRule="auto"/>
              <w:jc w:val="right"/>
              <w:rPr>
                <w:rFonts w:ascii="Times New Roman" w:eastAsia="Times New Roman" w:hAnsi="Times New Roman" w:cs="Times New Roman"/>
                <w:color w:val="000000"/>
                <w:sz w:val="24"/>
                <w:szCs w:val="24"/>
                <w:lang w:eastAsia="en-GB"/>
              </w:rPr>
            </w:pPr>
            <w:r w:rsidRPr="007E68DD">
              <w:rPr>
                <w:rFonts w:ascii="Times New Roman" w:hAnsi="Times New Roman" w:cs="Times New Roman"/>
                <w:sz w:val="24"/>
                <w:szCs w:val="24"/>
              </w:rPr>
              <w:t>3,904.4</w:t>
            </w:r>
          </w:p>
        </w:tc>
        <w:tc>
          <w:tcPr>
            <w:tcW w:w="1296" w:type="dxa"/>
            <w:tcBorders>
              <w:top w:val="single" w:sz="4" w:space="0" w:color="auto"/>
              <w:left w:val="nil"/>
              <w:bottom w:val="nil"/>
              <w:right w:val="nil"/>
            </w:tcBorders>
            <w:shd w:val="clear" w:color="auto" w:fill="auto"/>
            <w:noWrap/>
            <w:hideMark/>
          </w:tcPr>
          <w:p w14:paraId="7742E87D" w14:textId="77777777" w:rsidR="007E68DD" w:rsidRPr="007E68DD" w:rsidRDefault="007E68DD" w:rsidP="006F082A">
            <w:pPr>
              <w:spacing w:after="0" w:line="240" w:lineRule="auto"/>
              <w:jc w:val="right"/>
              <w:rPr>
                <w:rFonts w:ascii="Times New Roman" w:eastAsia="Times New Roman" w:hAnsi="Times New Roman" w:cs="Times New Roman"/>
                <w:color w:val="000000"/>
                <w:sz w:val="24"/>
                <w:szCs w:val="24"/>
                <w:lang w:eastAsia="en-GB"/>
              </w:rPr>
            </w:pPr>
            <w:r w:rsidRPr="007E68DD">
              <w:rPr>
                <w:rFonts w:ascii="Times New Roman" w:hAnsi="Times New Roman" w:cs="Times New Roman"/>
                <w:sz w:val="24"/>
                <w:szCs w:val="24"/>
              </w:rPr>
              <w:t>-22,579.4</w:t>
            </w:r>
          </w:p>
        </w:tc>
        <w:tc>
          <w:tcPr>
            <w:tcW w:w="1296" w:type="dxa"/>
            <w:tcBorders>
              <w:top w:val="single" w:sz="4" w:space="0" w:color="auto"/>
              <w:left w:val="nil"/>
              <w:bottom w:val="nil"/>
              <w:right w:val="nil"/>
            </w:tcBorders>
            <w:shd w:val="clear" w:color="auto" w:fill="auto"/>
            <w:noWrap/>
            <w:hideMark/>
          </w:tcPr>
          <w:p w14:paraId="5CDDFB98" w14:textId="77777777" w:rsidR="007E68DD" w:rsidRPr="007E68DD" w:rsidRDefault="007E68DD" w:rsidP="006F082A">
            <w:pPr>
              <w:spacing w:after="0" w:line="240" w:lineRule="auto"/>
              <w:jc w:val="right"/>
              <w:rPr>
                <w:rFonts w:ascii="Times New Roman" w:eastAsia="Times New Roman" w:hAnsi="Times New Roman" w:cs="Times New Roman"/>
                <w:color w:val="000000"/>
                <w:sz w:val="24"/>
                <w:szCs w:val="24"/>
                <w:lang w:eastAsia="en-GB"/>
              </w:rPr>
            </w:pPr>
            <w:r w:rsidRPr="007E68DD">
              <w:rPr>
                <w:rFonts w:ascii="Times New Roman" w:hAnsi="Times New Roman" w:cs="Times New Roman"/>
                <w:sz w:val="24"/>
                <w:szCs w:val="24"/>
              </w:rPr>
              <w:t>113,787.5</w:t>
            </w:r>
          </w:p>
        </w:tc>
        <w:tc>
          <w:tcPr>
            <w:tcW w:w="1616" w:type="dxa"/>
            <w:tcBorders>
              <w:top w:val="single" w:sz="4" w:space="0" w:color="auto"/>
              <w:left w:val="nil"/>
              <w:bottom w:val="nil"/>
              <w:right w:val="nil"/>
            </w:tcBorders>
            <w:shd w:val="clear" w:color="auto" w:fill="auto"/>
            <w:noWrap/>
            <w:hideMark/>
          </w:tcPr>
          <w:p w14:paraId="4B09DD8B" w14:textId="77777777" w:rsidR="007E68DD" w:rsidRPr="007E68DD" w:rsidRDefault="007E68DD" w:rsidP="006F082A">
            <w:pPr>
              <w:spacing w:after="0" w:line="240" w:lineRule="auto"/>
              <w:jc w:val="right"/>
              <w:rPr>
                <w:rFonts w:ascii="Times New Roman" w:eastAsia="Times New Roman" w:hAnsi="Times New Roman" w:cs="Times New Roman"/>
                <w:color w:val="000000"/>
                <w:sz w:val="24"/>
                <w:szCs w:val="24"/>
                <w:lang w:eastAsia="en-GB"/>
              </w:rPr>
            </w:pPr>
            <w:r w:rsidRPr="007E68DD">
              <w:rPr>
                <w:rFonts w:ascii="Times New Roman" w:hAnsi="Times New Roman" w:cs="Times New Roman"/>
                <w:sz w:val="24"/>
                <w:szCs w:val="24"/>
              </w:rPr>
              <w:t>58,763.5</w:t>
            </w:r>
          </w:p>
        </w:tc>
      </w:tr>
      <w:tr w:rsidR="007E68DD" w:rsidRPr="007E68DD" w14:paraId="38CFC125" w14:textId="77777777" w:rsidTr="008B681D">
        <w:trPr>
          <w:trHeight w:val="300"/>
        </w:trPr>
        <w:tc>
          <w:tcPr>
            <w:tcW w:w="1203" w:type="dxa"/>
            <w:tcBorders>
              <w:top w:val="nil"/>
              <w:left w:val="nil"/>
              <w:bottom w:val="single" w:sz="4" w:space="0" w:color="auto"/>
              <w:right w:val="nil"/>
            </w:tcBorders>
            <w:shd w:val="clear" w:color="auto" w:fill="auto"/>
            <w:noWrap/>
            <w:vAlign w:val="bottom"/>
            <w:hideMark/>
          </w:tcPr>
          <w:p w14:paraId="0ED76FF9" w14:textId="77777777" w:rsidR="007E68DD" w:rsidRPr="007E68DD" w:rsidRDefault="007E68DD" w:rsidP="006F082A">
            <w:pPr>
              <w:spacing w:after="0" w:line="240" w:lineRule="auto"/>
              <w:rPr>
                <w:rFonts w:ascii="Times New Roman" w:eastAsia="Times New Roman" w:hAnsi="Times New Roman" w:cs="Times New Roman"/>
                <w:color w:val="000000"/>
                <w:sz w:val="24"/>
                <w:szCs w:val="24"/>
                <w:lang w:eastAsia="en-GB"/>
              </w:rPr>
            </w:pPr>
            <w:r w:rsidRPr="007E68DD">
              <w:rPr>
                <w:rFonts w:ascii="Times New Roman" w:eastAsia="Times New Roman" w:hAnsi="Times New Roman" w:cs="Times New Roman"/>
                <w:color w:val="000000"/>
                <w:sz w:val="24"/>
                <w:szCs w:val="24"/>
                <w:lang w:eastAsia="en-GB"/>
              </w:rPr>
              <w:t>India</w:t>
            </w:r>
          </w:p>
        </w:tc>
        <w:tc>
          <w:tcPr>
            <w:tcW w:w="1596" w:type="dxa"/>
            <w:tcBorders>
              <w:top w:val="nil"/>
              <w:left w:val="nil"/>
              <w:bottom w:val="single" w:sz="4" w:space="0" w:color="auto"/>
              <w:right w:val="nil"/>
            </w:tcBorders>
            <w:shd w:val="clear" w:color="auto" w:fill="auto"/>
            <w:noWrap/>
            <w:vAlign w:val="bottom"/>
            <w:hideMark/>
          </w:tcPr>
          <w:p w14:paraId="79EF6863" w14:textId="77777777" w:rsidR="007E68DD" w:rsidRPr="007E68DD" w:rsidRDefault="007E68DD" w:rsidP="006F082A">
            <w:pPr>
              <w:spacing w:after="0" w:line="240" w:lineRule="auto"/>
              <w:rPr>
                <w:rFonts w:ascii="Times New Roman" w:eastAsia="Times New Roman" w:hAnsi="Times New Roman" w:cs="Times New Roman"/>
                <w:color w:val="000000"/>
                <w:sz w:val="24"/>
                <w:szCs w:val="24"/>
                <w:lang w:eastAsia="en-GB"/>
              </w:rPr>
            </w:pPr>
            <w:r w:rsidRPr="007E68DD">
              <w:rPr>
                <w:rFonts w:ascii="Times New Roman" w:eastAsia="Times New Roman" w:hAnsi="Times New Roman" w:cs="Times New Roman"/>
                <w:color w:val="000000"/>
                <w:sz w:val="24"/>
                <w:szCs w:val="24"/>
                <w:lang w:eastAsia="en-GB"/>
              </w:rPr>
              <w:t>2008-2004</w:t>
            </w:r>
          </w:p>
        </w:tc>
        <w:tc>
          <w:tcPr>
            <w:tcW w:w="1256" w:type="dxa"/>
            <w:tcBorders>
              <w:top w:val="nil"/>
              <w:left w:val="nil"/>
              <w:bottom w:val="single" w:sz="4" w:space="0" w:color="auto"/>
              <w:right w:val="nil"/>
            </w:tcBorders>
            <w:shd w:val="clear" w:color="auto" w:fill="auto"/>
            <w:noWrap/>
            <w:hideMark/>
          </w:tcPr>
          <w:p w14:paraId="7084A25C" w14:textId="77777777" w:rsidR="007E68DD" w:rsidRPr="007E68DD" w:rsidRDefault="007E68DD" w:rsidP="006F082A">
            <w:pPr>
              <w:spacing w:after="0" w:line="240" w:lineRule="auto"/>
              <w:jc w:val="right"/>
              <w:rPr>
                <w:rFonts w:ascii="Times New Roman" w:eastAsia="Times New Roman" w:hAnsi="Times New Roman" w:cs="Times New Roman"/>
                <w:color w:val="000000"/>
                <w:sz w:val="24"/>
                <w:szCs w:val="24"/>
                <w:lang w:eastAsia="en-GB"/>
              </w:rPr>
            </w:pPr>
            <w:r w:rsidRPr="007E68DD">
              <w:rPr>
                <w:rFonts w:ascii="Times New Roman" w:hAnsi="Times New Roman" w:cs="Times New Roman"/>
                <w:sz w:val="24"/>
                <w:szCs w:val="24"/>
              </w:rPr>
              <w:t>90,865.0</w:t>
            </w:r>
          </w:p>
        </w:tc>
        <w:tc>
          <w:tcPr>
            <w:tcW w:w="1376" w:type="dxa"/>
            <w:tcBorders>
              <w:top w:val="nil"/>
              <w:left w:val="nil"/>
              <w:bottom w:val="single" w:sz="4" w:space="0" w:color="auto"/>
              <w:right w:val="nil"/>
            </w:tcBorders>
            <w:shd w:val="clear" w:color="auto" w:fill="auto"/>
            <w:noWrap/>
            <w:hideMark/>
          </w:tcPr>
          <w:p w14:paraId="2B55A221" w14:textId="77777777" w:rsidR="007E68DD" w:rsidRPr="007E68DD" w:rsidRDefault="007E68DD" w:rsidP="006F082A">
            <w:pPr>
              <w:spacing w:after="0" w:line="240" w:lineRule="auto"/>
              <w:jc w:val="right"/>
              <w:rPr>
                <w:rFonts w:ascii="Times New Roman" w:eastAsia="Times New Roman" w:hAnsi="Times New Roman" w:cs="Times New Roman"/>
                <w:color w:val="000000"/>
                <w:sz w:val="24"/>
                <w:szCs w:val="24"/>
                <w:lang w:eastAsia="en-GB"/>
              </w:rPr>
            </w:pPr>
            <w:r w:rsidRPr="007E68DD">
              <w:rPr>
                <w:rFonts w:ascii="Times New Roman" w:hAnsi="Times New Roman" w:cs="Times New Roman"/>
                <w:sz w:val="24"/>
                <w:szCs w:val="24"/>
              </w:rPr>
              <w:t>-163,537.1</w:t>
            </w:r>
          </w:p>
        </w:tc>
        <w:tc>
          <w:tcPr>
            <w:tcW w:w="1296" w:type="dxa"/>
            <w:tcBorders>
              <w:top w:val="nil"/>
              <w:left w:val="nil"/>
              <w:bottom w:val="single" w:sz="4" w:space="0" w:color="auto"/>
              <w:right w:val="nil"/>
            </w:tcBorders>
            <w:shd w:val="clear" w:color="auto" w:fill="auto"/>
            <w:noWrap/>
            <w:hideMark/>
          </w:tcPr>
          <w:p w14:paraId="0F398576" w14:textId="77777777" w:rsidR="007E68DD" w:rsidRPr="007E68DD" w:rsidRDefault="007E68DD" w:rsidP="006F082A">
            <w:pPr>
              <w:spacing w:after="0" w:line="240" w:lineRule="auto"/>
              <w:jc w:val="right"/>
              <w:rPr>
                <w:rFonts w:ascii="Times New Roman" w:eastAsia="Times New Roman" w:hAnsi="Times New Roman" w:cs="Times New Roman"/>
                <w:color w:val="000000"/>
                <w:sz w:val="24"/>
                <w:szCs w:val="24"/>
                <w:lang w:eastAsia="en-GB"/>
              </w:rPr>
            </w:pPr>
            <w:r w:rsidRPr="007E68DD">
              <w:rPr>
                <w:rFonts w:ascii="Times New Roman" w:hAnsi="Times New Roman" w:cs="Times New Roman"/>
                <w:sz w:val="24"/>
                <w:szCs w:val="24"/>
              </w:rPr>
              <w:t>199,923.2</w:t>
            </w:r>
          </w:p>
        </w:tc>
        <w:tc>
          <w:tcPr>
            <w:tcW w:w="1296" w:type="dxa"/>
            <w:tcBorders>
              <w:top w:val="nil"/>
              <w:left w:val="nil"/>
              <w:bottom w:val="single" w:sz="4" w:space="0" w:color="auto"/>
              <w:right w:val="nil"/>
            </w:tcBorders>
            <w:shd w:val="clear" w:color="auto" w:fill="auto"/>
            <w:noWrap/>
            <w:hideMark/>
          </w:tcPr>
          <w:p w14:paraId="2CC1BF8F" w14:textId="77777777" w:rsidR="007E68DD" w:rsidRPr="007E68DD" w:rsidRDefault="007E68DD" w:rsidP="006F082A">
            <w:pPr>
              <w:spacing w:after="0" w:line="240" w:lineRule="auto"/>
              <w:jc w:val="right"/>
              <w:rPr>
                <w:rFonts w:ascii="Times New Roman" w:eastAsia="Times New Roman" w:hAnsi="Times New Roman" w:cs="Times New Roman"/>
                <w:color w:val="000000"/>
                <w:sz w:val="24"/>
                <w:szCs w:val="24"/>
                <w:lang w:eastAsia="en-GB"/>
              </w:rPr>
            </w:pPr>
            <w:r w:rsidRPr="007E68DD">
              <w:rPr>
                <w:rFonts w:ascii="Times New Roman" w:hAnsi="Times New Roman" w:cs="Times New Roman"/>
                <w:sz w:val="24"/>
                <w:szCs w:val="24"/>
              </w:rPr>
              <w:t>221,791.3</w:t>
            </w:r>
          </w:p>
        </w:tc>
        <w:tc>
          <w:tcPr>
            <w:tcW w:w="1616" w:type="dxa"/>
            <w:tcBorders>
              <w:top w:val="nil"/>
              <w:left w:val="nil"/>
              <w:bottom w:val="single" w:sz="4" w:space="0" w:color="auto"/>
              <w:right w:val="nil"/>
            </w:tcBorders>
            <w:shd w:val="clear" w:color="auto" w:fill="auto"/>
            <w:noWrap/>
            <w:hideMark/>
          </w:tcPr>
          <w:p w14:paraId="1FDE9390" w14:textId="77777777" w:rsidR="007E68DD" w:rsidRPr="007E68DD" w:rsidRDefault="007E68DD" w:rsidP="006F082A">
            <w:pPr>
              <w:spacing w:after="0" w:line="240" w:lineRule="auto"/>
              <w:jc w:val="right"/>
              <w:rPr>
                <w:rFonts w:ascii="Times New Roman" w:eastAsia="Times New Roman" w:hAnsi="Times New Roman" w:cs="Times New Roman"/>
                <w:color w:val="000000"/>
                <w:sz w:val="24"/>
                <w:szCs w:val="24"/>
                <w:lang w:eastAsia="en-GB"/>
              </w:rPr>
            </w:pPr>
            <w:r w:rsidRPr="007E68DD">
              <w:rPr>
                <w:rFonts w:ascii="Times New Roman" w:hAnsi="Times New Roman" w:cs="Times New Roman"/>
                <w:sz w:val="24"/>
                <w:szCs w:val="24"/>
              </w:rPr>
              <w:t>349,042.4</w:t>
            </w:r>
          </w:p>
        </w:tc>
      </w:tr>
    </w:tbl>
    <w:p w14:paraId="15318D5F" w14:textId="77777777" w:rsidR="003B23DD" w:rsidRDefault="003B23DD"/>
    <w:sectPr w:rsidR="003B23D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F17FCB" w14:textId="77777777" w:rsidR="003814CF" w:rsidRDefault="003814CF" w:rsidP="005E7808">
      <w:pPr>
        <w:spacing w:after="0" w:line="240" w:lineRule="auto"/>
      </w:pPr>
      <w:r>
        <w:separator/>
      </w:r>
    </w:p>
  </w:endnote>
  <w:endnote w:type="continuationSeparator" w:id="0">
    <w:p w14:paraId="27013326" w14:textId="77777777" w:rsidR="003814CF" w:rsidRDefault="003814CF" w:rsidP="005E78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4E08B3" w14:textId="77777777" w:rsidR="003814CF" w:rsidRDefault="003814CF" w:rsidP="005E7808">
      <w:pPr>
        <w:spacing w:after="0" w:line="240" w:lineRule="auto"/>
      </w:pPr>
      <w:r>
        <w:separator/>
      </w:r>
    </w:p>
  </w:footnote>
  <w:footnote w:type="continuationSeparator" w:id="0">
    <w:p w14:paraId="3561FFBD" w14:textId="77777777" w:rsidR="003814CF" w:rsidRDefault="003814CF" w:rsidP="005E7808">
      <w:pPr>
        <w:spacing w:after="0" w:line="240" w:lineRule="auto"/>
      </w:pPr>
      <w:r>
        <w:continuationSeparator/>
      </w:r>
    </w:p>
  </w:footnote>
  <w:footnote w:id="1">
    <w:p w14:paraId="138AC080" w14:textId="77777777" w:rsidR="003814CF" w:rsidRPr="00CE16A7" w:rsidRDefault="003814CF">
      <w:pPr>
        <w:pStyle w:val="Testonotaapidipagina"/>
        <w:rPr>
          <w:rFonts w:ascii="Times New Roman" w:hAnsi="Times New Roman" w:cs="Times New Roman"/>
        </w:rPr>
      </w:pPr>
      <w:r w:rsidRPr="00CE16A7">
        <w:rPr>
          <w:rStyle w:val="Rimandonotaapidipagina"/>
          <w:rFonts w:ascii="Times New Roman" w:hAnsi="Times New Roman" w:cs="Times New Roman"/>
        </w:rPr>
        <w:footnoteRef/>
      </w:r>
      <w:r w:rsidRPr="00CE16A7">
        <w:rPr>
          <w:rFonts w:ascii="Times New Roman" w:hAnsi="Times New Roman" w:cs="Times New Roman"/>
        </w:rPr>
        <w:t xml:space="preserve"> Since data for India and Brazil are not available for the entire time period considered in the paper, these two countries are not included in the analysis performed in this section</w:t>
      </w:r>
    </w:p>
  </w:footnote>
  <w:footnote w:id="2">
    <w:p w14:paraId="4D07B861" w14:textId="77777777" w:rsidR="003814CF" w:rsidRPr="000127B2" w:rsidRDefault="003814CF">
      <w:pPr>
        <w:pStyle w:val="Testonotaapidipagina"/>
        <w:rPr>
          <w:rFonts w:ascii="Times New Roman" w:hAnsi="Times New Roman" w:cs="Times New Roman"/>
          <w:lang w:val="en-US"/>
        </w:rPr>
      </w:pPr>
      <w:r w:rsidRPr="000127B2">
        <w:rPr>
          <w:rStyle w:val="Rimandonotaapidipagina"/>
          <w:rFonts w:ascii="Times New Roman" w:hAnsi="Times New Roman" w:cs="Times New Roman"/>
        </w:rPr>
        <w:footnoteRef/>
      </w:r>
      <w:r w:rsidRPr="000127B2">
        <w:rPr>
          <w:rFonts w:ascii="Times New Roman" w:hAnsi="Times New Roman" w:cs="Times New Roman"/>
        </w:rPr>
        <w:t xml:space="preserve"> The time period for Brazil is </w:t>
      </w:r>
      <w:r w:rsidRPr="000127B2">
        <w:rPr>
          <w:rFonts w:ascii="Times New Roman" w:hAnsi="Times New Roman" w:cs="Times New Roman"/>
          <w:lang w:val="en-US"/>
        </w:rPr>
        <w:t>2000-2008 and for India is 2004-2008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D4396"/>
    <w:multiLevelType w:val="multilevel"/>
    <w:tmpl w:val="2E828A8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47C2843"/>
    <w:multiLevelType w:val="multilevel"/>
    <w:tmpl w:val="A6EA0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E24C17"/>
    <w:multiLevelType w:val="multilevel"/>
    <w:tmpl w:val="C15C6318"/>
    <w:lvl w:ilvl="0">
      <w:start w:val="2"/>
      <w:numFmt w:val="decimal"/>
      <w:lvlText w:val="%1"/>
      <w:lvlJc w:val="left"/>
      <w:pPr>
        <w:ind w:left="1080" w:hanging="1080"/>
      </w:pPr>
      <w:rPr>
        <w:rFonts w:hint="default"/>
      </w:rPr>
    </w:lvl>
    <w:lvl w:ilvl="1">
      <w:start w:val="1"/>
      <w:numFmt w:val="decimal"/>
      <w:lvlText w:val="%1.%2"/>
      <w:lvlJc w:val="left"/>
      <w:pPr>
        <w:ind w:left="1800" w:hanging="1080"/>
      </w:pPr>
      <w:rPr>
        <w:rFonts w:hint="default"/>
      </w:rPr>
    </w:lvl>
    <w:lvl w:ilvl="2">
      <w:start w:val="1"/>
      <w:numFmt w:val="decimal"/>
      <w:lvlText w:val="%1.%2.%3"/>
      <w:lvlJc w:val="left"/>
      <w:pPr>
        <w:ind w:left="2880" w:hanging="144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3">
    <w:nsid w:val="156623FD"/>
    <w:multiLevelType w:val="hybridMultilevel"/>
    <w:tmpl w:val="291212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1C5E0B02"/>
    <w:multiLevelType w:val="multilevel"/>
    <w:tmpl w:val="FDFE9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2771A0"/>
    <w:multiLevelType w:val="multilevel"/>
    <w:tmpl w:val="D87E0B40"/>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nsid w:val="21434A09"/>
    <w:multiLevelType w:val="hybridMultilevel"/>
    <w:tmpl w:val="05A61F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B380520"/>
    <w:multiLevelType w:val="multilevel"/>
    <w:tmpl w:val="A7B2C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D13AC9"/>
    <w:multiLevelType w:val="multilevel"/>
    <w:tmpl w:val="D87E0B40"/>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nsid w:val="40C172E6"/>
    <w:multiLevelType w:val="multilevel"/>
    <w:tmpl w:val="4900E728"/>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40FE1124"/>
    <w:multiLevelType w:val="multilevel"/>
    <w:tmpl w:val="878A3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9A33C0C"/>
    <w:multiLevelType w:val="multilevel"/>
    <w:tmpl w:val="916AF64C"/>
    <w:lvl w:ilvl="0">
      <w:start w:val="1"/>
      <w:numFmt w:val="decimal"/>
      <w:lvlText w:val="%1"/>
      <w:lvlJc w:val="left"/>
      <w:pPr>
        <w:ind w:left="0" w:firstLine="0"/>
      </w:pPr>
      <w:rPr>
        <w:rFonts w:eastAsia="Times New Roman" w:hint="default"/>
        <w:b/>
        <w:i w:val="0"/>
        <w:color w:val="000000"/>
      </w:rPr>
    </w:lvl>
    <w:lvl w:ilvl="1">
      <w:start w:val="2"/>
      <w:numFmt w:val="decimal"/>
      <w:lvlText w:val="%1.%2"/>
      <w:lvlJc w:val="left"/>
      <w:pPr>
        <w:ind w:left="0" w:firstLine="0"/>
      </w:pPr>
      <w:rPr>
        <w:rFonts w:eastAsia="Times New Roman" w:hint="default"/>
        <w:b/>
        <w:i w:val="0"/>
        <w:color w:val="000000"/>
      </w:rPr>
    </w:lvl>
    <w:lvl w:ilvl="2">
      <w:start w:val="1"/>
      <w:numFmt w:val="decimal"/>
      <w:lvlText w:val="%1.%2.%3"/>
      <w:lvlJc w:val="left"/>
      <w:pPr>
        <w:ind w:left="360" w:hanging="360"/>
      </w:pPr>
      <w:rPr>
        <w:rFonts w:eastAsia="Times New Roman" w:hint="default"/>
        <w:b/>
        <w:i w:val="0"/>
        <w:color w:val="000000"/>
      </w:rPr>
    </w:lvl>
    <w:lvl w:ilvl="3">
      <w:start w:val="1"/>
      <w:numFmt w:val="decimal"/>
      <w:lvlText w:val="%1.%2.%3.%4"/>
      <w:lvlJc w:val="left"/>
      <w:pPr>
        <w:ind w:left="360" w:hanging="360"/>
      </w:pPr>
      <w:rPr>
        <w:rFonts w:eastAsia="Times New Roman" w:hint="default"/>
        <w:b/>
        <w:i w:val="0"/>
        <w:color w:val="000000"/>
      </w:rPr>
    </w:lvl>
    <w:lvl w:ilvl="4">
      <w:start w:val="1"/>
      <w:numFmt w:val="decimal"/>
      <w:lvlText w:val="%1.%2.%3.%4.%5"/>
      <w:lvlJc w:val="left"/>
      <w:pPr>
        <w:ind w:left="720" w:hanging="720"/>
      </w:pPr>
      <w:rPr>
        <w:rFonts w:eastAsia="Times New Roman" w:hint="default"/>
        <w:b/>
        <w:i w:val="0"/>
        <w:color w:val="000000"/>
      </w:rPr>
    </w:lvl>
    <w:lvl w:ilvl="5">
      <w:start w:val="1"/>
      <w:numFmt w:val="decimal"/>
      <w:lvlText w:val="%1.%2.%3.%4.%5.%6"/>
      <w:lvlJc w:val="left"/>
      <w:pPr>
        <w:ind w:left="720" w:hanging="720"/>
      </w:pPr>
      <w:rPr>
        <w:rFonts w:eastAsia="Times New Roman" w:hint="default"/>
        <w:b/>
        <w:i w:val="0"/>
        <w:color w:val="000000"/>
      </w:rPr>
    </w:lvl>
    <w:lvl w:ilvl="6">
      <w:start w:val="1"/>
      <w:numFmt w:val="decimal"/>
      <w:lvlText w:val="%1.%2.%3.%4.%5.%6.%7"/>
      <w:lvlJc w:val="left"/>
      <w:pPr>
        <w:ind w:left="1080" w:hanging="1080"/>
      </w:pPr>
      <w:rPr>
        <w:rFonts w:eastAsia="Times New Roman" w:hint="default"/>
        <w:b/>
        <w:i w:val="0"/>
        <w:color w:val="000000"/>
      </w:rPr>
    </w:lvl>
    <w:lvl w:ilvl="7">
      <w:start w:val="1"/>
      <w:numFmt w:val="decimal"/>
      <w:lvlText w:val="%1.%2.%3.%4.%5.%6.%7.%8"/>
      <w:lvlJc w:val="left"/>
      <w:pPr>
        <w:ind w:left="1080" w:hanging="1080"/>
      </w:pPr>
      <w:rPr>
        <w:rFonts w:eastAsia="Times New Roman" w:hint="default"/>
        <w:b/>
        <w:i w:val="0"/>
        <w:color w:val="000000"/>
      </w:rPr>
    </w:lvl>
    <w:lvl w:ilvl="8">
      <w:start w:val="1"/>
      <w:numFmt w:val="decimal"/>
      <w:lvlText w:val="%1.%2.%3.%4.%5.%6.%7.%8.%9"/>
      <w:lvlJc w:val="left"/>
      <w:pPr>
        <w:ind w:left="1440" w:hanging="1440"/>
      </w:pPr>
      <w:rPr>
        <w:rFonts w:eastAsia="Times New Roman" w:hint="default"/>
        <w:b/>
        <w:i w:val="0"/>
        <w:color w:val="000000"/>
      </w:rPr>
    </w:lvl>
  </w:abstractNum>
  <w:abstractNum w:abstractNumId="12">
    <w:nsid w:val="4C2D11F0"/>
    <w:multiLevelType w:val="multilevel"/>
    <w:tmpl w:val="A7B67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CBB73D3"/>
    <w:multiLevelType w:val="multilevel"/>
    <w:tmpl w:val="63DC6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DCF3B30"/>
    <w:multiLevelType w:val="multilevel"/>
    <w:tmpl w:val="A35CA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5CA66DF"/>
    <w:multiLevelType w:val="multilevel"/>
    <w:tmpl w:val="0AFCB140"/>
    <w:lvl w:ilvl="0">
      <w:start w:val="5"/>
      <w:numFmt w:val="decimal"/>
      <w:lvlText w:val="%1."/>
      <w:lvlJc w:val="left"/>
      <w:pPr>
        <w:ind w:left="72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nsid w:val="5FD656AA"/>
    <w:multiLevelType w:val="multilevel"/>
    <w:tmpl w:val="F3467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12D57C3"/>
    <w:multiLevelType w:val="multilevel"/>
    <w:tmpl w:val="4AD41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1484C98"/>
    <w:multiLevelType w:val="multilevel"/>
    <w:tmpl w:val="D87E0B40"/>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nsid w:val="632266AD"/>
    <w:multiLevelType w:val="hybridMultilevel"/>
    <w:tmpl w:val="19924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B704ED8"/>
    <w:multiLevelType w:val="multilevel"/>
    <w:tmpl w:val="FBB61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E847254"/>
    <w:multiLevelType w:val="hybridMultilevel"/>
    <w:tmpl w:val="CB749F14"/>
    <w:lvl w:ilvl="0" w:tplc="7602A35E">
      <w:start w:val="1"/>
      <w:numFmt w:val="lowerRoman"/>
      <w:lvlText w:val="(%1)"/>
      <w:lvlJc w:val="left"/>
      <w:pPr>
        <w:tabs>
          <w:tab w:val="num" w:pos="1080"/>
        </w:tabs>
        <w:ind w:left="1080" w:hanging="72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8"/>
  </w:num>
  <w:num w:numId="2">
    <w:abstractNumId w:val="8"/>
  </w:num>
  <w:num w:numId="3">
    <w:abstractNumId w:val="3"/>
  </w:num>
  <w:num w:numId="4">
    <w:abstractNumId w:val="19"/>
  </w:num>
  <w:num w:numId="5">
    <w:abstractNumId w:val="6"/>
  </w:num>
  <w:num w:numId="6">
    <w:abstractNumId w:val="15"/>
  </w:num>
  <w:num w:numId="7">
    <w:abstractNumId w:val="7"/>
  </w:num>
  <w:num w:numId="8">
    <w:abstractNumId w:val="20"/>
  </w:num>
  <w:num w:numId="9">
    <w:abstractNumId w:val="10"/>
  </w:num>
  <w:num w:numId="10">
    <w:abstractNumId w:val="14"/>
  </w:num>
  <w:num w:numId="11">
    <w:abstractNumId w:val="16"/>
  </w:num>
  <w:num w:numId="12">
    <w:abstractNumId w:val="12"/>
  </w:num>
  <w:num w:numId="13">
    <w:abstractNumId w:val="4"/>
  </w:num>
  <w:num w:numId="14">
    <w:abstractNumId w:val="17"/>
  </w:num>
  <w:num w:numId="15">
    <w:abstractNumId w:val="5"/>
  </w:num>
  <w:num w:numId="16">
    <w:abstractNumId w:val="2"/>
  </w:num>
  <w:num w:numId="17">
    <w:abstractNumId w:val="11"/>
  </w:num>
  <w:num w:numId="18">
    <w:abstractNumId w:val="0"/>
  </w:num>
  <w:num w:numId="19">
    <w:abstractNumId w:val="9"/>
  </w:num>
  <w:num w:numId="20">
    <w:abstractNumId w:val="1"/>
  </w:num>
  <w:num w:numId="21">
    <w:abstractNumId w:val="13"/>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991"/>
    <w:rsid w:val="00000FAB"/>
    <w:rsid w:val="000010CD"/>
    <w:rsid w:val="00002234"/>
    <w:rsid w:val="00003FAF"/>
    <w:rsid w:val="000127B2"/>
    <w:rsid w:val="00021B5B"/>
    <w:rsid w:val="000236FF"/>
    <w:rsid w:val="00035E87"/>
    <w:rsid w:val="00043858"/>
    <w:rsid w:val="000476F8"/>
    <w:rsid w:val="00066D49"/>
    <w:rsid w:val="00080975"/>
    <w:rsid w:val="00084943"/>
    <w:rsid w:val="00084CF8"/>
    <w:rsid w:val="00086577"/>
    <w:rsid w:val="000A4D63"/>
    <w:rsid w:val="000B163B"/>
    <w:rsid w:val="000B5C7C"/>
    <w:rsid w:val="000D525F"/>
    <w:rsid w:val="000F0BAA"/>
    <w:rsid w:val="000F1BD6"/>
    <w:rsid w:val="000F1EDB"/>
    <w:rsid w:val="000F502E"/>
    <w:rsid w:val="00100FA3"/>
    <w:rsid w:val="001023A5"/>
    <w:rsid w:val="00104CB6"/>
    <w:rsid w:val="00104CE1"/>
    <w:rsid w:val="00110F9E"/>
    <w:rsid w:val="001123C8"/>
    <w:rsid w:val="00125D39"/>
    <w:rsid w:val="00143690"/>
    <w:rsid w:val="001612EB"/>
    <w:rsid w:val="00167C6A"/>
    <w:rsid w:val="0018551C"/>
    <w:rsid w:val="00192F25"/>
    <w:rsid w:val="00194964"/>
    <w:rsid w:val="0019726D"/>
    <w:rsid w:val="00197EB4"/>
    <w:rsid w:val="001A1BD9"/>
    <w:rsid w:val="001A2496"/>
    <w:rsid w:val="001B6A53"/>
    <w:rsid w:val="001C36BC"/>
    <w:rsid w:val="001D2FC5"/>
    <w:rsid w:val="001E16F8"/>
    <w:rsid w:val="00200F9A"/>
    <w:rsid w:val="00203D23"/>
    <w:rsid w:val="002078CD"/>
    <w:rsid w:val="002151D0"/>
    <w:rsid w:val="00261F1D"/>
    <w:rsid w:val="00262A58"/>
    <w:rsid w:val="00262E61"/>
    <w:rsid w:val="0026473F"/>
    <w:rsid w:val="0028723B"/>
    <w:rsid w:val="00290F08"/>
    <w:rsid w:val="002A02DA"/>
    <w:rsid w:val="002D5B7F"/>
    <w:rsid w:val="002D6AD5"/>
    <w:rsid w:val="002E3D8D"/>
    <w:rsid w:val="002E6820"/>
    <w:rsid w:val="002F2E3F"/>
    <w:rsid w:val="002F761B"/>
    <w:rsid w:val="0030053B"/>
    <w:rsid w:val="003011E5"/>
    <w:rsid w:val="0030165C"/>
    <w:rsid w:val="00304FBD"/>
    <w:rsid w:val="00312466"/>
    <w:rsid w:val="00324EE7"/>
    <w:rsid w:val="0032655D"/>
    <w:rsid w:val="003379C9"/>
    <w:rsid w:val="00361C07"/>
    <w:rsid w:val="00363286"/>
    <w:rsid w:val="003814CF"/>
    <w:rsid w:val="00385916"/>
    <w:rsid w:val="003B00BB"/>
    <w:rsid w:val="003B23DD"/>
    <w:rsid w:val="003C2A8D"/>
    <w:rsid w:val="003E3171"/>
    <w:rsid w:val="003E3CB5"/>
    <w:rsid w:val="003F10D4"/>
    <w:rsid w:val="003F749F"/>
    <w:rsid w:val="00411CC0"/>
    <w:rsid w:val="00415F14"/>
    <w:rsid w:val="0042125F"/>
    <w:rsid w:val="00427043"/>
    <w:rsid w:val="00437EB0"/>
    <w:rsid w:val="00443C30"/>
    <w:rsid w:val="00455810"/>
    <w:rsid w:val="00463FBA"/>
    <w:rsid w:val="004722E3"/>
    <w:rsid w:val="004A4EB7"/>
    <w:rsid w:val="004A776E"/>
    <w:rsid w:val="004B2802"/>
    <w:rsid w:val="004C3DE9"/>
    <w:rsid w:val="004E30B4"/>
    <w:rsid w:val="004F2272"/>
    <w:rsid w:val="004F2EEB"/>
    <w:rsid w:val="004F3AF1"/>
    <w:rsid w:val="00502D77"/>
    <w:rsid w:val="00504B5E"/>
    <w:rsid w:val="00506873"/>
    <w:rsid w:val="005071AC"/>
    <w:rsid w:val="00510517"/>
    <w:rsid w:val="00530BE6"/>
    <w:rsid w:val="00536379"/>
    <w:rsid w:val="00560991"/>
    <w:rsid w:val="00593774"/>
    <w:rsid w:val="0059455C"/>
    <w:rsid w:val="00596D9F"/>
    <w:rsid w:val="005A104C"/>
    <w:rsid w:val="005B153B"/>
    <w:rsid w:val="005B4D06"/>
    <w:rsid w:val="005C084C"/>
    <w:rsid w:val="005C67A8"/>
    <w:rsid w:val="005D3D98"/>
    <w:rsid w:val="005D756D"/>
    <w:rsid w:val="005E0F99"/>
    <w:rsid w:val="005E7808"/>
    <w:rsid w:val="00605B3A"/>
    <w:rsid w:val="0060672F"/>
    <w:rsid w:val="006074AE"/>
    <w:rsid w:val="00621213"/>
    <w:rsid w:val="00624270"/>
    <w:rsid w:val="006307FF"/>
    <w:rsid w:val="006329DD"/>
    <w:rsid w:val="006371EC"/>
    <w:rsid w:val="00655FDD"/>
    <w:rsid w:val="00662148"/>
    <w:rsid w:val="00670C0D"/>
    <w:rsid w:val="0067458F"/>
    <w:rsid w:val="00690E2B"/>
    <w:rsid w:val="006926A0"/>
    <w:rsid w:val="006A2330"/>
    <w:rsid w:val="006A2FD9"/>
    <w:rsid w:val="006A426E"/>
    <w:rsid w:val="006C01DB"/>
    <w:rsid w:val="006D4B8C"/>
    <w:rsid w:val="006D6E81"/>
    <w:rsid w:val="006F082A"/>
    <w:rsid w:val="00705EB1"/>
    <w:rsid w:val="0070791A"/>
    <w:rsid w:val="00713A1A"/>
    <w:rsid w:val="0071595F"/>
    <w:rsid w:val="007251B5"/>
    <w:rsid w:val="007357F2"/>
    <w:rsid w:val="00737E76"/>
    <w:rsid w:val="00747A60"/>
    <w:rsid w:val="00780841"/>
    <w:rsid w:val="00785DFE"/>
    <w:rsid w:val="00791873"/>
    <w:rsid w:val="00791C0A"/>
    <w:rsid w:val="00797E86"/>
    <w:rsid w:val="007A0BFF"/>
    <w:rsid w:val="007C2409"/>
    <w:rsid w:val="007C2E6D"/>
    <w:rsid w:val="007C44F8"/>
    <w:rsid w:val="007D0B32"/>
    <w:rsid w:val="007D66F9"/>
    <w:rsid w:val="007E656D"/>
    <w:rsid w:val="007E68DD"/>
    <w:rsid w:val="008034FB"/>
    <w:rsid w:val="00803ABC"/>
    <w:rsid w:val="008147BA"/>
    <w:rsid w:val="008407BA"/>
    <w:rsid w:val="00860D51"/>
    <w:rsid w:val="008718A1"/>
    <w:rsid w:val="008B681D"/>
    <w:rsid w:val="008C0F10"/>
    <w:rsid w:val="008C7A30"/>
    <w:rsid w:val="008D696D"/>
    <w:rsid w:val="008E4444"/>
    <w:rsid w:val="008E51B0"/>
    <w:rsid w:val="008E550C"/>
    <w:rsid w:val="008F13C9"/>
    <w:rsid w:val="008F7320"/>
    <w:rsid w:val="00903C2D"/>
    <w:rsid w:val="00923571"/>
    <w:rsid w:val="00925907"/>
    <w:rsid w:val="00930044"/>
    <w:rsid w:val="00937A98"/>
    <w:rsid w:val="00945F9B"/>
    <w:rsid w:val="00947065"/>
    <w:rsid w:val="0095287D"/>
    <w:rsid w:val="00957AA2"/>
    <w:rsid w:val="00957EA7"/>
    <w:rsid w:val="0096060F"/>
    <w:rsid w:val="009653E2"/>
    <w:rsid w:val="0096615A"/>
    <w:rsid w:val="0096759F"/>
    <w:rsid w:val="00974671"/>
    <w:rsid w:val="009758F1"/>
    <w:rsid w:val="00975AF8"/>
    <w:rsid w:val="00980706"/>
    <w:rsid w:val="0098080A"/>
    <w:rsid w:val="00990688"/>
    <w:rsid w:val="009928DA"/>
    <w:rsid w:val="0099563E"/>
    <w:rsid w:val="00996F6F"/>
    <w:rsid w:val="009A3FFC"/>
    <w:rsid w:val="009C59F5"/>
    <w:rsid w:val="009C6C91"/>
    <w:rsid w:val="009D3361"/>
    <w:rsid w:val="009E7580"/>
    <w:rsid w:val="009F3D73"/>
    <w:rsid w:val="00A07688"/>
    <w:rsid w:val="00A24628"/>
    <w:rsid w:val="00A264F7"/>
    <w:rsid w:val="00A42CDF"/>
    <w:rsid w:val="00A5002C"/>
    <w:rsid w:val="00A51BF7"/>
    <w:rsid w:val="00A70742"/>
    <w:rsid w:val="00A77977"/>
    <w:rsid w:val="00A81A28"/>
    <w:rsid w:val="00A91233"/>
    <w:rsid w:val="00AA2690"/>
    <w:rsid w:val="00AB780D"/>
    <w:rsid w:val="00AC4918"/>
    <w:rsid w:val="00AD0016"/>
    <w:rsid w:val="00AD61A4"/>
    <w:rsid w:val="00AF6F65"/>
    <w:rsid w:val="00B03E42"/>
    <w:rsid w:val="00B13677"/>
    <w:rsid w:val="00B14666"/>
    <w:rsid w:val="00B230B6"/>
    <w:rsid w:val="00B334AE"/>
    <w:rsid w:val="00B369D4"/>
    <w:rsid w:val="00B472AF"/>
    <w:rsid w:val="00B47901"/>
    <w:rsid w:val="00B47A9F"/>
    <w:rsid w:val="00B526E7"/>
    <w:rsid w:val="00B52C55"/>
    <w:rsid w:val="00B6392C"/>
    <w:rsid w:val="00B751AF"/>
    <w:rsid w:val="00B909A3"/>
    <w:rsid w:val="00B90C89"/>
    <w:rsid w:val="00BA06F3"/>
    <w:rsid w:val="00BC0DC8"/>
    <w:rsid w:val="00BD00BE"/>
    <w:rsid w:val="00BD195F"/>
    <w:rsid w:val="00C248B7"/>
    <w:rsid w:val="00C3112A"/>
    <w:rsid w:val="00C36BB8"/>
    <w:rsid w:val="00C44046"/>
    <w:rsid w:val="00C61134"/>
    <w:rsid w:val="00C61A3E"/>
    <w:rsid w:val="00C726C4"/>
    <w:rsid w:val="00C77EF8"/>
    <w:rsid w:val="00CA282A"/>
    <w:rsid w:val="00CB0D6E"/>
    <w:rsid w:val="00CC2D61"/>
    <w:rsid w:val="00CC37F4"/>
    <w:rsid w:val="00CC60ED"/>
    <w:rsid w:val="00CD6898"/>
    <w:rsid w:val="00CE0D1D"/>
    <w:rsid w:val="00CE1271"/>
    <w:rsid w:val="00CE16A7"/>
    <w:rsid w:val="00CE59C4"/>
    <w:rsid w:val="00CF0F0E"/>
    <w:rsid w:val="00CF32F5"/>
    <w:rsid w:val="00CF7E4E"/>
    <w:rsid w:val="00D0275D"/>
    <w:rsid w:val="00D04448"/>
    <w:rsid w:val="00D051D9"/>
    <w:rsid w:val="00D10178"/>
    <w:rsid w:val="00D13236"/>
    <w:rsid w:val="00D17B96"/>
    <w:rsid w:val="00D17EAA"/>
    <w:rsid w:val="00D2181D"/>
    <w:rsid w:val="00D23318"/>
    <w:rsid w:val="00D32583"/>
    <w:rsid w:val="00D72080"/>
    <w:rsid w:val="00D9017E"/>
    <w:rsid w:val="00D95BBB"/>
    <w:rsid w:val="00D9673B"/>
    <w:rsid w:val="00D96AB6"/>
    <w:rsid w:val="00DB32F3"/>
    <w:rsid w:val="00DB569A"/>
    <w:rsid w:val="00DC00CA"/>
    <w:rsid w:val="00DC6072"/>
    <w:rsid w:val="00DD2AD7"/>
    <w:rsid w:val="00DE0304"/>
    <w:rsid w:val="00DE7AE4"/>
    <w:rsid w:val="00DF620D"/>
    <w:rsid w:val="00DF629C"/>
    <w:rsid w:val="00DF79EC"/>
    <w:rsid w:val="00E36C9F"/>
    <w:rsid w:val="00E40F96"/>
    <w:rsid w:val="00E570F6"/>
    <w:rsid w:val="00E577E6"/>
    <w:rsid w:val="00E859FE"/>
    <w:rsid w:val="00E922E4"/>
    <w:rsid w:val="00EA7F8B"/>
    <w:rsid w:val="00EB5BA7"/>
    <w:rsid w:val="00EC0FCF"/>
    <w:rsid w:val="00EE7643"/>
    <w:rsid w:val="00EF105E"/>
    <w:rsid w:val="00EF6F25"/>
    <w:rsid w:val="00F06714"/>
    <w:rsid w:val="00F07092"/>
    <w:rsid w:val="00F12E44"/>
    <w:rsid w:val="00F245A0"/>
    <w:rsid w:val="00F34A78"/>
    <w:rsid w:val="00F40463"/>
    <w:rsid w:val="00F43B5F"/>
    <w:rsid w:val="00F629FA"/>
    <w:rsid w:val="00F631BE"/>
    <w:rsid w:val="00F7433B"/>
    <w:rsid w:val="00F7603E"/>
    <w:rsid w:val="00F80029"/>
    <w:rsid w:val="00F93E85"/>
    <w:rsid w:val="00F96C93"/>
    <w:rsid w:val="00FA77A5"/>
    <w:rsid w:val="00FB46DD"/>
    <w:rsid w:val="00FC1244"/>
    <w:rsid w:val="00FD4DBF"/>
    <w:rsid w:val="00FD544A"/>
    <w:rsid w:val="00FF1922"/>
    <w:rsid w:val="00FF26D9"/>
    <w:rsid w:val="00FF460A"/>
    <w:rsid w:val="00FF6AE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610E6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560991"/>
    <w:rPr>
      <w:color w:val="0000FF"/>
      <w:u w:val="single"/>
    </w:rPr>
  </w:style>
  <w:style w:type="character" w:styleId="Collegamentovisitato">
    <w:name w:val="FollowedHyperlink"/>
    <w:basedOn w:val="Carpredefinitoparagrafo"/>
    <w:uiPriority w:val="99"/>
    <w:semiHidden/>
    <w:unhideWhenUsed/>
    <w:rsid w:val="00560991"/>
    <w:rPr>
      <w:color w:val="800080"/>
      <w:u w:val="single"/>
    </w:rPr>
  </w:style>
  <w:style w:type="paragraph" w:customStyle="1" w:styleId="xl100">
    <w:name w:val="xl100"/>
    <w:basedOn w:val="Normale"/>
    <w:rsid w:val="00560991"/>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01">
    <w:name w:val="xl101"/>
    <w:basedOn w:val="Normale"/>
    <w:rsid w:val="00560991"/>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04">
    <w:name w:val="xl104"/>
    <w:basedOn w:val="Normale"/>
    <w:rsid w:val="00560991"/>
    <w:pP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105">
    <w:name w:val="xl105"/>
    <w:basedOn w:val="Normale"/>
    <w:rsid w:val="00560991"/>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106">
    <w:name w:val="xl106"/>
    <w:basedOn w:val="Normale"/>
    <w:rsid w:val="00560991"/>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07">
    <w:name w:val="xl107"/>
    <w:basedOn w:val="Normale"/>
    <w:rsid w:val="00560991"/>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08">
    <w:name w:val="xl108"/>
    <w:basedOn w:val="Normale"/>
    <w:rsid w:val="00560991"/>
    <w:pPr>
      <w:pBdr>
        <w:top w:val="single" w:sz="8" w:space="0" w:color="auto"/>
        <w:bottom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color w:val="000000"/>
      <w:sz w:val="24"/>
      <w:szCs w:val="24"/>
      <w:lang w:eastAsia="en-GB"/>
    </w:rPr>
  </w:style>
  <w:style w:type="paragraph" w:customStyle="1" w:styleId="xl109">
    <w:name w:val="xl109"/>
    <w:basedOn w:val="Normale"/>
    <w:rsid w:val="00560991"/>
    <w:pPr>
      <w:pBdr>
        <w:top w:val="single" w:sz="8" w:space="0" w:color="auto"/>
        <w:bottom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en-GB"/>
    </w:rPr>
  </w:style>
  <w:style w:type="paragraph" w:customStyle="1" w:styleId="xl111">
    <w:name w:val="xl111"/>
    <w:basedOn w:val="Normale"/>
    <w:rsid w:val="00560991"/>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12">
    <w:name w:val="xl112"/>
    <w:basedOn w:val="Normale"/>
    <w:rsid w:val="00560991"/>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13">
    <w:name w:val="xl113"/>
    <w:basedOn w:val="Normale"/>
    <w:rsid w:val="00560991"/>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estofumetto">
    <w:name w:val="Balloon Text"/>
    <w:basedOn w:val="Normale"/>
    <w:link w:val="TestofumettoCarattere"/>
    <w:uiPriority w:val="99"/>
    <w:semiHidden/>
    <w:unhideWhenUsed/>
    <w:rsid w:val="00CA282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A282A"/>
    <w:rPr>
      <w:rFonts w:ascii="Tahoma" w:hAnsi="Tahoma" w:cs="Tahoma"/>
      <w:sz w:val="16"/>
      <w:szCs w:val="16"/>
    </w:rPr>
  </w:style>
  <w:style w:type="table" w:styleId="Grigliatabella">
    <w:name w:val="Table Grid"/>
    <w:basedOn w:val="Tabellanormale"/>
    <w:uiPriority w:val="59"/>
    <w:rsid w:val="00DD2A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043858"/>
    <w:pPr>
      <w:ind w:left="720"/>
      <w:contextualSpacing/>
    </w:pPr>
  </w:style>
  <w:style w:type="paragraph" w:styleId="Testonotaapidipagina">
    <w:name w:val="footnote text"/>
    <w:basedOn w:val="Normale"/>
    <w:link w:val="TestonotaapidipaginaCarattere"/>
    <w:uiPriority w:val="99"/>
    <w:semiHidden/>
    <w:unhideWhenUsed/>
    <w:rsid w:val="005E7808"/>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5E7808"/>
    <w:rPr>
      <w:sz w:val="20"/>
      <w:szCs w:val="20"/>
    </w:rPr>
  </w:style>
  <w:style w:type="character" w:styleId="Rimandonotaapidipagina">
    <w:name w:val="footnote reference"/>
    <w:basedOn w:val="Carpredefinitoparagrafo"/>
    <w:uiPriority w:val="99"/>
    <w:semiHidden/>
    <w:unhideWhenUsed/>
    <w:rsid w:val="005E7808"/>
    <w:rPr>
      <w:vertAlign w:val="superscript"/>
    </w:rPr>
  </w:style>
  <w:style w:type="character" w:customStyle="1" w:styleId="apple-converted-space">
    <w:name w:val="apple-converted-space"/>
    <w:basedOn w:val="Carpredefinitoparagrafo"/>
    <w:rsid w:val="008E51B0"/>
  </w:style>
  <w:style w:type="character" w:styleId="AcronimoHTML">
    <w:name w:val="HTML Acronym"/>
    <w:basedOn w:val="Carpredefinitoparagrafo"/>
    <w:uiPriority w:val="99"/>
    <w:semiHidden/>
    <w:unhideWhenUsed/>
    <w:rsid w:val="00B909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560991"/>
    <w:rPr>
      <w:color w:val="0000FF"/>
      <w:u w:val="single"/>
    </w:rPr>
  </w:style>
  <w:style w:type="character" w:styleId="Collegamentovisitato">
    <w:name w:val="FollowedHyperlink"/>
    <w:basedOn w:val="Carpredefinitoparagrafo"/>
    <w:uiPriority w:val="99"/>
    <w:semiHidden/>
    <w:unhideWhenUsed/>
    <w:rsid w:val="00560991"/>
    <w:rPr>
      <w:color w:val="800080"/>
      <w:u w:val="single"/>
    </w:rPr>
  </w:style>
  <w:style w:type="paragraph" w:customStyle="1" w:styleId="xl100">
    <w:name w:val="xl100"/>
    <w:basedOn w:val="Normale"/>
    <w:rsid w:val="00560991"/>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01">
    <w:name w:val="xl101"/>
    <w:basedOn w:val="Normale"/>
    <w:rsid w:val="00560991"/>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04">
    <w:name w:val="xl104"/>
    <w:basedOn w:val="Normale"/>
    <w:rsid w:val="00560991"/>
    <w:pP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105">
    <w:name w:val="xl105"/>
    <w:basedOn w:val="Normale"/>
    <w:rsid w:val="00560991"/>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106">
    <w:name w:val="xl106"/>
    <w:basedOn w:val="Normale"/>
    <w:rsid w:val="00560991"/>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07">
    <w:name w:val="xl107"/>
    <w:basedOn w:val="Normale"/>
    <w:rsid w:val="00560991"/>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08">
    <w:name w:val="xl108"/>
    <w:basedOn w:val="Normale"/>
    <w:rsid w:val="00560991"/>
    <w:pPr>
      <w:pBdr>
        <w:top w:val="single" w:sz="8" w:space="0" w:color="auto"/>
        <w:bottom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color w:val="000000"/>
      <w:sz w:val="24"/>
      <w:szCs w:val="24"/>
      <w:lang w:eastAsia="en-GB"/>
    </w:rPr>
  </w:style>
  <w:style w:type="paragraph" w:customStyle="1" w:styleId="xl109">
    <w:name w:val="xl109"/>
    <w:basedOn w:val="Normale"/>
    <w:rsid w:val="00560991"/>
    <w:pPr>
      <w:pBdr>
        <w:top w:val="single" w:sz="8" w:space="0" w:color="auto"/>
        <w:bottom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en-GB"/>
    </w:rPr>
  </w:style>
  <w:style w:type="paragraph" w:customStyle="1" w:styleId="xl111">
    <w:name w:val="xl111"/>
    <w:basedOn w:val="Normale"/>
    <w:rsid w:val="00560991"/>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12">
    <w:name w:val="xl112"/>
    <w:basedOn w:val="Normale"/>
    <w:rsid w:val="00560991"/>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13">
    <w:name w:val="xl113"/>
    <w:basedOn w:val="Normale"/>
    <w:rsid w:val="00560991"/>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estofumetto">
    <w:name w:val="Balloon Text"/>
    <w:basedOn w:val="Normale"/>
    <w:link w:val="TestofumettoCarattere"/>
    <w:uiPriority w:val="99"/>
    <w:semiHidden/>
    <w:unhideWhenUsed/>
    <w:rsid w:val="00CA282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A282A"/>
    <w:rPr>
      <w:rFonts w:ascii="Tahoma" w:hAnsi="Tahoma" w:cs="Tahoma"/>
      <w:sz w:val="16"/>
      <w:szCs w:val="16"/>
    </w:rPr>
  </w:style>
  <w:style w:type="table" w:styleId="Grigliatabella">
    <w:name w:val="Table Grid"/>
    <w:basedOn w:val="Tabellanormale"/>
    <w:uiPriority w:val="59"/>
    <w:rsid w:val="00DD2A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043858"/>
    <w:pPr>
      <w:ind w:left="720"/>
      <w:contextualSpacing/>
    </w:pPr>
  </w:style>
  <w:style w:type="paragraph" w:styleId="Testonotaapidipagina">
    <w:name w:val="footnote text"/>
    <w:basedOn w:val="Normale"/>
    <w:link w:val="TestonotaapidipaginaCarattere"/>
    <w:uiPriority w:val="99"/>
    <w:semiHidden/>
    <w:unhideWhenUsed/>
    <w:rsid w:val="005E7808"/>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5E7808"/>
    <w:rPr>
      <w:sz w:val="20"/>
      <w:szCs w:val="20"/>
    </w:rPr>
  </w:style>
  <w:style w:type="character" w:styleId="Rimandonotaapidipagina">
    <w:name w:val="footnote reference"/>
    <w:basedOn w:val="Carpredefinitoparagrafo"/>
    <w:uiPriority w:val="99"/>
    <w:semiHidden/>
    <w:unhideWhenUsed/>
    <w:rsid w:val="005E7808"/>
    <w:rPr>
      <w:vertAlign w:val="superscript"/>
    </w:rPr>
  </w:style>
  <w:style w:type="character" w:customStyle="1" w:styleId="apple-converted-space">
    <w:name w:val="apple-converted-space"/>
    <w:basedOn w:val="Carpredefinitoparagrafo"/>
    <w:rsid w:val="008E51B0"/>
  </w:style>
  <w:style w:type="character" w:styleId="AcronimoHTML">
    <w:name w:val="HTML Acronym"/>
    <w:basedOn w:val="Carpredefinitoparagrafo"/>
    <w:uiPriority w:val="99"/>
    <w:semiHidden/>
    <w:unhideWhenUsed/>
    <w:rsid w:val="00B909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39922">
      <w:bodyDiv w:val="1"/>
      <w:marLeft w:val="0"/>
      <w:marRight w:val="0"/>
      <w:marTop w:val="0"/>
      <w:marBottom w:val="0"/>
      <w:divBdr>
        <w:top w:val="none" w:sz="0" w:space="0" w:color="auto"/>
        <w:left w:val="none" w:sz="0" w:space="0" w:color="auto"/>
        <w:bottom w:val="none" w:sz="0" w:space="0" w:color="auto"/>
        <w:right w:val="none" w:sz="0" w:space="0" w:color="auto"/>
      </w:divBdr>
    </w:div>
    <w:div w:id="118648205">
      <w:bodyDiv w:val="1"/>
      <w:marLeft w:val="0"/>
      <w:marRight w:val="0"/>
      <w:marTop w:val="0"/>
      <w:marBottom w:val="0"/>
      <w:divBdr>
        <w:top w:val="none" w:sz="0" w:space="0" w:color="auto"/>
        <w:left w:val="none" w:sz="0" w:space="0" w:color="auto"/>
        <w:bottom w:val="none" w:sz="0" w:space="0" w:color="auto"/>
        <w:right w:val="none" w:sz="0" w:space="0" w:color="auto"/>
      </w:divBdr>
      <w:divsChild>
        <w:div w:id="1824394333">
          <w:marLeft w:val="0"/>
          <w:marRight w:val="0"/>
          <w:marTop w:val="0"/>
          <w:marBottom w:val="0"/>
          <w:divBdr>
            <w:top w:val="none" w:sz="0" w:space="0" w:color="auto"/>
            <w:left w:val="none" w:sz="0" w:space="0" w:color="auto"/>
            <w:bottom w:val="none" w:sz="0" w:space="0" w:color="auto"/>
            <w:right w:val="none" w:sz="0" w:space="0" w:color="auto"/>
          </w:divBdr>
        </w:div>
        <w:div w:id="1775130417">
          <w:marLeft w:val="0"/>
          <w:marRight w:val="0"/>
          <w:marTop w:val="0"/>
          <w:marBottom w:val="0"/>
          <w:divBdr>
            <w:top w:val="none" w:sz="0" w:space="0" w:color="auto"/>
            <w:left w:val="none" w:sz="0" w:space="0" w:color="auto"/>
            <w:bottom w:val="none" w:sz="0" w:space="0" w:color="auto"/>
            <w:right w:val="none" w:sz="0" w:space="0" w:color="auto"/>
          </w:divBdr>
        </w:div>
      </w:divsChild>
    </w:div>
    <w:div w:id="312148543">
      <w:bodyDiv w:val="1"/>
      <w:marLeft w:val="0"/>
      <w:marRight w:val="0"/>
      <w:marTop w:val="0"/>
      <w:marBottom w:val="0"/>
      <w:divBdr>
        <w:top w:val="none" w:sz="0" w:space="0" w:color="auto"/>
        <w:left w:val="none" w:sz="0" w:space="0" w:color="auto"/>
        <w:bottom w:val="none" w:sz="0" w:space="0" w:color="auto"/>
        <w:right w:val="none" w:sz="0" w:space="0" w:color="auto"/>
      </w:divBdr>
    </w:div>
    <w:div w:id="321589584">
      <w:bodyDiv w:val="1"/>
      <w:marLeft w:val="0"/>
      <w:marRight w:val="0"/>
      <w:marTop w:val="0"/>
      <w:marBottom w:val="0"/>
      <w:divBdr>
        <w:top w:val="none" w:sz="0" w:space="0" w:color="auto"/>
        <w:left w:val="none" w:sz="0" w:space="0" w:color="auto"/>
        <w:bottom w:val="none" w:sz="0" w:space="0" w:color="auto"/>
        <w:right w:val="none" w:sz="0" w:space="0" w:color="auto"/>
      </w:divBdr>
    </w:div>
    <w:div w:id="377244823">
      <w:bodyDiv w:val="1"/>
      <w:marLeft w:val="0"/>
      <w:marRight w:val="0"/>
      <w:marTop w:val="0"/>
      <w:marBottom w:val="0"/>
      <w:divBdr>
        <w:top w:val="none" w:sz="0" w:space="0" w:color="auto"/>
        <w:left w:val="none" w:sz="0" w:space="0" w:color="auto"/>
        <w:bottom w:val="none" w:sz="0" w:space="0" w:color="auto"/>
        <w:right w:val="none" w:sz="0" w:space="0" w:color="auto"/>
      </w:divBdr>
    </w:div>
    <w:div w:id="485559443">
      <w:bodyDiv w:val="1"/>
      <w:marLeft w:val="0"/>
      <w:marRight w:val="0"/>
      <w:marTop w:val="0"/>
      <w:marBottom w:val="0"/>
      <w:divBdr>
        <w:top w:val="none" w:sz="0" w:space="0" w:color="auto"/>
        <w:left w:val="none" w:sz="0" w:space="0" w:color="auto"/>
        <w:bottom w:val="none" w:sz="0" w:space="0" w:color="auto"/>
        <w:right w:val="none" w:sz="0" w:space="0" w:color="auto"/>
      </w:divBdr>
    </w:div>
    <w:div w:id="562915373">
      <w:bodyDiv w:val="1"/>
      <w:marLeft w:val="0"/>
      <w:marRight w:val="0"/>
      <w:marTop w:val="0"/>
      <w:marBottom w:val="0"/>
      <w:divBdr>
        <w:top w:val="none" w:sz="0" w:space="0" w:color="auto"/>
        <w:left w:val="none" w:sz="0" w:space="0" w:color="auto"/>
        <w:bottom w:val="none" w:sz="0" w:space="0" w:color="auto"/>
        <w:right w:val="none" w:sz="0" w:space="0" w:color="auto"/>
      </w:divBdr>
    </w:div>
    <w:div w:id="614217894">
      <w:bodyDiv w:val="1"/>
      <w:marLeft w:val="0"/>
      <w:marRight w:val="0"/>
      <w:marTop w:val="0"/>
      <w:marBottom w:val="0"/>
      <w:divBdr>
        <w:top w:val="none" w:sz="0" w:space="0" w:color="auto"/>
        <w:left w:val="none" w:sz="0" w:space="0" w:color="auto"/>
        <w:bottom w:val="none" w:sz="0" w:space="0" w:color="auto"/>
        <w:right w:val="none" w:sz="0" w:space="0" w:color="auto"/>
      </w:divBdr>
    </w:div>
    <w:div w:id="700863827">
      <w:bodyDiv w:val="1"/>
      <w:marLeft w:val="0"/>
      <w:marRight w:val="0"/>
      <w:marTop w:val="0"/>
      <w:marBottom w:val="0"/>
      <w:divBdr>
        <w:top w:val="none" w:sz="0" w:space="0" w:color="auto"/>
        <w:left w:val="none" w:sz="0" w:space="0" w:color="auto"/>
        <w:bottom w:val="none" w:sz="0" w:space="0" w:color="auto"/>
        <w:right w:val="none" w:sz="0" w:space="0" w:color="auto"/>
      </w:divBdr>
    </w:div>
    <w:div w:id="766727873">
      <w:bodyDiv w:val="1"/>
      <w:marLeft w:val="0"/>
      <w:marRight w:val="0"/>
      <w:marTop w:val="0"/>
      <w:marBottom w:val="0"/>
      <w:divBdr>
        <w:top w:val="none" w:sz="0" w:space="0" w:color="auto"/>
        <w:left w:val="none" w:sz="0" w:space="0" w:color="auto"/>
        <w:bottom w:val="none" w:sz="0" w:space="0" w:color="auto"/>
        <w:right w:val="none" w:sz="0" w:space="0" w:color="auto"/>
      </w:divBdr>
    </w:div>
    <w:div w:id="894854395">
      <w:bodyDiv w:val="1"/>
      <w:marLeft w:val="0"/>
      <w:marRight w:val="0"/>
      <w:marTop w:val="0"/>
      <w:marBottom w:val="0"/>
      <w:divBdr>
        <w:top w:val="none" w:sz="0" w:space="0" w:color="auto"/>
        <w:left w:val="none" w:sz="0" w:space="0" w:color="auto"/>
        <w:bottom w:val="none" w:sz="0" w:space="0" w:color="auto"/>
        <w:right w:val="none" w:sz="0" w:space="0" w:color="auto"/>
      </w:divBdr>
    </w:div>
    <w:div w:id="896018071">
      <w:bodyDiv w:val="1"/>
      <w:marLeft w:val="0"/>
      <w:marRight w:val="0"/>
      <w:marTop w:val="0"/>
      <w:marBottom w:val="0"/>
      <w:divBdr>
        <w:top w:val="none" w:sz="0" w:space="0" w:color="auto"/>
        <w:left w:val="none" w:sz="0" w:space="0" w:color="auto"/>
        <w:bottom w:val="none" w:sz="0" w:space="0" w:color="auto"/>
        <w:right w:val="none" w:sz="0" w:space="0" w:color="auto"/>
      </w:divBdr>
    </w:div>
    <w:div w:id="919602580">
      <w:bodyDiv w:val="1"/>
      <w:marLeft w:val="0"/>
      <w:marRight w:val="0"/>
      <w:marTop w:val="0"/>
      <w:marBottom w:val="0"/>
      <w:divBdr>
        <w:top w:val="none" w:sz="0" w:space="0" w:color="auto"/>
        <w:left w:val="none" w:sz="0" w:space="0" w:color="auto"/>
        <w:bottom w:val="none" w:sz="0" w:space="0" w:color="auto"/>
        <w:right w:val="none" w:sz="0" w:space="0" w:color="auto"/>
      </w:divBdr>
    </w:div>
    <w:div w:id="953483744">
      <w:bodyDiv w:val="1"/>
      <w:marLeft w:val="0"/>
      <w:marRight w:val="0"/>
      <w:marTop w:val="0"/>
      <w:marBottom w:val="0"/>
      <w:divBdr>
        <w:top w:val="none" w:sz="0" w:space="0" w:color="auto"/>
        <w:left w:val="none" w:sz="0" w:space="0" w:color="auto"/>
        <w:bottom w:val="none" w:sz="0" w:space="0" w:color="auto"/>
        <w:right w:val="none" w:sz="0" w:space="0" w:color="auto"/>
      </w:divBdr>
    </w:div>
    <w:div w:id="957881078">
      <w:bodyDiv w:val="1"/>
      <w:marLeft w:val="0"/>
      <w:marRight w:val="0"/>
      <w:marTop w:val="0"/>
      <w:marBottom w:val="0"/>
      <w:divBdr>
        <w:top w:val="none" w:sz="0" w:space="0" w:color="auto"/>
        <w:left w:val="none" w:sz="0" w:space="0" w:color="auto"/>
        <w:bottom w:val="none" w:sz="0" w:space="0" w:color="auto"/>
        <w:right w:val="none" w:sz="0" w:space="0" w:color="auto"/>
      </w:divBdr>
    </w:div>
    <w:div w:id="1093740562">
      <w:bodyDiv w:val="1"/>
      <w:marLeft w:val="0"/>
      <w:marRight w:val="0"/>
      <w:marTop w:val="0"/>
      <w:marBottom w:val="0"/>
      <w:divBdr>
        <w:top w:val="none" w:sz="0" w:space="0" w:color="auto"/>
        <w:left w:val="none" w:sz="0" w:space="0" w:color="auto"/>
        <w:bottom w:val="none" w:sz="0" w:space="0" w:color="auto"/>
        <w:right w:val="none" w:sz="0" w:space="0" w:color="auto"/>
      </w:divBdr>
    </w:div>
    <w:div w:id="1170870722">
      <w:bodyDiv w:val="1"/>
      <w:marLeft w:val="0"/>
      <w:marRight w:val="0"/>
      <w:marTop w:val="0"/>
      <w:marBottom w:val="0"/>
      <w:divBdr>
        <w:top w:val="none" w:sz="0" w:space="0" w:color="auto"/>
        <w:left w:val="none" w:sz="0" w:space="0" w:color="auto"/>
        <w:bottom w:val="none" w:sz="0" w:space="0" w:color="auto"/>
        <w:right w:val="none" w:sz="0" w:space="0" w:color="auto"/>
      </w:divBdr>
    </w:div>
    <w:div w:id="1199390900">
      <w:bodyDiv w:val="1"/>
      <w:marLeft w:val="0"/>
      <w:marRight w:val="0"/>
      <w:marTop w:val="0"/>
      <w:marBottom w:val="0"/>
      <w:divBdr>
        <w:top w:val="none" w:sz="0" w:space="0" w:color="auto"/>
        <w:left w:val="none" w:sz="0" w:space="0" w:color="auto"/>
        <w:bottom w:val="none" w:sz="0" w:space="0" w:color="auto"/>
        <w:right w:val="none" w:sz="0" w:space="0" w:color="auto"/>
      </w:divBdr>
    </w:div>
    <w:div w:id="1242760821">
      <w:bodyDiv w:val="1"/>
      <w:marLeft w:val="0"/>
      <w:marRight w:val="0"/>
      <w:marTop w:val="0"/>
      <w:marBottom w:val="0"/>
      <w:divBdr>
        <w:top w:val="none" w:sz="0" w:space="0" w:color="auto"/>
        <w:left w:val="none" w:sz="0" w:space="0" w:color="auto"/>
        <w:bottom w:val="none" w:sz="0" w:space="0" w:color="auto"/>
        <w:right w:val="none" w:sz="0" w:space="0" w:color="auto"/>
      </w:divBdr>
    </w:div>
    <w:div w:id="1323315750">
      <w:bodyDiv w:val="1"/>
      <w:marLeft w:val="0"/>
      <w:marRight w:val="0"/>
      <w:marTop w:val="0"/>
      <w:marBottom w:val="0"/>
      <w:divBdr>
        <w:top w:val="none" w:sz="0" w:space="0" w:color="auto"/>
        <w:left w:val="none" w:sz="0" w:space="0" w:color="auto"/>
        <w:bottom w:val="none" w:sz="0" w:space="0" w:color="auto"/>
        <w:right w:val="none" w:sz="0" w:space="0" w:color="auto"/>
      </w:divBdr>
    </w:div>
    <w:div w:id="1340280683">
      <w:bodyDiv w:val="1"/>
      <w:marLeft w:val="0"/>
      <w:marRight w:val="0"/>
      <w:marTop w:val="0"/>
      <w:marBottom w:val="0"/>
      <w:divBdr>
        <w:top w:val="none" w:sz="0" w:space="0" w:color="auto"/>
        <w:left w:val="none" w:sz="0" w:space="0" w:color="auto"/>
        <w:bottom w:val="none" w:sz="0" w:space="0" w:color="auto"/>
        <w:right w:val="none" w:sz="0" w:space="0" w:color="auto"/>
      </w:divBdr>
    </w:div>
    <w:div w:id="1448546828">
      <w:bodyDiv w:val="1"/>
      <w:marLeft w:val="0"/>
      <w:marRight w:val="0"/>
      <w:marTop w:val="0"/>
      <w:marBottom w:val="0"/>
      <w:divBdr>
        <w:top w:val="none" w:sz="0" w:space="0" w:color="auto"/>
        <w:left w:val="none" w:sz="0" w:space="0" w:color="auto"/>
        <w:bottom w:val="none" w:sz="0" w:space="0" w:color="auto"/>
        <w:right w:val="none" w:sz="0" w:space="0" w:color="auto"/>
      </w:divBdr>
    </w:div>
    <w:div w:id="1514567050">
      <w:bodyDiv w:val="1"/>
      <w:marLeft w:val="0"/>
      <w:marRight w:val="0"/>
      <w:marTop w:val="0"/>
      <w:marBottom w:val="0"/>
      <w:divBdr>
        <w:top w:val="none" w:sz="0" w:space="0" w:color="auto"/>
        <w:left w:val="none" w:sz="0" w:space="0" w:color="auto"/>
        <w:bottom w:val="none" w:sz="0" w:space="0" w:color="auto"/>
        <w:right w:val="none" w:sz="0" w:space="0" w:color="auto"/>
      </w:divBdr>
    </w:div>
    <w:div w:id="1541625932">
      <w:bodyDiv w:val="1"/>
      <w:marLeft w:val="0"/>
      <w:marRight w:val="0"/>
      <w:marTop w:val="0"/>
      <w:marBottom w:val="0"/>
      <w:divBdr>
        <w:top w:val="none" w:sz="0" w:space="0" w:color="auto"/>
        <w:left w:val="none" w:sz="0" w:space="0" w:color="auto"/>
        <w:bottom w:val="none" w:sz="0" w:space="0" w:color="auto"/>
        <w:right w:val="none" w:sz="0" w:space="0" w:color="auto"/>
      </w:divBdr>
    </w:div>
    <w:div w:id="1671368576">
      <w:bodyDiv w:val="1"/>
      <w:marLeft w:val="0"/>
      <w:marRight w:val="0"/>
      <w:marTop w:val="0"/>
      <w:marBottom w:val="0"/>
      <w:divBdr>
        <w:top w:val="none" w:sz="0" w:space="0" w:color="auto"/>
        <w:left w:val="none" w:sz="0" w:space="0" w:color="auto"/>
        <w:bottom w:val="none" w:sz="0" w:space="0" w:color="auto"/>
        <w:right w:val="none" w:sz="0" w:space="0" w:color="auto"/>
      </w:divBdr>
    </w:div>
    <w:div w:id="1680892561">
      <w:bodyDiv w:val="1"/>
      <w:marLeft w:val="0"/>
      <w:marRight w:val="0"/>
      <w:marTop w:val="0"/>
      <w:marBottom w:val="0"/>
      <w:divBdr>
        <w:top w:val="none" w:sz="0" w:space="0" w:color="auto"/>
        <w:left w:val="none" w:sz="0" w:space="0" w:color="auto"/>
        <w:bottom w:val="none" w:sz="0" w:space="0" w:color="auto"/>
        <w:right w:val="none" w:sz="0" w:space="0" w:color="auto"/>
      </w:divBdr>
    </w:div>
    <w:div w:id="1743602553">
      <w:bodyDiv w:val="1"/>
      <w:marLeft w:val="0"/>
      <w:marRight w:val="0"/>
      <w:marTop w:val="0"/>
      <w:marBottom w:val="0"/>
      <w:divBdr>
        <w:top w:val="none" w:sz="0" w:space="0" w:color="auto"/>
        <w:left w:val="none" w:sz="0" w:space="0" w:color="auto"/>
        <w:bottom w:val="none" w:sz="0" w:space="0" w:color="auto"/>
        <w:right w:val="none" w:sz="0" w:space="0" w:color="auto"/>
      </w:divBdr>
    </w:div>
    <w:div w:id="1747873738">
      <w:bodyDiv w:val="1"/>
      <w:marLeft w:val="0"/>
      <w:marRight w:val="0"/>
      <w:marTop w:val="0"/>
      <w:marBottom w:val="0"/>
      <w:divBdr>
        <w:top w:val="none" w:sz="0" w:space="0" w:color="auto"/>
        <w:left w:val="none" w:sz="0" w:space="0" w:color="auto"/>
        <w:bottom w:val="none" w:sz="0" w:space="0" w:color="auto"/>
        <w:right w:val="none" w:sz="0" w:space="0" w:color="auto"/>
      </w:divBdr>
    </w:div>
    <w:div w:id="1870412672">
      <w:bodyDiv w:val="1"/>
      <w:marLeft w:val="0"/>
      <w:marRight w:val="0"/>
      <w:marTop w:val="0"/>
      <w:marBottom w:val="0"/>
      <w:divBdr>
        <w:top w:val="none" w:sz="0" w:space="0" w:color="auto"/>
        <w:left w:val="none" w:sz="0" w:space="0" w:color="auto"/>
        <w:bottom w:val="none" w:sz="0" w:space="0" w:color="auto"/>
        <w:right w:val="none" w:sz="0" w:space="0" w:color="auto"/>
      </w:divBdr>
    </w:div>
    <w:div w:id="1881553850">
      <w:bodyDiv w:val="1"/>
      <w:marLeft w:val="0"/>
      <w:marRight w:val="0"/>
      <w:marTop w:val="0"/>
      <w:marBottom w:val="0"/>
      <w:divBdr>
        <w:top w:val="none" w:sz="0" w:space="0" w:color="auto"/>
        <w:left w:val="none" w:sz="0" w:space="0" w:color="auto"/>
        <w:bottom w:val="none" w:sz="0" w:space="0" w:color="auto"/>
        <w:right w:val="none" w:sz="0" w:space="0" w:color="auto"/>
      </w:divBdr>
    </w:div>
    <w:div w:id="1908149770">
      <w:bodyDiv w:val="1"/>
      <w:marLeft w:val="0"/>
      <w:marRight w:val="0"/>
      <w:marTop w:val="0"/>
      <w:marBottom w:val="0"/>
      <w:divBdr>
        <w:top w:val="none" w:sz="0" w:space="0" w:color="auto"/>
        <w:left w:val="none" w:sz="0" w:space="0" w:color="auto"/>
        <w:bottom w:val="none" w:sz="0" w:space="0" w:color="auto"/>
        <w:right w:val="none" w:sz="0" w:space="0" w:color="auto"/>
      </w:divBdr>
    </w:div>
    <w:div w:id="1971784432">
      <w:bodyDiv w:val="1"/>
      <w:marLeft w:val="0"/>
      <w:marRight w:val="0"/>
      <w:marTop w:val="0"/>
      <w:marBottom w:val="0"/>
      <w:divBdr>
        <w:top w:val="none" w:sz="0" w:space="0" w:color="auto"/>
        <w:left w:val="none" w:sz="0" w:space="0" w:color="auto"/>
        <w:bottom w:val="none" w:sz="0" w:space="0" w:color="auto"/>
        <w:right w:val="none" w:sz="0" w:space="0" w:color="auto"/>
      </w:divBdr>
    </w:div>
    <w:div w:id="1985503298">
      <w:bodyDiv w:val="1"/>
      <w:marLeft w:val="0"/>
      <w:marRight w:val="0"/>
      <w:marTop w:val="0"/>
      <w:marBottom w:val="0"/>
      <w:divBdr>
        <w:top w:val="none" w:sz="0" w:space="0" w:color="auto"/>
        <w:left w:val="none" w:sz="0" w:space="0" w:color="auto"/>
        <w:bottom w:val="none" w:sz="0" w:space="0" w:color="auto"/>
        <w:right w:val="none" w:sz="0" w:space="0" w:color="auto"/>
      </w:divBdr>
    </w:div>
    <w:div w:id="2039159906">
      <w:bodyDiv w:val="1"/>
      <w:marLeft w:val="0"/>
      <w:marRight w:val="0"/>
      <w:marTop w:val="0"/>
      <w:marBottom w:val="0"/>
      <w:divBdr>
        <w:top w:val="none" w:sz="0" w:space="0" w:color="auto"/>
        <w:left w:val="none" w:sz="0" w:space="0" w:color="auto"/>
        <w:bottom w:val="none" w:sz="0" w:space="0" w:color="auto"/>
        <w:right w:val="none" w:sz="0" w:space="0" w:color="auto"/>
      </w:divBdr>
    </w:div>
    <w:div w:id="2110352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hyperlink" Target="http://www.worldbank.org/en/news/feature/2014/06/27/bringing-chinas-energy-efficiency-experience-to-the-world-knowledge-exchange-with-asian-countries" TargetMode="External"/><Relationship Id="rId3" Type="http://schemas.openxmlformats.org/officeDocument/2006/relationships/styles" Target="styles.xml"/><Relationship Id="rId21" Type="http://schemas.openxmlformats.org/officeDocument/2006/relationships/image" Target="media/image3.wmf"/><Relationship Id="rId34" Type="http://schemas.openxmlformats.org/officeDocument/2006/relationships/hyperlink" Target="http://stats.oecd.org/" TargetMode="External"/><Relationship Id="rId42" Type="http://schemas.openxmlformats.org/officeDocument/2006/relationships/hyperlink" Target="file:///C:/Users/andreov/Downloads/1397575956Brazil%20Country%20report%20(FINAL%20and%20UPDATED%20April%202014).pdf" TargetMode="Externa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1.wmf"/><Relationship Id="rId25" Type="http://schemas.openxmlformats.org/officeDocument/2006/relationships/image" Target="media/image5.wmf"/><Relationship Id="rId33" Type="http://schemas.openxmlformats.org/officeDocument/2006/relationships/hyperlink" Target="http://www.wiod.org" TargetMode="External"/><Relationship Id="rId38" Type="http://schemas.openxmlformats.org/officeDocument/2006/relationships/hyperlink" Target="http://www.sei-international.org/mediamanager/documents/Publications/Rethinking-development/Global_assessments/Evaluating-Swedens-emissions.pdf" TargetMode="Externa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oleObject" Target="embeddings/oleObject2.bin"/><Relationship Id="rId29" Type="http://schemas.openxmlformats.org/officeDocument/2006/relationships/chart" Target="charts/chart10.xml"/><Relationship Id="rId41" Type="http://schemas.openxmlformats.org/officeDocument/2006/relationships/hyperlink" Target="http://www.epa.gov/air/ca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oleObject" Target="embeddings/oleObject4.bin"/><Relationship Id="rId32" Type="http://schemas.openxmlformats.org/officeDocument/2006/relationships/hyperlink" Target="http://www.iea.org/newsroomandevents/news/2015/march/global-energy-related-emissions-of-carbon-dioxide-stalled-in-2014.html" TargetMode="External"/><Relationship Id="rId37" Type="http://schemas.openxmlformats.org/officeDocument/2006/relationships/hyperlink" Target="http://www.foreurope.eu/fileadmin/documents/pdf/Workingpapers/WWWforEurope_WPS_no081_MS212.pdf" TargetMode="External"/><Relationship Id="rId40" Type="http://schemas.openxmlformats.org/officeDocument/2006/relationships/hyperlink" Target="http://www05.abb.com/global/scot/scot316.nsf/veritydisplay/3abc548fff4d870ac12578dc002db3e9/$file/luxembourg.pdf"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image" Target="media/image4.wmf"/><Relationship Id="rId28" Type="http://schemas.openxmlformats.org/officeDocument/2006/relationships/chart" Target="charts/chart9.xml"/><Relationship Id="rId36" Type="http://schemas.openxmlformats.org/officeDocument/2006/relationships/hyperlink" Target="http://www.roadmap2050.eu" TargetMode="External"/><Relationship Id="rId10" Type="http://schemas.openxmlformats.org/officeDocument/2006/relationships/chart" Target="charts/chart1.xml"/><Relationship Id="rId19" Type="http://schemas.openxmlformats.org/officeDocument/2006/relationships/image" Target="media/image2.wmf"/><Relationship Id="rId31" Type="http://schemas.openxmlformats.org/officeDocument/2006/relationships/hyperlink" Target="http://www.esrl.noaa.gov/gmd/ccgg/trends/"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andreoni.valeria@gmail.com" TargetMode="External"/><Relationship Id="rId14" Type="http://schemas.openxmlformats.org/officeDocument/2006/relationships/chart" Target="charts/chart5.xml"/><Relationship Id="rId22" Type="http://schemas.openxmlformats.org/officeDocument/2006/relationships/oleObject" Target="embeddings/oleObject3.bin"/><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hyperlink" Target="http://www.rec.org" TargetMode="External"/><Relationship Id="rId43" Type="http://schemas.openxmlformats.org/officeDocument/2006/relationships/hyperlink" Target="http://www.iea.org/newsroomandevents/news/2015/march/global-energy-related-emissions-of-carbon-dioxide-stalled-in-2014.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view3D>
      <c:rotX val="15"/>
      <c:rotY val="20"/>
      <c:rAngAx val="0"/>
      <c:perspective val="30"/>
    </c:view3D>
    <c:floor>
      <c:thickness val="0"/>
    </c:floor>
    <c:sideWall>
      <c:thickness val="0"/>
    </c:sideWall>
    <c:backWall>
      <c:thickness val="0"/>
    </c:backWall>
    <c:plotArea>
      <c:layout/>
      <c:area3DChart>
        <c:grouping val="standard"/>
        <c:varyColors val="0"/>
        <c:ser>
          <c:idx val="0"/>
          <c:order val="0"/>
          <c:tx>
            <c:strRef>
              <c:f>Foglio2!$A$101</c:f>
              <c:strCache>
                <c:ptCount val="1"/>
                <c:pt idx="0">
                  <c:v>European countries</c:v>
                </c:pt>
              </c:strCache>
            </c:strRef>
          </c:tx>
          <c:spPr>
            <a:solidFill>
              <a:schemeClr val="tx1">
                <a:lumMod val="50000"/>
                <a:lumOff val="50000"/>
              </a:schemeClr>
            </a:solidFill>
            <a:ln>
              <a:solidFill>
                <a:sysClr val="windowText" lastClr="000000"/>
              </a:solidFill>
            </a:ln>
          </c:spPr>
          <c:cat>
            <c:numRef>
              <c:f>Foglio2!$B$100:$E$100</c:f>
              <c:numCache>
                <c:formatCode>General</c:formatCode>
                <c:ptCount val="4"/>
                <c:pt idx="0">
                  <c:v>1995</c:v>
                </c:pt>
                <c:pt idx="1">
                  <c:v>1999</c:v>
                </c:pt>
                <c:pt idx="2">
                  <c:v>2003</c:v>
                </c:pt>
                <c:pt idx="3">
                  <c:v>2007</c:v>
                </c:pt>
              </c:numCache>
            </c:numRef>
          </c:cat>
          <c:val>
            <c:numRef>
              <c:f>Foglio2!$B$101:$E$101</c:f>
              <c:numCache>
                <c:formatCode>0.00%</c:formatCode>
                <c:ptCount val="4"/>
                <c:pt idx="0">
                  <c:v>0</c:v>
                </c:pt>
                <c:pt idx="1">
                  <c:v>0.11158142177812901</c:v>
                </c:pt>
                <c:pt idx="2">
                  <c:v>8.66028537931781E-2</c:v>
                </c:pt>
                <c:pt idx="3">
                  <c:v>0.109947683363326</c:v>
                </c:pt>
              </c:numCache>
            </c:numRef>
          </c:val>
        </c:ser>
        <c:ser>
          <c:idx val="1"/>
          <c:order val="1"/>
          <c:tx>
            <c:strRef>
              <c:f>Foglio2!$A$102</c:f>
              <c:strCache>
                <c:ptCount val="1"/>
                <c:pt idx="0">
                  <c:v>Eastern European countries</c:v>
                </c:pt>
              </c:strCache>
            </c:strRef>
          </c:tx>
          <c:spPr>
            <a:pattFill prst="smConfetti">
              <a:fgClr>
                <a:schemeClr val="tx1"/>
              </a:fgClr>
              <a:bgClr>
                <a:schemeClr val="bg1"/>
              </a:bgClr>
            </a:pattFill>
            <a:ln>
              <a:solidFill>
                <a:sysClr val="windowText" lastClr="000000"/>
              </a:solidFill>
            </a:ln>
          </c:spPr>
          <c:cat>
            <c:numRef>
              <c:f>Foglio2!$B$100:$E$100</c:f>
              <c:numCache>
                <c:formatCode>General</c:formatCode>
                <c:ptCount val="4"/>
                <c:pt idx="0">
                  <c:v>1995</c:v>
                </c:pt>
                <c:pt idx="1">
                  <c:v>1999</c:v>
                </c:pt>
                <c:pt idx="2">
                  <c:v>2003</c:v>
                </c:pt>
                <c:pt idx="3">
                  <c:v>2007</c:v>
                </c:pt>
              </c:numCache>
            </c:numRef>
          </c:cat>
          <c:val>
            <c:numRef>
              <c:f>Foglio2!$B$102:$E$102</c:f>
              <c:numCache>
                <c:formatCode>0.00%</c:formatCode>
                <c:ptCount val="4"/>
                <c:pt idx="0">
                  <c:v>0</c:v>
                </c:pt>
                <c:pt idx="1">
                  <c:v>0.17263020819569599</c:v>
                </c:pt>
                <c:pt idx="2">
                  <c:v>0.135015670194962</c:v>
                </c:pt>
                <c:pt idx="3">
                  <c:v>0.237122074647315</c:v>
                </c:pt>
              </c:numCache>
            </c:numRef>
          </c:val>
        </c:ser>
        <c:ser>
          <c:idx val="2"/>
          <c:order val="2"/>
          <c:tx>
            <c:strRef>
              <c:f>Foglio2!$A$103</c:f>
              <c:strCache>
                <c:ptCount val="1"/>
                <c:pt idx="0">
                  <c:v>Developed non-European countries</c:v>
                </c:pt>
              </c:strCache>
            </c:strRef>
          </c:tx>
          <c:spPr>
            <a:solidFill>
              <a:schemeClr val="bg1"/>
            </a:solidFill>
            <a:ln>
              <a:solidFill>
                <a:sysClr val="windowText" lastClr="000000"/>
              </a:solidFill>
            </a:ln>
          </c:spPr>
          <c:cat>
            <c:numRef>
              <c:f>Foglio2!$B$100:$E$100</c:f>
              <c:numCache>
                <c:formatCode>General</c:formatCode>
                <c:ptCount val="4"/>
                <c:pt idx="0">
                  <c:v>1995</c:v>
                </c:pt>
                <c:pt idx="1">
                  <c:v>1999</c:v>
                </c:pt>
                <c:pt idx="2">
                  <c:v>2003</c:v>
                </c:pt>
                <c:pt idx="3">
                  <c:v>2007</c:v>
                </c:pt>
              </c:numCache>
            </c:numRef>
          </c:cat>
          <c:val>
            <c:numRef>
              <c:f>Foglio2!$B$103:$E$103</c:f>
              <c:numCache>
                <c:formatCode>0.00%</c:formatCode>
                <c:ptCount val="4"/>
                <c:pt idx="0">
                  <c:v>0</c:v>
                </c:pt>
                <c:pt idx="1">
                  <c:v>0.13431015281935399</c:v>
                </c:pt>
                <c:pt idx="2">
                  <c:v>0.110364100497944</c:v>
                </c:pt>
                <c:pt idx="3">
                  <c:v>0.13342610810987199</c:v>
                </c:pt>
              </c:numCache>
            </c:numRef>
          </c:val>
        </c:ser>
        <c:ser>
          <c:idx val="3"/>
          <c:order val="3"/>
          <c:tx>
            <c:strRef>
              <c:f>Foglio2!$A$104</c:f>
              <c:strCache>
                <c:ptCount val="1"/>
                <c:pt idx="0">
                  <c:v>Developing countries</c:v>
                </c:pt>
              </c:strCache>
            </c:strRef>
          </c:tx>
          <c:spPr>
            <a:pattFill prst="pct30">
              <a:fgClr>
                <a:schemeClr val="tx1"/>
              </a:fgClr>
              <a:bgClr>
                <a:schemeClr val="bg1"/>
              </a:bgClr>
            </a:pattFill>
          </c:spPr>
          <c:cat>
            <c:numRef>
              <c:f>Foglio2!$B$100:$E$100</c:f>
              <c:numCache>
                <c:formatCode>General</c:formatCode>
                <c:ptCount val="4"/>
                <c:pt idx="0">
                  <c:v>1995</c:v>
                </c:pt>
                <c:pt idx="1">
                  <c:v>1999</c:v>
                </c:pt>
                <c:pt idx="2">
                  <c:v>2003</c:v>
                </c:pt>
                <c:pt idx="3">
                  <c:v>2007</c:v>
                </c:pt>
              </c:numCache>
            </c:numRef>
          </c:cat>
          <c:val>
            <c:numRef>
              <c:f>Foglio2!$B$104:$E$104</c:f>
              <c:numCache>
                <c:formatCode>0.00%</c:formatCode>
                <c:ptCount val="4"/>
                <c:pt idx="0">
                  <c:v>0</c:v>
                </c:pt>
                <c:pt idx="1">
                  <c:v>0.26015509421289401</c:v>
                </c:pt>
                <c:pt idx="2">
                  <c:v>0.29393956013227002</c:v>
                </c:pt>
                <c:pt idx="3">
                  <c:v>0.44916535415532699</c:v>
                </c:pt>
              </c:numCache>
            </c:numRef>
          </c:val>
        </c:ser>
        <c:dLbls>
          <c:showLegendKey val="0"/>
          <c:showVal val="0"/>
          <c:showCatName val="0"/>
          <c:showSerName val="0"/>
          <c:showPercent val="0"/>
          <c:showBubbleSize val="0"/>
        </c:dLbls>
        <c:axId val="24664320"/>
        <c:axId val="24666112"/>
        <c:axId val="56861568"/>
      </c:area3DChart>
      <c:catAx>
        <c:axId val="24664320"/>
        <c:scaling>
          <c:orientation val="minMax"/>
        </c:scaling>
        <c:delete val="0"/>
        <c:axPos val="b"/>
        <c:numFmt formatCode="General" sourceLinked="1"/>
        <c:majorTickMark val="out"/>
        <c:minorTickMark val="none"/>
        <c:tickLblPos val="nextTo"/>
        <c:crossAx val="24666112"/>
        <c:crosses val="autoZero"/>
        <c:auto val="1"/>
        <c:lblAlgn val="ctr"/>
        <c:lblOffset val="100"/>
        <c:noMultiLvlLbl val="0"/>
      </c:catAx>
      <c:valAx>
        <c:axId val="24666112"/>
        <c:scaling>
          <c:orientation val="minMax"/>
        </c:scaling>
        <c:delete val="0"/>
        <c:axPos val="l"/>
        <c:majorGridlines/>
        <c:numFmt formatCode="0.00%" sourceLinked="1"/>
        <c:majorTickMark val="out"/>
        <c:minorTickMark val="none"/>
        <c:tickLblPos val="nextTo"/>
        <c:crossAx val="24664320"/>
        <c:crosses val="autoZero"/>
        <c:crossBetween val="midCat"/>
      </c:valAx>
      <c:serAx>
        <c:axId val="56861568"/>
        <c:scaling>
          <c:orientation val="minMax"/>
        </c:scaling>
        <c:delete val="1"/>
        <c:axPos val="b"/>
        <c:majorTickMark val="out"/>
        <c:minorTickMark val="none"/>
        <c:tickLblPos val="nextTo"/>
        <c:crossAx val="24666112"/>
        <c:crosses val="autoZero"/>
      </c:serAx>
      <c:spPr>
        <a:noFill/>
        <a:ln>
          <a:noFill/>
        </a:ln>
      </c:spPr>
    </c:plotArea>
    <c:legend>
      <c:legendPos val="b"/>
      <c:layout/>
      <c:overlay val="0"/>
    </c:legend>
    <c:plotVisOnly val="1"/>
    <c:dispBlanksAs val="zero"/>
    <c:showDLblsOverMax val="0"/>
  </c:chart>
  <c:spPr>
    <a:noFill/>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604418197725299"/>
          <c:y val="5.1400554097404502E-2"/>
          <c:w val="0.80451137357830305"/>
          <c:h val="0.62620510485108705"/>
        </c:manualLayout>
      </c:layout>
      <c:barChart>
        <c:barDir val="col"/>
        <c:grouping val="clustered"/>
        <c:varyColors val="0"/>
        <c:ser>
          <c:idx val="0"/>
          <c:order val="0"/>
          <c:tx>
            <c:strRef>
              <c:f>Grafici!$L$19</c:f>
              <c:strCache>
                <c:ptCount val="1"/>
                <c:pt idx="0">
                  <c:v>CI effect</c:v>
                </c:pt>
              </c:strCache>
            </c:strRef>
          </c:tx>
          <c:spPr>
            <a:solidFill>
              <a:schemeClr val="tx1">
                <a:lumMod val="50000"/>
                <a:lumOff val="50000"/>
              </a:schemeClr>
            </a:solidFill>
          </c:spPr>
          <c:invertIfNegative val="0"/>
          <c:cat>
            <c:strRef>
              <c:f>Grafici!$K$20:$K$22</c:f>
              <c:strCache>
                <c:ptCount val="3"/>
                <c:pt idx="0">
                  <c:v>China</c:v>
                </c:pt>
                <c:pt idx="1">
                  <c:v>USA</c:v>
                </c:pt>
                <c:pt idx="2">
                  <c:v>Russia</c:v>
                </c:pt>
              </c:strCache>
            </c:strRef>
          </c:cat>
          <c:val>
            <c:numRef>
              <c:f>Grafici!$L$20:$L$22</c:f>
              <c:numCache>
                <c:formatCode>#,##0</c:formatCode>
                <c:ptCount val="3"/>
                <c:pt idx="0">
                  <c:v>37398.744230949131</c:v>
                </c:pt>
                <c:pt idx="1">
                  <c:v>-54257.67929371271</c:v>
                </c:pt>
                <c:pt idx="2">
                  <c:v>99241.934689552247</c:v>
                </c:pt>
              </c:numCache>
            </c:numRef>
          </c:val>
        </c:ser>
        <c:ser>
          <c:idx val="1"/>
          <c:order val="1"/>
          <c:tx>
            <c:strRef>
              <c:f>Grafici!$M$19</c:f>
              <c:strCache>
                <c:ptCount val="1"/>
                <c:pt idx="0">
                  <c:v>EI effect</c:v>
                </c:pt>
              </c:strCache>
            </c:strRef>
          </c:tx>
          <c:spPr>
            <a:solidFill>
              <a:schemeClr val="tx1"/>
            </a:solidFill>
          </c:spPr>
          <c:invertIfNegative val="0"/>
          <c:dPt>
            <c:idx val="0"/>
            <c:invertIfNegative val="0"/>
            <c:bubble3D val="0"/>
            <c:spPr>
              <a:solidFill>
                <a:schemeClr val="tx1"/>
              </a:solidFill>
              <a:ln>
                <a:solidFill>
                  <a:schemeClr val="tx1"/>
                </a:solidFill>
              </a:ln>
            </c:spPr>
          </c:dPt>
          <c:dPt>
            <c:idx val="1"/>
            <c:invertIfNegative val="0"/>
            <c:bubble3D val="0"/>
            <c:spPr>
              <a:solidFill>
                <a:schemeClr val="tx1"/>
              </a:solidFill>
              <a:ln>
                <a:solidFill>
                  <a:schemeClr val="tx1"/>
                </a:solidFill>
              </a:ln>
            </c:spPr>
          </c:dPt>
          <c:dPt>
            <c:idx val="2"/>
            <c:invertIfNegative val="0"/>
            <c:bubble3D val="0"/>
            <c:spPr>
              <a:solidFill>
                <a:schemeClr val="tx1"/>
              </a:solidFill>
              <a:ln>
                <a:solidFill>
                  <a:schemeClr val="tx1"/>
                </a:solidFill>
              </a:ln>
            </c:spPr>
          </c:dPt>
          <c:cat>
            <c:strRef>
              <c:f>Grafici!$K$20:$K$22</c:f>
              <c:strCache>
                <c:ptCount val="3"/>
                <c:pt idx="0">
                  <c:v>China</c:v>
                </c:pt>
                <c:pt idx="1">
                  <c:v>USA</c:v>
                </c:pt>
                <c:pt idx="2">
                  <c:v>Russia</c:v>
                </c:pt>
              </c:strCache>
            </c:strRef>
          </c:cat>
          <c:val>
            <c:numRef>
              <c:f>Grafici!$M$20:$M$22</c:f>
              <c:numCache>
                <c:formatCode>#,##0</c:formatCode>
                <c:ptCount val="3"/>
                <c:pt idx="0">
                  <c:v>-2293673.5257316399</c:v>
                </c:pt>
                <c:pt idx="1">
                  <c:v>-1346930.9293785</c:v>
                </c:pt>
                <c:pt idx="2">
                  <c:v>-926104.57127926371</c:v>
                </c:pt>
              </c:numCache>
            </c:numRef>
          </c:val>
        </c:ser>
        <c:ser>
          <c:idx val="2"/>
          <c:order val="2"/>
          <c:tx>
            <c:strRef>
              <c:f>Grafici!$N$19</c:f>
              <c:strCache>
                <c:ptCount val="1"/>
                <c:pt idx="0">
                  <c:v>ES effect</c:v>
                </c:pt>
              </c:strCache>
            </c:strRef>
          </c:tx>
          <c:spPr>
            <a:solidFill>
              <a:schemeClr val="bg1"/>
            </a:solidFill>
            <a:ln>
              <a:solidFill>
                <a:schemeClr val="tx1"/>
              </a:solidFill>
            </a:ln>
          </c:spPr>
          <c:invertIfNegative val="0"/>
          <c:cat>
            <c:strRef>
              <c:f>Grafici!$K$20:$K$22</c:f>
              <c:strCache>
                <c:ptCount val="3"/>
                <c:pt idx="0">
                  <c:v>China</c:v>
                </c:pt>
                <c:pt idx="1">
                  <c:v>USA</c:v>
                </c:pt>
                <c:pt idx="2">
                  <c:v>Russia</c:v>
                </c:pt>
              </c:strCache>
            </c:strRef>
          </c:cat>
          <c:val>
            <c:numRef>
              <c:f>Grafici!$N$20:$N$22</c:f>
              <c:numCache>
                <c:formatCode>#,##0</c:formatCode>
                <c:ptCount val="3"/>
                <c:pt idx="0">
                  <c:v>3106477.5683459402</c:v>
                </c:pt>
                <c:pt idx="1">
                  <c:v>-342761.08169613371</c:v>
                </c:pt>
                <c:pt idx="2">
                  <c:v>159771.4268862397</c:v>
                </c:pt>
              </c:numCache>
            </c:numRef>
          </c:val>
        </c:ser>
        <c:ser>
          <c:idx val="3"/>
          <c:order val="3"/>
          <c:tx>
            <c:strRef>
              <c:f>Grafici!$O$19</c:f>
              <c:strCache>
                <c:ptCount val="1"/>
                <c:pt idx="0">
                  <c:v>G effect</c:v>
                </c:pt>
              </c:strCache>
            </c:strRef>
          </c:tx>
          <c:spPr>
            <a:pattFill prst="pct75">
              <a:fgClr>
                <a:schemeClr val="tx1"/>
              </a:fgClr>
              <a:bgClr>
                <a:schemeClr val="bg1"/>
              </a:bgClr>
            </a:pattFill>
          </c:spPr>
          <c:invertIfNegative val="0"/>
          <c:cat>
            <c:strRef>
              <c:f>Grafici!$K$20:$K$22</c:f>
              <c:strCache>
                <c:ptCount val="3"/>
                <c:pt idx="0">
                  <c:v>China</c:v>
                </c:pt>
                <c:pt idx="1">
                  <c:v>USA</c:v>
                </c:pt>
                <c:pt idx="2">
                  <c:v>Russia</c:v>
                </c:pt>
              </c:strCache>
            </c:strRef>
          </c:cat>
          <c:val>
            <c:numRef>
              <c:f>Grafici!$O$20:$O$22</c:f>
              <c:numCache>
                <c:formatCode>#,##0</c:formatCode>
                <c:ptCount val="3"/>
                <c:pt idx="0">
                  <c:v>2037999.96987341</c:v>
                </c:pt>
                <c:pt idx="1">
                  <c:v>2382827.0840022401</c:v>
                </c:pt>
                <c:pt idx="2">
                  <c:v>765938.92157760658</c:v>
                </c:pt>
              </c:numCache>
            </c:numRef>
          </c:val>
        </c:ser>
        <c:dLbls>
          <c:showLegendKey val="0"/>
          <c:showVal val="0"/>
          <c:showCatName val="0"/>
          <c:showSerName val="0"/>
          <c:showPercent val="0"/>
          <c:showBubbleSize val="0"/>
        </c:dLbls>
        <c:gapWidth val="150"/>
        <c:axId val="29464448"/>
        <c:axId val="29466624"/>
      </c:barChart>
      <c:scatterChart>
        <c:scatterStyle val="lineMarker"/>
        <c:varyColors val="0"/>
        <c:ser>
          <c:idx val="4"/>
          <c:order val="4"/>
          <c:tx>
            <c:v>Cumulated change</c:v>
          </c:tx>
          <c:spPr>
            <a:ln w="25400">
              <a:noFill/>
            </a:ln>
          </c:spPr>
          <c:marker>
            <c:spPr>
              <a:ln>
                <a:solidFill>
                  <a:sysClr val="windowText" lastClr="000000"/>
                </a:solidFill>
              </a:ln>
            </c:spPr>
          </c:marker>
          <c:dPt>
            <c:idx val="2"/>
            <c:marker>
              <c:symbol val="star"/>
              <c:size val="7"/>
            </c:marker>
            <c:bubble3D val="0"/>
          </c:dPt>
          <c:yVal>
            <c:numRef>
              <c:f>Grafici!$P$20:$P$22</c:f>
              <c:numCache>
                <c:formatCode>#,##0</c:formatCode>
                <c:ptCount val="3"/>
                <c:pt idx="0">
                  <c:v>2888202.7567186598</c:v>
                </c:pt>
                <c:pt idx="1">
                  <c:v>638877.39363389602</c:v>
                </c:pt>
                <c:pt idx="2">
                  <c:v>98847.711874134839</c:v>
                </c:pt>
              </c:numCache>
            </c:numRef>
          </c:yVal>
          <c:smooth val="0"/>
        </c:ser>
        <c:dLbls>
          <c:showLegendKey val="0"/>
          <c:showVal val="0"/>
          <c:showCatName val="0"/>
          <c:showSerName val="0"/>
          <c:showPercent val="0"/>
          <c:showBubbleSize val="0"/>
        </c:dLbls>
        <c:axId val="29464448"/>
        <c:axId val="29466624"/>
      </c:scatterChart>
      <c:catAx>
        <c:axId val="29464448"/>
        <c:scaling>
          <c:orientation val="minMax"/>
        </c:scaling>
        <c:delete val="0"/>
        <c:axPos val="b"/>
        <c:majorTickMark val="out"/>
        <c:minorTickMark val="none"/>
        <c:tickLblPos val="low"/>
        <c:txPr>
          <a:bodyPr rot="5400000" vert="horz"/>
          <a:lstStyle/>
          <a:p>
            <a:pPr>
              <a:defRPr/>
            </a:pPr>
            <a:endParaRPr lang="it-IT"/>
          </a:p>
        </c:txPr>
        <c:crossAx val="29466624"/>
        <c:crosses val="autoZero"/>
        <c:auto val="1"/>
        <c:lblAlgn val="ctr"/>
        <c:lblOffset val="100"/>
        <c:noMultiLvlLbl val="0"/>
      </c:catAx>
      <c:valAx>
        <c:axId val="29466624"/>
        <c:scaling>
          <c:orientation val="minMax"/>
          <c:max val="3500000"/>
          <c:min val="-2500000"/>
        </c:scaling>
        <c:delete val="0"/>
        <c:axPos val="l"/>
        <c:majorGridlines/>
        <c:numFmt formatCode="#,##0" sourceLinked="1"/>
        <c:majorTickMark val="out"/>
        <c:minorTickMark val="none"/>
        <c:tickLblPos val="nextTo"/>
        <c:crossAx val="29464448"/>
        <c:crosses val="autoZero"/>
        <c:crossBetween val="between"/>
      </c:valAx>
    </c:plotArea>
    <c:legend>
      <c:legendPos val="b"/>
      <c:layout>
        <c:manualLayout>
          <c:xMode val="edge"/>
          <c:yMode val="edge"/>
          <c:x val="5.7983158355205601E-2"/>
          <c:y val="0.87042844316868995"/>
          <c:w val="0.88497725284339501"/>
          <c:h val="9.23776278909616E-2"/>
        </c:manualLayout>
      </c:layout>
      <c:overlay val="0"/>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975240594925599"/>
          <c:y val="5.1400554097404502E-2"/>
          <c:w val="0.83969203849518803"/>
          <c:h val="0.71378615377995802"/>
        </c:manualLayout>
      </c:layout>
      <c:barChart>
        <c:barDir val="col"/>
        <c:grouping val="clustered"/>
        <c:varyColors val="0"/>
        <c:ser>
          <c:idx val="0"/>
          <c:order val="0"/>
          <c:tx>
            <c:strRef>
              <c:f>'Grafici Results'!$C$3</c:f>
              <c:strCache>
                <c:ptCount val="1"/>
                <c:pt idx="0">
                  <c:v>CI effect</c:v>
                </c:pt>
              </c:strCache>
            </c:strRef>
          </c:tx>
          <c:spPr>
            <a:solidFill>
              <a:schemeClr val="tx1">
                <a:lumMod val="50000"/>
                <a:lumOff val="50000"/>
              </a:schemeClr>
            </a:solidFill>
          </c:spPr>
          <c:invertIfNegative val="0"/>
          <c:cat>
            <c:strRef>
              <c:f>'Grafici Results'!$B$4:$B$5</c:f>
              <c:strCache>
                <c:ptCount val="2"/>
                <c:pt idx="0">
                  <c:v>Brazil</c:v>
                </c:pt>
                <c:pt idx="1">
                  <c:v>India</c:v>
                </c:pt>
              </c:strCache>
            </c:strRef>
          </c:cat>
          <c:val>
            <c:numRef>
              <c:f>'Grafici Results'!$C$4:$C$5</c:f>
              <c:numCache>
                <c:formatCode>#,##0</c:formatCode>
                <c:ptCount val="2"/>
                <c:pt idx="0" formatCode="General">
                  <c:v>-36349.011406532103</c:v>
                </c:pt>
                <c:pt idx="1">
                  <c:v>90865.025386253983</c:v>
                </c:pt>
              </c:numCache>
            </c:numRef>
          </c:val>
        </c:ser>
        <c:ser>
          <c:idx val="1"/>
          <c:order val="1"/>
          <c:tx>
            <c:strRef>
              <c:f>'Grafici Results'!$D$3</c:f>
              <c:strCache>
                <c:ptCount val="1"/>
                <c:pt idx="0">
                  <c:v>EI effect</c:v>
                </c:pt>
              </c:strCache>
            </c:strRef>
          </c:tx>
          <c:spPr>
            <a:solidFill>
              <a:schemeClr val="tx1"/>
            </a:solidFill>
            <a:ln>
              <a:solidFill>
                <a:sysClr val="windowText" lastClr="000000"/>
              </a:solidFill>
            </a:ln>
          </c:spPr>
          <c:invertIfNegative val="0"/>
          <c:cat>
            <c:strRef>
              <c:f>'Grafici Results'!$B$4:$B$5</c:f>
              <c:strCache>
                <c:ptCount val="2"/>
                <c:pt idx="0">
                  <c:v>Brazil</c:v>
                </c:pt>
                <c:pt idx="1">
                  <c:v>India</c:v>
                </c:pt>
              </c:strCache>
            </c:strRef>
          </c:cat>
          <c:val>
            <c:numRef>
              <c:f>'Grafici Results'!$D$4:$D$5</c:f>
              <c:numCache>
                <c:formatCode>General</c:formatCode>
                <c:ptCount val="2"/>
                <c:pt idx="0">
                  <c:v>3904.394494836763</c:v>
                </c:pt>
                <c:pt idx="1">
                  <c:v>-163537.09426840761</c:v>
                </c:pt>
              </c:numCache>
            </c:numRef>
          </c:val>
        </c:ser>
        <c:ser>
          <c:idx val="2"/>
          <c:order val="2"/>
          <c:tx>
            <c:strRef>
              <c:f>'Grafici Results'!$E$3</c:f>
              <c:strCache>
                <c:ptCount val="1"/>
                <c:pt idx="0">
                  <c:v>ES effect</c:v>
                </c:pt>
              </c:strCache>
            </c:strRef>
          </c:tx>
          <c:spPr>
            <a:solidFill>
              <a:schemeClr val="bg1"/>
            </a:solidFill>
            <a:ln>
              <a:solidFill>
                <a:schemeClr val="tx1"/>
              </a:solidFill>
            </a:ln>
          </c:spPr>
          <c:invertIfNegative val="0"/>
          <c:cat>
            <c:strRef>
              <c:f>'Grafici Results'!$B$4:$B$5</c:f>
              <c:strCache>
                <c:ptCount val="2"/>
                <c:pt idx="0">
                  <c:v>Brazil</c:v>
                </c:pt>
                <c:pt idx="1">
                  <c:v>India</c:v>
                </c:pt>
              </c:strCache>
            </c:strRef>
          </c:cat>
          <c:val>
            <c:numRef>
              <c:f>'Grafici Results'!$E$4:$E$5</c:f>
              <c:numCache>
                <c:formatCode>General</c:formatCode>
                <c:ptCount val="2"/>
                <c:pt idx="0">
                  <c:v>-22579.408155037181</c:v>
                </c:pt>
                <c:pt idx="1">
                  <c:v>199923.17067829979</c:v>
                </c:pt>
              </c:numCache>
            </c:numRef>
          </c:val>
        </c:ser>
        <c:ser>
          <c:idx val="3"/>
          <c:order val="3"/>
          <c:tx>
            <c:strRef>
              <c:f>'Grafici Results'!$F$3</c:f>
              <c:strCache>
                <c:ptCount val="1"/>
                <c:pt idx="0">
                  <c:v>G effect</c:v>
                </c:pt>
              </c:strCache>
            </c:strRef>
          </c:tx>
          <c:spPr>
            <a:pattFill prst="pct75">
              <a:fgClr>
                <a:schemeClr val="tx1"/>
              </a:fgClr>
              <a:bgClr>
                <a:schemeClr val="bg1"/>
              </a:bgClr>
            </a:pattFill>
          </c:spPr>
          <c:invertIfNegative val="0"/>
          <c:cat>
            <c:strRef>
              <c:f>'Grafici Results'!$B$4:$B$5</c:f>
              <c:strCache>
                <c:ptCount val="2"/>
                <c:pt idx="0">
                  <c:v>Brazil</c:v>
                </c:pt>
                <c:pt idx="1">
                  <c:v>India</c:v>
                </c:pt>
              </c:strCache>
            </c:strRef>
          </c:cat>
          <c:val>
            <c:numRef>
              <c:f>'Grafici Results'!$F$4:$F$5</c:f>
              <c:numCache>
                <c:formatCode>General</c:formatCode>
                <c:ptCount val="2"/>
                <c:pt idx="0">
                  <c:v>113787.50193570129</c:v>
                </c:pt>
                <c:pt idx="1">
                  <c:v>221791.2616196906</c:v>
                </c:pt>
              </c:numCache>
            </c:numRef>
          </c:val>
        </c:ser>
        <c:dLbls>
          <c:showLegendKey val="0"/>
          <c:showVal val="0"/>
          <c:showCatName val="0"/>
          <c:showSerName val="0"/>
          <c:showPercent val="0"/>
          <c:showBubbleSize val="0"/>
        </c:dLbls>
        <c:gapWidth val="150"/>
        <c:axId val="30100096"/>
        <c:axId val="30106368"/>
      </c:barChart>
      <c:scatterChart>
        <c:scatterStyle val="lineMarker"/>
        <c:varyColors val="0"/>
        <c:ser>
          <c:idx val="4"/>
          <c:order val="4"/>
          <c:tx>
            <c:strRef>
              <c:f>'Grafici Results'!$G$3</c:f>
              <c:strCache>
                <c:ptCount val="1"/>
                <c:pt idx="0">
                  <c:v>Cumulated change</c:v>
                </c:pt>
              </c:strCache>
            </c:strRef>
          </c:tx>
          <c:spPr>
            <a:ln w="25400">
              <a:noFill/>
            </a:ln>
          </c:spPr>
          <c:marker>
            <c:spPr>
              <a:ln>
                <a:solidFill>
                  <a:schemeClr val="tx1"/>
                </a:solidFill>
              </a:ln>
            </c:spPr>
          </c:marker>
          <c:xVal>
            <c:strRef>
              <c:f>'Grafici Results'!$B$4:$B$5</c:f>
              <c:strCache>
                <c:ptCount val="2"/>
                <c:pt idx="0">
                  <c:v>Brazil</c:v>
                </c:pt>
                <c:pt idx="1">
                  <c:v>India</c:v>
                </c:pt>
              </c:strCache>
            </c:strRef>
          </c:xVal>
          <c:yVal>
            <c:numRef>
              <c:f>'Grafici Results'!$G$4:$G$5</c:f>
              <c:numCache>
                <c:formatCode>#,##0</c:formatCode>
                <c:ptCount val="2"/>
                <c:pt idx="0">
                  <c:v>58763.476868968733</c:v>
                </c:pt>
                <c:pt idx="1">
                  <c:v>349042.36341583682</c:v>
                </c:pt>
              </c:numCache>
            </c:numRef>
          </c:yVal>
          <c:smooth val="0"/>
        </c:ser>
        <c:dLbls>
          <c:showLegendKey val="0"/>
          <c:showVal val="0"/>
          <c:showCatName val="0"/>
          <c:showSerName val="0"/>
          <c:showPercent val="0"/>
          <c:showBubbleSize val="0"/>
        </c:dLbls>
        <c:axId val="30100096"/>
        <c:axId val="30106368"/>
      </c:scatterChart>
      <c:catAx>
        <c:axId val="30100096"/>
        <c:scaling>
          <c:orientation val="minMax"/>
        </c:scaling>
        <c:delete val="0"/>
        <c:axPos val="b"/>
        <c:majorTickMark val="out"/>
        <c:minorTickMark val="none"/>
        <c:tickLblPos val="low"/>
        <c:txPr>
          <a:bodyPr rot="0" vert="horz"/>
          <a:lstStyle/>
          <a:p>
            <a:pPr>
              <a:defRPr/>
            </a:pPr>
            <a:endParaRPr lang="it-IT"/>
          </a:p>
        </c:txPr>
        <c:crossAx val="30106368"/>
        <c:crossesAt val="0"/>
        <c:auto val="1"/>
        <c:lblAlgn val="ctr"/>
        <c:lblOffset val="100"/>
        <c:noMultiLvlLbl val="0"/>
      </c:catAx>
      <c:valAx>
        <c:axId val="30106368"/>
        <c:scaling>
          <c:orientation val="minMax"/>
          <c:max val="350000"/>
        </c:scaling>
        <c:delete val="0"/>
        <c:axPos val="l"/>
        <c:majorGridlines/>
        <c:numFmt formatCode="#,##0" sourceLinked="0"/>
        <c:majorTickMark val="out"/>
        <c:minorTickMark val="none"/>
        <c:tickLblPos val="nextTo"/>
        <c:crossAx val="30100096"/>
        <c:crosses val="autoZero"/>
        <c:crossBetween val="between"/>
      </c:valAx>
    </c:plotArea>
    <c:legend>
      <c:legendPos val="b"/>
      <c:layout>
        <c:manualLayout>
          <c:xMode val="edge"/>
          <c:yMode val="edge"/>
          <c:x val="0.107983158355206"/>
          <c:y val="0.93278189406652001"/>
          <c:w val="0.81146128608923895"/>
          <c:h val="5.8806222392932601E-2"/>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view3D>
      <c:rotX val="15"/>
      <c:rotY val="20"/>
      <c:rAngAx val="0"/>
      <c:perspective val="30"/>
    </c:view3D>
    <c:floor>
      <c:thickness val="0"/>
    </c:floor>
    <c:sideWall>
      <c:thickness val="0"/>
    </c:sideWall>
    <c:backWall>
      <c:thickness val="0"/>
    </c:backWall>
    <c:plotArea>
      <c:layout/>
      <c:area3DChart>
        <c:grouping val="standard"/>
        <c:varyColors val="0"/>
        <c:ser>
          <c:idx val="0"/>
          <c:order val="0"/>
          <c:tx>
            <c:strRef>
              <c:f>Foglio2!$A$46</c:f>
              <c:strCache>
                <c:ptCount val="1"/>
                <c:pt idx="0">
                  <c:v>European Countries</c:v>
                </c:pt>
              </c:strCache>
            </c:strRef>
          </c:tx>
          <c:spPr>
            <a:solidFill>
              <a:schemeClr val="bg1">
                <a:lumMod val="50000"/>
              </a:schemeClr>
            </a:solidFill>
            <a:ln>
              <a:solidFill>
                <a:schemeClr val="tx1"/>
              </a:solidFill>
            </a:ln>
          </c:spPr>
          <c:cat>
            <c:numRef>
              <c:f>Foglio2!$B$45:$E$45</c:f>
              <c:numCache>
                <c:formatCode>General</c:formatCode>
                <c:ptCount val="4"/>
                <c:pt idx="0">
                  <c:v>1995</c:v>
                </c:pt>
                <c:pt idx="1">
                  <c:v>1999</c:v>
                </c:pt>
                <c:pt idx="2">
                  <c:v>2003</c:v>
                </c:pt>
                <c:pt idx="3">
                  <c:v>2007</c:v>
                </c:pt>
              </c:numCache>
            </c:numRef>
          </c:cat>
          <c:val>
            <c:numRef>
              <c:f>Foglio2!$B$46:$E$46</c:f>
              <c:numCache>
                <c:formatCode>0.00%</c:formatCode>
                <c:ptCount val="4"/>
                <c:pt idx="0">
                  <c:v>0</c:v>
                </c:pt>
                <c:pt idx="1">
                  <c:v>2.2208355193953099E-2</c:v>
                </c:pt>
                <c:pt idx="2">
                  <c:v>4.46894494649503E-2</c:v>
                </c:pt>
                <c:pt idx="3">
                  <c:v>-1.31044216593419E-2</c:v>
                </c:pt>
              </c:numCache>
            </c:numRef>
          </c:val>
        </c:ser>
        <c:ser>
          <c:idx val="1"/>
          <c:order val="1"/>
          <c:tx>
            <c:strRef>
              <c:f>Foglio2!$A$47</c:f>
              <c:strCache>
                <c:ptCount val="1"/>
                <c:pt idx="0">
                  <c:v>Eastern European Countries</c:v>
                </c:pt>
              </c:strCache>
            </c:strRef>
          </c:tx>
          <c:spPr>
            <a:pattFill prst="pct20">
              <a:fgClr>
                <a:schemeClr val="tx1"/>
              </a:fgClr>
              <a:bgClr>
                <a:schemeClr val="bg1"/>
              </a:bgClr>
            </a:pattFill>
            <a:ln>
              <a:solidFill>
                <a:schemeClr val="tx1"/>
              </a:solidFill>
            </a:ln>
          </c:spPr>
          <c:cat>
            <c:numRef>
              <c:f>Foglio2!$B$45:$E$45</c:f>
              <c:numCache>
                <c:formatCode>General</c:formatCode>
                <c:ptCount val="4"/>
                <c:pt idx="0">
                  <c:v>1995</c:v>
                </c:pt>
                <c:pt idx="1">
                  <c:v>1999</c:v>
                </c:pt>
                <c:pt idx="2">
                  <c:v>2003</c:v>
                </c:pt>
                <c:pt idx="3">
                  <c:v>2007</c:v>
                </c:pt>
              </c:numCache>
            </c:numRef>
          </c:cat>
          <c:val>
            <c:numRef>
              <c:f>Foglio2!$B$47:$E$47</c:f>
              <c:numCache>
                <c:formatCode>0.00%</c:formatCode>
                <c:ptCount val="4"/>
                <c:pt idx="0">
                  <c:v>0</c:v>
                </c:pt>
                <c:pt idx="1">
                  <c:v>-7.0079914014625197E-2</c:v>
                </c:pt>
                <c:pt idx="2">
                  <c:v>-1.6680971601641802E-2</c:v>
                </c:pt>
                <c:pt idx="3">
                  <c:v>3.6022828750989097E-2</c:v>
                </c:pt>
              </c:numCache>
            </c:numRef>
          </c:val>
        </c:ser>
        <c:ser>
          <c:idx val="2"/>
          <c:order val="2"/>
          <c:tx>
            <c:strRef>
              <c:f>Foglio2!$A$48</c:f>
              <c:strCache>
                <c:ptCount val="1"/>
                <c:pt idx="0">
                  <c:v>Developed Non European Countries</c:v>
                </c:pt>
              </c:strCache>
            </c:strRef>
          </c:tx>
          <c:spPr>
            <a:solidFill>
              <a:schemeClr val="bg1"/>
            </a:solidFill>
            <a:ln>
              <a:solidFill>
                <a:schemeClr val="tx1"/>
              </a:solidFill>
            </a:ln>
          </c:spPr>
          <c:cat>
            <c:numRef>
              <c:f>Foglio2!$B$45:$E$45</c:f>
              <c:numCache>
                <c:formatCode>General</c:formatCode>
                <c:ptCount val="4"/>
                <c:pt idx="0">
                  <c:v>1995</c:v>
                </c:pt>
                <c:pt idx="1">
                  <c:v>1999</c:v>
                </c:pt>
                <c:pt idx="2">
                  <c:v>2003</c:v>
                </c:pt>
                <c:pt idx="3">
                  <c:v>2007</c:v>
                </c:pt>
              </c:numCache>
            </c:numRef>
          </c:cat>
          <c:val>
            <c:numRef>
              <c:f>Foglio2!$B$48:$E$48</c:f>
              <c:numCache>
                <c:formatCode>0.00%</c:formatCode>
                <c:ptCount val="4"/>
                <c:pt idx="0">
                  <c:v>0</c:v>
                </c:pt>
                <c:pt idx="1">
                  <c:v>5.4125411899743799E-2</c:v>
                </c:pt>
                <c:pt idx="2">
                  <c:v>4.0496865248358598E-2</c:v>
                </c:pt>
                <c:pt idx="3">
                  <c:v>3.4307436673664697E-2</c:v>
                </c:pt>
              </c:numCache>
            </c:numRef>
          </c:val>
        </c:ser>
        <c:ser>
          <c:idx val="3"/>
          <c:order val="3"/>
          <c:tx>
            <c:strRef>
              <c:f>Foglio2!$A$49</c:f>
              <c:strCache>
                <c:ptCount val="1"/>
                <c:pt idx="0">
                  <c:v>Developing countries</c:v>
                </c:pt>
              </c:strCache>
            </c:strRef>
          </c:tx>
          <c:spPr>
            <a:pattFill prst="pct30">
              <a:fgClr>
                <a:schemeClr val="tx1"/>
              </a:fgClr>
              <a:bgClr>
                <a:schemeClr val="bg1"/>
              </a:bgClr>
            </a:pattFill>
            <a:ln>
              <a:solidFill>
                <a:schemeClr val="tx1"/>
              </a:solidFill>
            </a:ln>
          </c:spPr>
          <c:cat>
            <c:numRef>
              <c:f>Foglio2!$B$45:$E$45</c:f>
              <c:numCache>
                <c:formatCode>General</c:formatCode>
                <c:ptCount val="4"/>
                <c:pt idx="0">
                  <c:v>1995</c:v>
                </c:pt>
                <c:pt idx="1">
                  <c:v>1999</c:v>
                </c:pt>
                <c:pt idx="2">
                  <c:v>2003</c:v>
                </c:pt>
                <c:pt idx="3">
                  <c:v>2007</c:v>
                </c:pt>
              </c:numCache>
            </c:numRef>
          </c:cat>
          <c:val>
            <c:numRef>
              <c:f>Foglio2!$B$49:$E$49</c:f>
              <c:numCache>
                <c:formatCode>0.00%</c:formatCode>
                <c:ptCount val="4"/>
                <c:pt idx="0">
                  <c:v>0</c:v>
                </c:pt>
                <c:pt idx="1">
                  <c:v>4.3265542849216701E-2</c:v>
                </c:pt>
                <c:pt idx="2">
                  <c:v>0.23356709686115201</c:v>
                </c:pt>
                <c:pt idx="3">
                  <c:v>0.459629920625865</c:v>
                </c:pt>
              </c:numCache>
            </c:numRef>
          </c:val>
        </c:ser>
        <c:dLbls>
          <c:showLegendKey val="0"/>
          <c:showVal val="0"/>
          <c:showCatName val="0"/>
          <c:showSerName val="0"/>
          <c:showPercent val="0"/>
          <c:showBubbleSize val="0"/>
        </c:dLbls>
        <c:axId val="65042304"/>
        <c:axId val="65043840"/>
        <c:axId val="56740928"/>
      </c:area3DChart>
      <c:catAx>
        <c:axId val="65042304"/>
        <c:scaling>
          <c:orientation val="minMax"/>
        </c:scaling>
        <c:delete val="0"/>
        <c:axPos val="b"/>
        <c:numFmt formatCode="General" sourceLinked="1"/>
        <c:majorTickMark val="out"/>
        <c:minorTickMark val="none"/>
        <c:tickLblPos val="low"/>
        <c:crossAx val="65043840"/>
        <c:crosses val="autoZero"/>
        <c:auto val="1"/>
        <c:lblAlgn val="ctr"/>
        <c:lblOffset val="100"/>
        <c:noMultiLvlLbl val="0"/>
      </c:catAx>
      <c:valAx>
        <c:axId val="65043840"/>
        <c:scaling>
          <c:orientation val="minMax"/>
        </c:scaling>
        <c:delete val="0"/>
        <c:axPos val="l"/>
        <c:majorGridlines/>
        <c:numFmt formatCode="0.00%" sourceLinked="1"/>
        <c:majorTickMark val="out"/>
        <c:minorTickMark val="none"/>
        <c:tickLblPos val="nextTo"/>
        <c:crossAx val="65042304"/>
        <c:crosses val="autoZero"/>
        <c:crossBetween val="midCat"/>
      </c:valAx>
      <c:serAx>
        <c:axId val="56740928"/>
        <c:scaling>
          <c:orientation val="minMax"/>
        </c:scaling>
        <c:delete val="1"/>
        <c:axPos val="b"/>
        <c:majorTickMark val="out"/>
        <c:minorTickMark val="none"/>
        <c:tickLblPos val="nextTo"/>
        <c:crossAx val="65043840"/>
        <c:crosses val="autoZero"/>
      </c:serAx>
    </c:plotArea>
    <c:legend>
      <c:legendPos val="b"/>
      <c:layout/>
      <c:overlay val="0"/>
    </c:legend>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view3D>
      <c:rotX val="15"/>
      <c:rotY val="20"/>
      <c:rAngAx val="0"/>
      <c:perspective val="30"/>
    </c:view3D>
    <c:floor>
      <c:thickness val="0"/>
    </c:floor>
    <c:sideWall>
      <c:thickness val="0"/>
    </c:sideWall>
    <c:backWall>
      <c:thickness val="0"/>
    </c:backWall>
    <c:plotArea>
      <c:layout/>
      <c:area3DChart>
        <c:grouping val="standard"/>
        <c:varyColors val="0"/>
        <c:ser>
          <c:idx val="0"/>
          <c:order val="0"/>
          <c:tx>
            <c:strRef>
              <c:f>Foglio2!$A$150</c:f>
              <c:strCache>
                <c:ptCount val="1"/>
                <c:pt idx="0">
                  <c:v>European Countries</c:v>
                </c:pt>
              </c:strCache>
            </c:strRef>
          </c:tx>
          <c:spPr>
            <a:solidFill>
              <a:schemeClr val="bg1">
                <a:lumMod val="50000"/>
              </a:schemeClr>
            </a:solidFill>
            <a:ln>
              <a:solidFill>
                <a:schemeClr val="tx1"/>
              </a:solidFill>
            </a:ln>
          </c:spPr>
          <c:cat>
            <c:numRef>
              <c:f>Foglio2!$B$149:$E$149</c:f>
              <c:numCache>
                <c:formatCode>General</c:formatCode>
                <c:ptCount val="4"/>
                <c:pt idx="0">
                  <c:v>1995</c:v>
                </c:pt>
                <c:pt idx="1">
                  <c:v>1999</c:v>
                </c:pt>
                <c:pt idx="2">
                  <c:v>2003</c:v>
                </c:pt>
                <c:pt idx="3">
                  <c:v>2007</c:v>
                </c:pt>
              </c:numCache>
            </c:numRef>
          </c:cat>
          <c:val>
            <c:numRef>
              <c:f>Foglio2!$B$150:$E$150</c:f>
              <c:numCache>
                <c:formatCode>0.00%</c:formatCode>
                <c:ptCount val="4"/>
                <c:pt idx="0">
                  <c:v>0</c:v>
                </c:pt>
                <c:pt idx="1">
                  <c:v>-5.57523354785548E-2</c:v>
                </c:pt>
                <c:pt idx="2">
                  <c:v>-6.0215057498833602E-2</c:v>
                </c:pt>
                <c:pt idx="3">
                  <c:v>1.5301629279406399E-4</c:v>
                </c:pt>
              </c:numCache>
            </c:numRef>
          </c:val>
        </c:ser>
        <c:ser>
          <c:idx val="1"/>
          <c:order val="1"/>
          <c:tx>
            <c:strRef>
              <c:f>Foglio2!$A$151</c:f>
              <c:strCache>
                <c:ptCount val="1"/>
                <c:pt idx="0">
                  <c:v>Eastern European Countries</c:v>
                </c:pt>
              </c:strCache>
            </c:strRef>
          </c:tx>
          <c:spPr>
            <a:pattFill prst="pct20">
              <a:fgClr>
                <a:schemeClr val="tx1"/>
              </a:fgClr>
              <a:bgClr>
                <a:schemeClr val="bg1"/>
              </a:bgClr>
            </a:pattFill>
            <a:ln>
              <a:solidFill>
                <a:schemeClr val="tx1"/>
              </a:solidFill>
            </a:ln>
          </c:spPr>
          <c:cat>
            <c:numRef>
              <c:f>Foglio2!$B$149:$E$149</c:f>
              <c:numCache>
                <c:formatCode>General</c:formatCode>
                <c:ptCount val="4"/>
                <c:pt idx="0">
                  <c:v>1995</c:v>
                </c:pt>
                <c:pt idx="1">
                  <c:v>1999</c:v>
                </c:pt>
                <c:pt idx="2">
                  <c:v>2003</c:v>
                </c:pt>
                <c:pt idx="3">
                  <c:v>2007</c:v>
                </c:pt>
              </c:numCache>
            </c:numRef>
          </c:cat>
          <c:val>
            <c:numRef>
              <c:f>Foglio2!$B$151:$E$151</c:f>
              <c:numCache>
                <c:formatCode>0.00%</c:formatCode>
                <c:ptCount val="4"/>
                <c:pt idx="0">
                  <c:v>0</c:v>
                </c:pt>
                <c:pt idx="1">
                  <c:v>-3.4636673693845502E-2</c:v>
                </c:pt>
                <c:pt idx="2">
                  <c:v>3.35912116927004E-2</c:v>
                </c:pt>
                <c:pt idx="3">
                  <c:v>3.3989031154705897E-2</c:v>
                </c:pt>
              </c:numCache>
            </c:numRef>
          </c:val>
        </c:ser>
        <c:ser>
          <c:idx val="2"/>
          <c:order val="2"/>
          <c:tx>
            <c:strRef>
              <c:f>Foglio2!$A$152</c:f>
              <c:strCache>
                <c:ptCount val="1"/>
                <c:pt idx="0">
                  <c:v>Developed Non-European Countries</c:v>
                </c:pt>
              </c:strCache>
            </c:strRef>
          </c:tx>
          <c:spPr>
            <a:solidFill>
              <a:schemeClr val="bg1"/>
            </a:solidFill>
            <a:ln>
              <a:solidFill>
                <a:schemeClr val="tx1"/>
              </a:solidFill>
            </a:ln>
          </c:spPr>
          <c:cat>
            <c:numRef>
              <c:f>Foglio2!$B$149:$E$149</c:f>
              <c:numCache>
                <c:formatCode>General</c:formatCode>
                <c:ptCount val="4"/>
                <c:pt idx="0">
                  <c:v>1995</c:v>
                </c:pt>
                <c:pt idx="1">
                  <c:v>1999</c:v>
                </c:pt>
                <c:pt idx="2">
                  <c:v>2003</c:v>
                </c:pt>
                <c:pt idx="3">
                  <c:v>2007</c:v>
                </c:pt>
              </c:numCache>
            </c:numRef>
          </c:cat>
          <c:val>
            <c:numRef>
              <c:f>Foglio2!$B$152:$E$152</c:f>
              <c:numCache>
                <c:formatCode>0.00%</c:formatCode>
                <c:ptCount val="4"/>
                <c:pt idx="0">
                  <c:v>0</c:v>
                </c:pt>
                <c:pt idx="1">
                  <c:v>4.3536717492862302E-2</c:v>
                </c:pt>
                <c:pt idx="2">
                  <c:v>3.3053672425642298E-2</c:v>
                </c:pt>
                <c:pt idx="3">
                  <c:v>4.5318669866208097E-2</c:v>
                </c:pt>
              </c:numCache>
            </c:numRef>
          </c:val>
        </c:ser>
        <c:ser>
          <c:idx val="3"/>
          <c:order val="3"/>
          <c:tx>
            <c:strRef>
              <c:f>Foglio2!$A$153</c:f>
              <c:strCache>
                <c:ptCount val="1"/>
                <c:pt idx="0">
                  <c:v>Developing countries</c:v>
                </c:pt>
              </c:strCache>
            </c:strRef>
          </c:tx>
          <c:spPr>
            <a:pattFill prst="pct30">
              <a:fgClr>
                <a:schemeClr val="tx1"/>
              </a:fgClr>
              <a:bgClr>
                <a:schemeClr val="bg1"/>
              </a:bgClr>
            </a:pattFill>
            <a:ln>
              <a:solidFill>
                <a:schemeClr val="tx1"/>
              </a:solidFill>
            </a:ln>
          </c:spPr>
          <c:cat>
            <c:numRef>
              <c:f>Foglio2!$B$149:$E$149</c:f>
              <c:numCache>
                <c:formatCode>General</c:formatCode>
                <c:ptCount val="4"/>
                <c:pt idx="0">
                  <c:v>1995</c:v>
                </c:pt>
                <c:pt idx="1">
                  <c:v>1999</c:v>
                </c:pt>
                <c:pt idx="2">
                  <c:v>2003</c:v>
                </c:pt>
                <c:pt idx="3">
                  <c:v>2007</c:v>
                </c:pt>
              </c:numCache>
            </c:numRef>
          </c:cat>
          <c:val>
            <c:numRef>
              <c:f>Foglio2!$B$153:$E$153</c:f>
              <c:numCache>
                <c:formatCode>0.00%</c:formatCode>
                <c:ptCount val="4"/>
                <c:pt idx="0">
                  <c:v>0</c:v>
                </c:pt>
                <c:pt idx="1">
                  <c:v>7.5725770062550504E-2</c:v>
                </c:pt>
                <c:pt idx="2">
                  <c:v>0.223831405305665</c:v>
                </c:pt>
                <c:pt idx="3">
                  <c:v>0.39674335816824002</c:v>
                </c:pt>
              </c:numCache>
            </c:numRef>
          </c:val>
        </c:ser>
        <c:dLbls>
          <c:showLegendKey val="0"/>
          <c:showVal val="0"/>
          <c:showCatName val="0"/>
          <c:showSerName val="0"/>
          <c:showPercent val="0"/>
          <c:showBubbleSize val="0"/>
        </c:dLbls>
        <c:axId val="66518016"/>
        <c:axId val="67769088"/>
        <c:axId val="67764672"/>
      </c:area3DChart>
      <c:catAx>
        <c:axId val="66518016"/>
        <c:scaling>
          <c:orientation val="minMax"/>
        </c:scaling>
        <c:delete val="0"/>
        <c:axPos val="b"/>
        <c:numFmt formatCode="General" sourceLinked="1"/>
        <c:majorTickMark val="out"/>
        <c:minorTickMark val="none"/>
        <c:tickLblPos val="low"/>
        <c:crossAx val="67769088"/>
        <c:crosses val="autoZero"/>
        <c:auto val="1"/>
        <c:lblAlgn val="ctr"/>
        <c:lblOffset val="100"/>
        <c:noMultiLvlLbl val="0"/>
      </c:catAx>
      <c:valAx>
        <c:axId val="67769088"/>
        <c:scaling>
          <c:orientation val="minMax"/>
        </c:scaling>
        <c:delete val="0"/>
        <c:axPos val="l"/>
        <c:majorGridlines/>
        <c:numFmt formatCode="0.00%" sourceLinked="1"/>
        <c:majorTickMark val="out"/>
        <c:minorTickMark val="none"/>
        <c:tickLblPos val="nextTo"/>
        <c:crossAx val="66518016"/>
        <c:crosses val="autoZero"/>
        <c:crossBetween val="midCat"/>
      </c:valAx>
      <c:serAx>
        <c:axId val="67764672"/>
        <c:scaling>
          <c:orientation val="minMax"/>
        </c:scaling>
        <c:delete val="1"/>
        <c:axPos val="b"/>
        <c:majorTickMark val="out"/>
        <c:minorTickMark val="none"/>
        <c:tickLblPos val="nextTo"/>
        <c:crossAx val="67769088"/>
        <c:crosses val="autoZero"/>
      </c:serAx>
      <c:spPr>
        <a:noFill/>
        <a:ln>
          <a:noFill/>
        </a:ln>
      </c:spPr>
    </c:plotArea>
    <c:legend>
      <c:legendPos val="b"/>
      <c:layout/>
      <c:overlay val="0"/>
    </c:legend>
    <c:plotVisOnly val="1"/>
    <c:dispBlanksAs val="zero"/>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070522427772101E-2"/>
          <c:y val="6.1092981751839297E-2"/>
          <c:w val="0.89123953897869301"/>
          <c:h val="0.42463998076500498"/>
        </c:manualLayout>
      </c:layout>
      <c:barChart>
        <c:barDir val="col"/>
        <c:grouping val="clustered"/>
        <c:varyColors val="0"/>
        <c:ser>
          <c:idx val="0"/>
          <c:order val="0"/>
          <c:tx>
            <c:v>GDP % variation</c:v>
          </c:tx>
          <c:spPr>
            <a:solidFill>
              <a:schemeClr val="bg1">
                <a:lumMod val="65000"/>
              </a:schemeClr>
            </a:solidFill>
          </c:spPr>
          <c:invertIfNegative val="0"/>
          <c:cat>
            <c:strRef>
              <c:f>'Grafici analisi dati'!$B$6:$B$36</c:f>
              <c:strCache>
                <c:ptCount val="31"/>
                <c:pt idx="0">
                  <c:v>Australia</c:v>
                </c:pt>
                <c:pt idx="1">
                  <c:v>Austria</c:v>
                </c:pt>
                <c:pt idx="2">
                  <c:v>Belgium</c:v>
                </c:pt>
                <c:pt idx="3">
                  <c:v>Canada</c:v>
                </c:pt>
                <c:pt idx="4">
                  <c:v>Cina</c:v>
                </c:pt>
                <c:pt idx="5">
                  <c:v>Czeck Republich</c:v>
                </c:pt>
                <c:pt idx="6">
                  <c:v>Denmark</c:v>
                </c:pt>
                <c:pt idx="7">
                  <c:v>Estonia</c:v>
                </c:pt>
                <c:pt idx="8">
                  <c:v>Finland</c:v>
                </c:pt>
                <c:pt idx="9">
                  <c:v>France</c:v>
                </c:pt>
                <c:pt idx="10">
                  <c:v>Germany</c:v>
                </c:pt>
                <c:pt idx="11">
                  <c:v>Greece</c:v>
                </c:pt>
                <c:pt idx="12">
                  <c:v>Hungary</c:v>
                </c:pt>
                <c:pt idx="13">
                  <c:v>Indonesia</c:v>
                </c:pt>
                <c:pt idx="14">
                  <c:v>Ireland</c:v>
                </c:pt>
                <c:pt idx="15">
                  <c:v>Italy</c:v>
                </c:pt>
                <c:pt idx="16">
                  <c:v>Japan</c:v>
                </c:pt>
                <c:pt idx="17">
                  <c:v>South Korea</c:v>
                </c:pt>
                <c:pt idx="18">
                  <c:v>Luxembourg</c:v>
                </c:pt>
                <c:pt idx="19">
                  <c:v>Mexico</c:v>
                </c:pt>
                <c:pt idx="20">
                  <c:v>Netherland</c:v>
                </c:pt>
                <c:pt idx="21">
                  <c:v>Poland</c:v>
                </c:pt>
                <c:pt idx="22">
                  <c:v>Portugal</c:v>
                </c:pt>
                <c:pt idx="23">
                  <c:v>Russia</c:v>
                </c:pt>
                <c:pt idx="24">
                  <c:v>Slovak Republic</c:v>
                </c:pt>
                <c:pt idx="25">
                  <c:v>Slovenia</c:v>
                </c:pt>
                <c:pt idx="26">
                  <c:v>Spain</c:v>
                </c:pt>
                <c:pt idx="27">
                  <c:v>Sweden</c:v>
                </c:pt>
                <c:pt idx="28">
                  <c:v>Turkey</c:v>
                </c:pt>
                <c:pt idx="29">
                  <c:v>United Kingdom</c:v>
                </c:pt>
                <c:pt idx="30">
                  <c:v>United States</c:v>
                </c:pt>
              </c:strCache>
            </c:strRef>
          </c:cat>
          <c:val>
            <c:numRef>
              <c:f>'Grafici analisi dati'!$E$6:$E$36</c:f>
              <c:numCache>
                <c:formatCode>0.00%</c:formatCode>
                <c:ptCount val="31"/>
                <c:pt idx="0">
                  <c:v>0.53935875325148397</c:v>
                </c:pt>
                <c:pt idx="1">
                  <c:v>0.36454760103149503</c:v>
                </c:pt>
                <c:pt idx="2">
                  <c:v>0.316070368198063</c:v>
                </c:pt>
                <c:pt idx="3">
                  <c:v>0.44605928298213898</c:v>
                </c:pt>
                <c:pt idx="4">
                  <c:v>2.09977266204185</c:v>
                </c:pt>
                <c:pt idx="5">
                  <c:v>0.51461709223428598</c:v>
                </c:pt>
                <c:pt idx="6">
                  <c:v>0.28688778058817499</c:v>
                </c:pt>
                <c:pt idx="7">
                  <c:v>1.3116039815350711</c:v>
                </c:pt>
                <c:pt idx="8">
                  <c:v>0.58337318514834402</c:v>
                </c:pt>
                <c:pt idx="9">
                  <c:v>0.29765707411967202</c:v>
                </c:pt>
                <c:pt idx="10">
                  <c:v>0.20978309986443799</c:v>
                </c:pt>
                <c:pt idx="11">
                  <c:v>0.57755375618862803</c:v>
                </c:pt>
                <c:pt idx="12">
                  <c:v>0.47481260122451202</c:v>
                </c:pt>
                <c:pt idx="13">
                  <c:v>0.46580221747894701</c:v>
                </c:pt>
                <c:pt idx="14">
                  <c:v>1.294516707834074</c:v>
                </c:pt>
                <c:pt idx="15">
                  <c:v>0.19937770062229801</c:v>
                </c:pt>
                <c:pt idx="16">
                  <c:v>0.14980067312478301</c:v>
                </c:pt>
                <c:pt idx="17">
                  <c:v>0.77321457703031304</c:v>
                </c:pt>
                <c:pt idx="18">
                  <c:v>0.79486608562885597</c:v>
                </c:pt>
                <c:pt idx="19">
                  <c:v>0.550480568682716</c:v>
                </c:pt>
                <c:pt idx="20">
                  <c:v>0.39893541482811401</c:v>
                </c:pt>
                <c:pt idx="21">
                  <c:v>0.71855279199942601</c:v>
                </c:pt>
                <c:pt idx="22">
                  <c:v>0.33211065582059501</c:v>
                </c:pt>
                <c:pt idx="23">
                  <c:v>0.71114857767663797</c:v>
                </c:pt>
                <c:pt idx="24">
                  <c:v>0.79790259417990705</c:v>
                </c:pt>
                <c:pt idx="25">
                  <c:v>0.67250710298287697</c:v>
                </c:pt>
                <c:pt idx="26">
                  <c:v>0.54668300677386095</c:v>
                </c:pt>
                <c:pt idx="27">
                  <c:v>0.462941464849495</c:v>
                </c:pt>
                <c:pt idx="28">
                  <c:v>0.71085360928476604</c:v>
                </c:pt>
                <c:pt idx="29">
                  <c:v>0.47785907804921202</c:v>
                </c:pt>
                <c:pt idx="30">
                  <c:v>0.463718921258991</c:v>
                </c:pt>
              </c:numCache>
            </c:numRef>
          </c:val>
        </c:ser>
        <c:ser>
          <c:idx val="1"/>
          <c:order val="1"/>
          <c:tx>
            <c:v>CO2 % variation</c:v>
          </c:tx>
          <c:spPr>
            <a:solidFill>
              <a:schemeClr val="tx1"/>
            </a:solidFill>
          </c:spPr>
          <c:invertIfNegative val="0"/>
          <c:cat>
            <c:strRef>
              <c:f>'Grafici analisi dati'!$B$6:$B$36</c:f>
              <c:strCache>
                <c:ptCount val="31"/>
                <c:pt idx="0">
                  <c:v>Australia</c:v>
                </c:pt>
                <c:pt idx="1">
                  <c:v>Austria</c:v>
                </c:pt>
                <c:pt idx="2">
                  <c:v>Belgium</c:v>
                </c:pt>
                <c:pt idx="3">
                  <c:v>Canada</c:v>
                </c:pt>
                <c:pt idx="4">
                  <c:v>Cina</c:v>
                </c:pt>
                <c:pt idx="5">
                  <c:v>Czeck Republich</c:v>
                </c:pt>
                <c:pt idx="6">
                  <c:v>Denmark</c:v>
                </c:pt>
                <c:pt idx="7">
                  <c:v>Estonia</c:v>
                </c:pt>
                <c:pt idx="8">
                  <c:v>Finland</c:v>
                </c:pt>
                <c:pt idx="9">
                  <c:v>France</c:v>
                </c:pt>
                <c:pt idx="10">
                  <c:v>Germany</c:v>
                </c:pt>
                <c:pt idx="11">
                  <c:v>Greece</c:v>
                </c:pt>
                <c:pt idx="12">
                  <c:v>Hungary</c:v>
                </c:pt>
                <c:pt idx="13">
                  <c:v>Indonesia</c:v>
                </c:pt>
                <c:pt idx="14">
                  <c:v>Ireland</c:v>
                </c:pt>
                <c:pt idx="15">
                  <c:v>Italy</c:v>
                </c:pt>
                <c:pt idx="16">
                  <c:v>Japan</c:v>
                </c:pt>
                <c:pt idx="17">
                  <c:v>South Korea</c:v>
                </c:pt>
                <c:pt idx="18">
                  <c:v>Luxembourg</c:v>
                </c:pt>
                <c:pt idx="19">
                  <c:v>Mexico</c:v>
                </c:pt>
                <c:pt idx="20">
                  <c:v>Netherland</c:v>
                </c:pt>
                <c:pt idx="21">
                  <c:v>Poland</c:v>
                </c:pt>
                <c:pt idx="22">
                  <c:v>Portugal</c:v>
                </c:pt>
                <c:pt idx="23">
                  <c:v>Russia</c:v>
                </c:pt>
                <c:pt idx="24">
                  <c:v>Slovak Republic</c:v>
                </c:pt>
                <c:pt idx="25">
                  <c:v>Slovenia</c:v>
                </c:pt>
                <c:pt idx="26">
                  <c:v>Spain</c:v>
                </c:pt>
                <c:pt idx="27">
                  <c:v>Sweden</c:v>
                </c:pt>
                <c:pt idx="28">
                  <c:v>Turkey</c:v>
                </c:pt>
                <c:pt idx="29">
                  <c:v>United Kingdom</c:v>
                </c:pt>
                <c:pt idx="30">
                  <c:v>United States</c:v>
                </c:pt>
              </c:strCache>
            </c:strRef>
          </c:cat>
          <c:val>
            <c:numRef>
              <c:f>'Grafici analisi dati'!$F$6:$F$36</c:f>
              <c:numCache>
                <c:formatCode>0.00%</c:formatCode>
                <c:ptCount val="31"/>
                <c:pt idx="0">
                  <c:v>0.33547333040584199</c:v>
                </c:pt>
                <c:pt idx="1">
                  <c:v>0.134325796798001</c:v>
                </c:pt>
                <c:pt idx="2">
                  <c:v>-5.8344580784923598E-2</c:v>
                </c:pt>
                <c:pt idx="3">
                  <c:v>0.221708727248736</c:v>
                </c:pt>
                <c:pt idx="4">
                  <c:v>0.93945162324662201</c:v>
                </c:pt>
                <c:pt idx="5">
                  <c:v>3.2567257008615798E-2</c:v>
                </c:pt>
                <c:pt idx="6">
                  <c:v>0.43409710591024803</c:v>
                </c:pt>
                <c:pt idx="7">
                  <c:v>5.4020286457676703E-2</c:v>
                </c:pt>
                <c:pt idx="8">
                  <c:v>0.18567647591399999</c:v>
                </c:pt>
                <c:pt idx="9">
                  <c:v>-1.1596021070693499E-2</c:v>
                </c:pt>
                <c:pt idx="10">
                  <c:v>-7.0454583275317603E-2</c:v>
                </c:pt>
                <c:pt idx="11">
                  <c:v>0.32061613234034803</c:v>
                </c:pt>
                <c:pt idx="12">
                  <c:v>-2.7352294717768899E-2</c:v>
                </c:pt>
                <c:pt idx="13">
                  <c:v>0.80330064580607896</c:v>
                </c:pt>
                <c:pt idx="14">
                  <c:v>0.34302238908745297</c:v>
                </c:pt>
                <c:pt idx="15">
                  <c:v>6.3321843845173906E-2</c:v>
                </c:pt>
                <c:pt idx="16">
                  <c:v>8.6029921230627596E-2</c:v>
                </c:pt>
                <c:pt idx="17">
                  <c:v>0.37366708772183399</c:v>
                </c:pt>
                <c:pt idx="18">
                  <c:v>-0.364115205148833</c:v>
                </c:pt>
                <c:pt idx="19">
                  <c:v>0.436352120399701</c:v>
                </c:pt>
                <c:pt idx="20">
                  <c:v>5.7189970364936497E-2</c:v>
                </c:pt>
                <c:pt idx="21">
                  <c:v>-9.0758006966851504E-2</c:v>
                </c:pt>
                <c:pt idx="22">
                  <c:v>0.20395768567929601</c:v>
                </c:pt>
                <c:pt idx="23">
                  <c:v>6.1464379448423603E-2</c:v>
                </c:pt>
                <c:pt idx="24">
                  <c:v>-0.13084326900874699</c:v>
                </c:pt>
                <c:pt idx="25">
                  <c:v>0.20832688407344199</c:v>
                </c:pt>
                <c:pt idx="26">
                  <c:v>0.43985945694768602</c:v>
                </c:pt>
                <c:pt idx="27">
                  <c:v>-2.0014240228297502E-2</c:v>
                </c:pt>
                <c:pt idx="28">
                  <c:v>0.676933969954434</c:v>
                </c:pt>
                <c:pt idx="29">
                  <c:v>2.35350992774448E-2</c:v>
                </c:pt>
                <c:pt idx="30">
                  <c:v>0.12897331982948701</c:v>
                </c:pt>
              </c:numCache>
            </c:numRef>
          </c:val>
        </c:ser>
        <c:dLbls>
          <c:showLegendKey val="0"/>
          <c:showVal val="0"/>
          <c:showCatName val="0"/>
          <c:showSerName val="0"/>
          <c:showPercent val="0"/>
          <c:showBubbleSize val="0"/>
        </c:dLbls>
        <c:gapWidth val="150"/>
        <c:axId val="67887104"/>
        <c:axId val="67888640"/>
      </c:barChart>
      <c:catAx>
        <c:axId val="67887104"/>
        <c:scaling>
          <c:orientation val="minMax"/>
        </c:scaling>
        <c:delete val="0"/>
        <c:axPos val="b"/>
        <c:majorTickMark val="out"/>
        <c:minorTickMark val="none"/>
        <c:tickLblPos val="low"/>
        <c:txPr>
          <a:bodyPr rot="5400000" vert="horz"/>
          <a:lstStyle/>
          <a:p>
            <a:pPr>
              <a:defRPr/>
            </a:pPr>
            <a:endParaRPr lang="it-IT"/>
          </a:p>
        </c:txPr>
        <c:crossAx val="67888640"/>
        <c:crosses val="autoZero"/>
        <c:auto val="1"/>
        <c:lblAlgn val="ctr"/>
        <c:lblOffset val="100"/>
        <c:noMultiLvlLbl val="0"/>
      </c:catAx>
      <c:valAx>
        <c:axId val="67888640"/>
        <c:scaling>
          <c:orientation val="minMax"/>
          <c:max val="2.2000000000000002"/>
          <c:min val="-0.4"/>
        </c:scaling>
        <c:delete val="0"/>
        <c:axPos val="l"/>
        <c:majorGridlines/>
        <c:numFmt formatCode="0%" sourceLinked="0"/>
        <c:majorTickMark val="out"/>
        <c:minorTickMark val="none"/>
        <c:tickLblPos val="nextTo"/>
        <c:crossAx val="67887104"/>
        <c:crosses val="autoZero"/>
        <c:crossBetween val="between"/>
        <c:majorUnit val="0.5"/>
        <c:minorUnit val="0.06"/>
      </c:valAx>
    </c:plotArea>
    <c:legend>
      <c:legendPos val="b"/>
      <c:layout>
        <c:manualLayout>
          <c:xMode val="edge"/>
          <c:yMode val="edge"/>
          <c:x val="5.23726073874912E-2"/>
          <c:y val="0.90239391951006098"/>
          <c:w val="0.37086454132257901"/>
          <c:h val="8.3717191601049901E-2"/>
        </c:manualLayout>
      </c:layou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'Figures 2 and 3'!$I$4</c:f>
              <c:strCache>
                <c:ptCount val="1"/>
                <c:pt idx="0">
                  <c:v>GDP % variation</c:v>
                </c:pt>
              </c:strCache>
            </c:strRef>
          </c:tx>
          <c:spPr>
            <a:solidFill>
              <a:schemeClr val="bg1">
                <a:lumMod val="50000"/>
              </a:schemeClr>
            </a:solidFill>
          </c:spPr>
          <c:invertIfNegative val="0"/>
          <c:cat>
            <c:strRef>
              <c:f>'Figures 2 and 3'!$H$5:$H$6</c:f>
              <c:strCache>
                <c:ptCount val="2"/>
                <c:pt idx="0">
                  <c:v>Brazil (2000-2008)</c:v>
                </c:pt>
                <c:pt idx="1">
                  <c:v>India (2004-2008)</c:v>
                </c:pt>
              </c:strCache>
            </c:strRef>
          </c:cat>
          <c:val>
            <c:numRef>
              <c:f>'Figures 2 and 3'!$I$5:$I$6</c:f>
              <c:numCache>
                <c:formatCode>#,##0.00</c:formatCode>
                <c:ptCount val="2"/>
                <c:pt idx="0">
                  <c:v>0.33336904003152801</c:v>
                </c:pt>
                <c:pt idx="1">
                  <c:v>0.37652057271919198</c:v>
                </c:pt>
              </c:numCache>
            </c:numRef>
          </c:val>
        </c:ser>
        <c:ser>
          <c:idx val="1"/>
          <c:order val="1"/>
          <c:tx>
            <c:strRef>
              <c:f>'Figures 2 and 3'!$J$4</c:f>
              <c:strCache>
                <c:ptCount val="1"/>
                <c:pt idx="0">
                  <c:v>CO2 % variation</c:v>
                </c:pt>
              </c:strCache>
            </c:strRef>
          </c:tx>
          <c:spPr>
            <a:solidFill>
              <a:schemeClr val="tx1">
                <a:lumMod val="85000"/>
                <a:lumOff val="15000"/>
              </a:schemeClr>
            </a:solidFill>
          </c:spPr>
          <c:invertIfNegative val="0"/>
          <c:cat>
            <c:strRef>
              <c:f>'Figures 2 and 3'!$H$5:$H$6</c:f>
              <c:strCache>
                <c:ptCount val="2"/>
                <c:pt idx="0">
                  <c:v>Brazil (2000-2008)</c:v>
                </c:pt>
                <c:pt idx="1">
                  <c:v>India (2004-2008)</c:v>
                </c:pt>
              </c:strCache>
            </c:strRef>
          </c:cat>
          <c:val>
            <c:numRef>
              <c:f>'Figures 2 and 3'!$J$5:$J$6</c:f>
              <c:numCache>
                <c:formatCode>#,##0.00</c:formatCode>
                <c:ptCount val="2"/>
                <c:pt idx="0">
                  <c:v>0.204777508778311</c:v>
                </c:pt>
                <c:pt idx="1">
                  <c:v>0.30359035576252202</c:v>
                </c:pt>
              </c:numCache>
            </c:numRef>
          </c:val>
        </c:ser>
        <c:dLbls>
          <c:showLegendKey val="0"/>
          <c:showVal val="0"/>
          <c:showCatName val="0"/>
          <c:showSerName val="0"/>
          <c:showPercent val="0"/>
          <c:showBubbleSize val="0"/>
        </c:dLbls>
        <c:gapWidth val="150"/>
        <c:axId val="68113920"/>
        <c:axId val="68115456"/>
      </c:barChart>
      <c:catAx>
        <c:axId val="68113920"/>
        <c:scaling>
          <c:orientation val="minMax"/>
        </c:scaling>
        <c:delete val="0"/>
        <c:axPos val="b"/>
        <c:majorTickMark val="out"/>
        <c:minorTickMark val="none"/>
        <c:tickLblPos val="low"/>
        <c:crossAx val="68115456"/>
        <c:crosses val="autoZero"/>
        <c:auto val="1"/>
        <c:lblAlgn val="ctr"/>
        <c:lblOffset val="100"/>
        <c:noMultiLvlLbl val="0"/>
      </c:catAx>
      <c:valAx>
        <c:axId val="68115456"/>
        <c:scaling>
          <c:orientation val="minMax"/>
          <c:min val="-0.1"/>
        </c:scaling>
        <c:delete val="0"/>
        <c:axPos val="l"/>
        <c:majorGridlines/>
        <c:numFmt formatCode="0%" sourceLinked="0"/>
        <c:majorTickMark val="out"/>
        <c:minorTickMark val="none"/>
        <c:tickLblPos val="nextTo"/>
        <c:crossAx val="68113920"/>
        <c:crosses val="autoZero"/>
        <c:crossBetween val="between"/>
      </c:valAx>
    </c:plotArea>
    <c:legend>
      <c:legendPos val="b"/>
      <c:layout/>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426477178157604E-2"/>
          <c:y val="3.8956209421190803E-2"/>
          <c:w val="0.90421579924460604"/>
          <c:h val="0.57013433884144704"/>
        </c:manualLayout>
      </c:layout>
      <c:barChart>
        <c:barDir val="col"/>
        <c:grouping val="clustered"/>
        <c:varyColors val="0"/>
        <c:ser>
          <c:idx val="0"/>
          <c:order val="0"/>
          <c:tx>
            <c:v>CO2 emission intensity % variation</c:v>
          </c:tx>
          <c:spPr>
            <a:solidFill>
              <a:schemeClr val="bg1">
                <a:lumMod val="65000"/>
              </a:schemeClr>
            </a:solidFill>
          </c:spPr>
          <c:invertIfNegative val="0"/>
          <c:cat>
            <c:strRef>
              <c:f>'Grafici analisi dati'!$B$6:$B$36</c:f>
              <c:strCache>
                <c:ptCount val="31"/>
                <c:pt idx="0">
                  <c:v>Australia</c:v>
                </c:pt>
                <c:pt idx="1">
                  <c:v>Austria</c:v>
                </c:pt>
                <c:pt idx="2">
                  <c:v>Belgium</c:v>
                </c:pt>
                <c:pt idx="3">
                  <c:v>Canada</c:v>
                </c:pt>
                <c:pt idx="4">
                  <c:v>Cina</c:v>
                </c:pt>
                <c:pt idx="5">
                  <c:v>Czeck Republich</c:v>
                </c:pt>
                <c:pt idx="6">
                  <c:v>Denmark</c:v>
                </c:pt>
                <c:pt idx="7">
                  <c:v>Estonia</c:v>
                </c:pt>
                <c:pt idx="8">
                  <c:v>Finland</c:v>
                </c:pt>
                <c:pt idx="9">
                  <c:v>France</c:v>
                </c:pt>
                <c:pt idx="10">
                  <c:v>Germany</c:v>
                </c:pt>
                <c:pt idx="11">
                  <c:v>Greece</c:v>
                </c:pt>
                <c:pt idx="12">
                  <c:v>Hungary</c:v>
                </c:pt>
                <c:pt idx="13">
                  <c:v>Indonesia</c:v>
                </c:pt>
                <c:pt idx="14">
                  <c:v>Ireland</c:v>
                </c:pt>
                <c:pt idx="15">
                  <c:v>Italy</c:v>
                </c:pt>
                <c:pt idx="16">
                  <c:v>Japan</c:v>
                </c:pt>
                <c:pt idx="17">
                  <c:v>South Korea</c:v>
                </c:pt>
                <c:pt idx="18">
                  <c:v>Luxembourg</c:v>
                </c:pt>
                <c:pt idx="19">
                  <c:v>Mexico</c:v>
                </c:pt>
                <c:pt idx="20">
                  <c:v>Netherland</c:v>
                </c:pt>
                <c:pt idx="21">
                  <c:v>Poland</c:v>
                </c:pt>
                <c:pt idx="22">
                  <c:v>Portugal</c:v>
                </c:pt>
                <c:pt idx="23">
                  <c:v>Russia</c:v>
                </c:pt>
                <c:pt idx="24">
                  <c:v>Slovak Republic</c:v>
                </c:pt>
                <c:pt idx="25">
                  <c:v>Slovenia</c:v>
                </c:pt>
                <c:pt idx="26">
                  <c:v>Spain</c:v>
                </c:pt>
                <c:pt idx="27">
                  <c:v>Sweden</c:v>
                </c:pt>
                <c:pt idx="28">
                  <c:v>Turkey</c:v>
                </c:pt>
                <c:pt idx="29">
                  <c:v>United Kingdom</c:v>
                </c:pt>
                <c:pt idx="30">
                  <c:v>United States</c:v>
                </c:pt>
              </c:strCache>
            </c:strRef>
          </c:cat>
          <c:val>
            <c:numRef>
              <c:f>'Grafici analisi dati'!$E$43:$E$73</c:f>
              <c:numCache>
                <c:formatCode>0.00%</c:formatCode>
                <c:ptCount val="31"/>
                <c:pt idx="0">
                  <c:v>-3.0823465273118002E-2</c:v>
                </c:pt>
                <c:pt idx="1">
                  <c:v>-4.3393423111069203E-2</c:v>
                </c:pt>
                <c:pt idx="2">
                  <c:v>-9.9604875275282195E-2</c:v>
                </c:pt>
                <c:pt idx="3">
                  <c:v>4.4024949661004599E-2</c:v>
                </c:pt>
                <c:pt idx="4">
                  <c:v>8.0025197852985706E-3</c:v>
                </c:pt>
                <c:pt idx="5">
                  <c:v>-5.7769088129348202E-2</c:v>
                </c:pt>
                <c:pt idx="6">
                  <c:v>1.00135760734953E-2</c:v>
                </c:pt>
                <c:pt idx="7">
                  <c:v>-0.111943884733195</c:v>
                </c:pt>
                <c:pt idx="8">
                  <c:v>-6.4628652991780194E-2</c:v>
                </c:pt>
                <c:pt idx="9">
                  <c:v>-0.110352959741174</c:v>
                </c:pt>
                <c:pt idx="10">
                  <c:v>-7.3619715806481301E-2</c:v>
                </c:pt>
                <c:pt idx="11">
                  <c:v>-0.194980379931014</c:v>
                </c:pt>
                <c:pt idx="12">
                  <c:v>-7.5096708124034697E-2</c:v>
                </c:pt>
                <c:pt idx="13">
                  <c:v>0.16212888491298799</c:v>
                </c:pt>
                <c:pt idx="14">
                  <c:v>-0.18075684765830299</c:v>
                </c:pt>
                <c:pt idx="15">
                  <c:v>-0.107263195691184</c:v>
                </c:pt>
                <c:pt idx="16">
                  <c:v>1.6067353670155601E-2</c:v>
                </c:pt>
                <c:pt idx="17">
                  <c:v>-0.13000194339115201</c:v>
                </c:pt>
                <c:pt idx="18">
                  <c:v>-0.62370178937522902</c:v>
                </c:pt>
                <c:pt idx="19">
                  <c:v>-5.9015329589556104E-3</c:v>
                </c:pt>
                <c:pt idx="20">
                  <c:v>0.15699401918932299</c:v>
                </c:pt>
                <c:pt idx="21">
                  <c:v>-7.3864466696709596E-2</c:v>
                </c:pt>
                <c:pt idx="22">
                  <c:v>-9.4715115272901995E-2</c:v>
                </c:pt>
                <c:pt idx="23">
                  <c:v>5.9164287324223297E-2</c:v>
                </c:pt>
                <c:pt idx="24">
                  <c:v>-0.157767411549873</c:v>
                </c:pt>
                <c:pt idx="25">
                  <c:v>1.5593048394978401E-2</c:v>
                </c:pt>
                <c:pt idx="26">
                  <c:v>-6.2235080744534099E-2</c:v>
                </c:pt>
                <c:pt idx="27">
                  <c:v>-1.6678848460801102E-2</c:v>
                </c:pt>
                <c:pt idx="28">
                  <c:v>-2.2899416843432899E-2</c:v>
                </c:pt>
                <c:pt idx="29">
                  <c:v>-1.3712944888085299E-2</c:v>
                </c:pt>
                <c:pt idx="30">
                  <c:v>-1.00268582526331E-2</c:v>
                </c:pt>
              </c:numCache>
            </c:numRef>
          </c:val>
        </c:ser>
        <c:ser>
          <c:idx val="1"/>
          <c:order val="1"/>
          <c:tx>
            <c:v>Energy intensity % variation</c:v>
          </c:tx>
          <c:spPr>
            <a:solidFill>
              <a:schemeClr val="tx1"/>
            </a:solidFill>
          </c:spPr>
          <c:invertIfNegative val="0"/>
          <c:cat>
            <c:strRef>
              <c:f>'Grafici analisi dati'!$B$6:$B$36</c:f>
              <c:strCache>
                <c:ptCount val="31"/>
                <c:pt idx="0">
                  <c:v>Australia</c:v>
                </c:pt>
                <c:pt idx="1">
                  <c:v>Austria</c:v>
                </c:pt>
                <c:pt idx="2">
                  <c:v>Belgium</c:v>
                </c:pt>
                <c:pt idx="3">
                  <c:v>Canada</c:v>
                </c:pt>
                <c:pt idx="4">
                  <c:v>Cina</c:v>
                </c:pt>
                <c:pt idx="5">
                  <c:v>Czeck Republich</c:v>
                </c:pt>
                <c:pt idx="6">
                  <c:v>Denmark</c:v>
                </c:pt>
                <c:pt idx="7">
                  <c:v>Estonia</c:v>
                </c:pt>
                <c:pt idx="8">
                  <c:v>Finland</c:v>
                </c:pt>
                <c:pt idx="9">
                  <c:v>France</c:v>
                </c:pt>
                <c:pt idx="10">
                  <c:v>Germany</c:v>
                </c:pt>
                <c:pt idx="11">
                  <c:v>Greece</c:v>
                </c:pt>
                <c:pt idx="12">
                  <c:v>Hungary</c:v>
                </c:pt>
                <c:pt idx="13">
                  <c:v>Indonesia</c:v>
                </c:pt>
                <c:pt idx="14">
                  <c:v>Ireland</c:v>
                </c:pt>
                <c:pt idx="15">
                  <c:v>Italy</c:v>
                </c:pt>
                <c:pt idx="16">
                  <c:v>Japan</c:v>
                </c:pt>
                <c:pt idx="17">
                  <c:v>South Korea</c:v>
                </c:pt>
                <c:pt idx="18">
                  <c:v>Luxembourg</c:v>
                </c:pt>
                <c:pt idx="19">
                  <c:v>Mexico</c:v>
                </c:pt>
                <c:pt idx="20">
                  <c:v>Netherland</c:v>
                </c:pt>
                <c:pt idx="21">
                  <c:v>Poland</c:v>
                </c:pt>
                <c:pt idx="22">
                  <c:v>Portugal</c:v>
                </c:pt>
                <c:pt idx="23">
                  <c:v>Russia</c:v>
                </c:pt>
                <c:pt idx="24">
                  <c:v>Slovak Republic</c:v>
                </c:pt>
                <c:pt idx="25">
                  <c:v>Slovenia</c:v>
                </c:pt>
                <c:pt idx="26">
                  <c:v>Spain</c:v>
                </c:pt>
                <c:pt idx="27">
                  <c:v>Sweden</c:v>
                </c:pt>
                <c:pt idx="28">
                  <c:v>Turkey</c:v>
                </c:pt>
                <c:pt idx="29">
                  <c:v>United Kingdom</c:v>
                </c:pt>
                <c:pt idx="30">
                  <c:v>United States</c:v>
                </c:pt>
              </c:strCache>
            </c:strRef>
          </c:cat>
          <c:val>
            <c:numRef>
              <c:f>'Grafici analisi dati'!$F$43:$F$73</c:f>
              <c:numCache>
                <c:formatCode>0.00%</c:formatCode>
                <c:ptCount val="31"/>
                <c:pt idx="0">
                  <c:v>-0.10485686917975</c:v>
                </c:pt>
                <c:pt idx="1">
                  <c:v>-0.131008044191118</c:v>
                </c:pt>
                <c:pt idx="2">
                  <c:v>-0.20534290669718999</c:v>
                </c:pt>
                <c:pt idx="3">
                  <c:v>-0.190772373041771</c:v>
                </c:pt>
                <c:pt idx="4">
                  <c:v>-0.37929179004603902</c:v>
                </c:pt>
                <c:pt idx="5">
                  <c:v>-0.27646732668488999</c:v>
                </c:pt>
                <c:pt idx="6">
                  <c:v>0.10334332220307001</c:v>
                </c:pt>
                <c:pt idx="7">
                  <c:v>-0.48655358405918098</c:v>
                </c:pt>
                <c:pt idx="8">
                  <c:v>-0.199430840746808</c:v>
                </c:pt>
                <c:pt idx="9">
                  <c:v>-0.143836304563742</c:v>
                </c:pt>
                <c:pt idx="10">
                  <c:v>-0.17058134911609901</c:v>
                </c:pt>
                <c:pt idx="11">
                  <c:v>3.9886561838871598E-2</c:v>
                </c:pt>
                <c:pt idx="12">
                  <c:v>-0.28694603088819098</c:v>
                </c:pt>
                <c:pt idx="13">
                  <c:v>5.8616035123836098E-2</c:v>
                </c:pt>
                <c:pt idx="14">
                  <c:v>-0.28553787940175102</c:v>
                </c:pt>
                <c:pt idx="15">
                  <c:v>-6.9175061351974404E-3</c:v>
                </c:pt>
                <c:pt idx="16">
                  <c:v>-7.0398674186435001E-2</c:v>
                </c:pt>
                <c:pt idx="17">
                  <c:v>-0.109565624781576</c:v>
                </c:pt>
                <c:pt idx="18">
                  <c:v>-5.8513199558685898E-2</c:v>
                </c:pt>
                <c:pt idx="19">
                  <c:v>-6.8108848736876004E-2</c:v>
                </c:pt>
                <c:pt idx="20">
                  <c:v>-0.34683296860583701</c:v>
                </c:pt>
                <c:pt idx="21">
                  <c:v>-0.42872915491522101</c:v>
                </c:pt>
                <c:pt idx="22">
                  <c:v>-1.64349503970882E-3</c:v>
                </c:pt>
                <c:pt idx="23">
                  <c:v>-0.41432811655287399</c:v>
                </c:pt>
                <c:pt idx="24">
                  <c:v>-0.42601585361292099</c:v>
                </c:pt>
                <c:pt idx="25">
                  <c:v>-0.28862803156884698</c:v>
                </c:pt>
                <c:pt idx="26">
                  <c:v>-7.2844907804240199E-3</c:v>
                </c:pt>
                <c:pt idx="27">
                  <c:v>-0.31876424443912799</c:v>
                </c:pt>
                <c:pt idx="28">
                  <c:v>3.1452927721453299E-3</c:v>
                </c:pt>
                <c:pt idx="29">
                  <c:v>-0.29779101292902799</c:v>
                </c:pt>
                <c:pt idx="30">
                  <c:v>-0.22088318123915399</c:v>
                </c:pt>
              </c:numCache>
            </c:numRef>
          </c:val>
        </c:ser>
        <c:dLbls>
          <c:showLegendKey val="0"/>
          <c:showVal val="0"/>
          <c:showCatName val="0"/>
          <c:showSerName val="0"/>
          <c:showPercent val="0"/>
          <c:showBubbleSize val="0"/>
        </c:dLbls>
        <c:gapWidth val="150"/>
        <c:axId val="73713152"/>
        <c:axId val="73714688"/>
      </c:barChart>
      <c:catAx>
        <c:axId val="73713152"/>
        <c:scaling>
          <c:orientation val="minMax"/>
        </c:scaling>
        <c:delete val="0"/>
        <c:axPos val="b"/>
        <c:majorTickMark val="out"/>
        <c:minorTickMark val="none"/>
        <c:tickLblPos val="low"/>
        <c:txPr>
          <a:bodyPr rot="5400000" vert="horz"/>
          <a:lstStyle/>
          <a:p>
            <a:pPr>
              <a:defRPr/>
            </a:pPr>
            <a:endParaRPr lang="it-IT"/>
          </a:p>
        </c:txPr>
        <c:crossAx val="73714688"/>
        <c:crosses val="autoZero"/>
        <c:auto val="1"/>
        <c:lblAlgn val="ctr"/>
        <c:lblOffset val="100"/>
        <c:noMultiLvlLbl val="0"/>
      </c:catAx>
      <c:valAx>
        <c:axId val="73714688"/>
        <c:scaling>
          <c:orientation val="minMax"/>
          <c:max val="0.2"/>
          <c:min val="-0.7"/>
        </c:scaling>
        <c:delete val="0"/>
        <c:axPos val="l"/>
        <c:majorGridlines/>
        <c:numFmt formatCode="0%" sourceLinked="0"/>
        <c:majorTickMark val="out"/>
        <c:minorTickMark val="none"/>
        <c:tickLblPos val="nextTo"/>
        <c:crossAx val="73713152"/>
        <c:crosses val="autoZero"/>
        <c:crossBetween val="between"/>
        <c:majorUnit val="0.1"/>
        <c:minorUnit val="0.06"/>
      </c:valAx>
    </c:plotArea>
    <c:legend>
      <c:legendPos val="b"/>
      <c:layout>
        <c:manualLayout>
          <c:xMode val="edge"/>
          <c:yMode val="edge"/>
          <c:x val="3.81449651110684E-2"/>
          <c:y val="0.90326775350264299"/>
          <c:w val="0.66964502912745705"/>
          <c:h val="8.3717191601049901E-2"/>
        </c:manualLayout>
      </c:layout>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'Figures 2 and 3'!$Q$3</c:f>
              <c:strCache>
                <c:ptCount val="1"/>
                <c:pt idx="0">
                  <c:v>CO2 emission intensity % variation</c:v>
                </c:pt>
              </c:strCache>
            </c:strRef>
          </c:tx>
          <c:spPr>
            <a:solidFill>
              <a:schemeClr val="bg1">
                <a:lumMod val="50000"/>
              </a:schemeClr>
            </a:solidFill>
          </c:spPr>
          <c:invertIfNegative val="0"/>
          <c:dPt>
            <c:idx val="1"/>
            <c:invertIfNegative val="0"/>
            <c:bubble3D val="0"/>
            <c:spPr>
              <a:solidFill>
                <a:schemeClr val="tx1">
                  <a:lumMod val="50000"/>
                  <a:lumOff val="50000"/>
                </a:schemeClr>
              </a:solidFill>
            </c:spPr>
          </c:dPt>
          <c:cat>
            <c:strRef>
              <c:f>'Figures 2 and 3'!$P$4:$P$5</c:f>
              <c:strCache>
                <c:ptCount val="2"/>
                <c:pt idx="0">
                  <c:v>Brazil (2000-2008)</c:v>
                </c:pt>
                <c:pt idx="1">
                  <c:v>India (2004-2008)</c:v>
                </c:pt>
              </c:strCache>
            </c:strRef>
          </c:cat>
          <c:val>
            <c:numRef>
              <c:f>'Figures 2 and 3'!$Q$4:$Q$5</c:f>
              <c:numCache>
                <c:formatCode>General</c:formatCode>
                <c:ptCount val="2"/>
                <c:pt idx="0">
                  <c:v>-9.64E-2</c:v>
                </c:pt>
                <c:pt idx="1">
                  <c:v>-5.2900000000000003E-2</c:v>
                </c:pt>
              </c:numCache>
            </c:numRef>
          </c:val>
        </c:ser>
        <c:ser>
          <c:idx val="1"/>
          <c:order val="1"/>
          <c:tx>
            <c:strRef>
              <c:f>'Figures 2 and 3'!$R$3</c:f>
              <c:strCache>
                <c:ptCount val="1"/>
                <c:pt idx="0">
                  <c:v>Energy intensity % variation</c:v>
                </c:pt>
              </c:strCache>
            </c:strRef>
          </c:tx>
          <c:spPr>
            <a:solidFill>
              <a:schemeClr val="tx1">
                <a:lumMod val="85000"/>
                <a:lumOff val="15000"/>
              </a:schemeClr>
            </a:solidFill>
          </c:spPr>
          <c:invertIfNegative val="0"/>
          <c:cat>
            <c:strRef>
              <c:f>'Figures 2 and 3'!$P$4:$P$5</c:f>
              <c:strCache>
                <c:ptCount val="2"/>
                <c:pt idx="0">
                  <c:v>Brazil (2000-2008)</c:v>
                </c:pt>
                <c:pt idx="1">
                  <c:v>India (2004-2008)</c:v>
                </c:pt>
              </c:strCache>
            </c:strRef>
          </c:cat>
          <c:val>
            <c:numRef>
              <c:f>'Figures 2 and 3'!$R$4:$R$5</c:f>
              <c:numCache>
                <c:formatCode>General</c:formatCode>
                <c:ptCount val="2"/>
                <c:pt idx="0">
                  <c:v>1.23E-2</c:v>
                </c:pt>
                <c:pt idx="1">
                  <c:v>-0.1158</c:v>
                </c:pt>
              </c:numCache>
            </c:numRef>
          </c:val>
        </c:ser>
        <c:dLbls>
          <c:showLegendKey val="0"/>
          <c:showVal val="0"/>
          <c:showCatName val="0"/>
          <c:showSerName val="0"/>
          <c:showPercent val="0"/>
          <c:showBubbleSize val="0"/>
        </c:dLbls>
        <c:gapWidth val="150"/>
        <c:axId val="73804416"/>
        <c:axId val="73806208"/>
      </c:barChart>
      <c:catAx>
        <c:axId val="73804416"/>
        <c:scaling>
          <c:orientation val="minMax"/>
        </c:scaling>
        <c:delete val="0"/>
        <c:axPos val="b"/>
        <c:majorTickMark val="out"/>
        <c:minorTickMark val="none"/>
        <c:tickLblPos val="low"/>
        <c:crossAx val="73806208"/>
        <c:crosses val="autoZero"/>
        <c:auto val="1"/>
        <c:lblAlgn val="ctr"/>
        <c:lblOffset val="100"/>
        <c:noMultiLvlLbl val="0"/>
      </c:catAx>
      <c:valAx>
        <c:axId val="73806208"/>
        <c:scaling>
          <c:orientation val="minMax"/>
        </c:scaling>
        <c:delete val="0"/>
        <c:axPos val="l"/>
        <c:majorGridlines/>
        <c:numFmt formatCode="0%" sourceLinked="0"/>
        <c:majorTickMark val="out"/>
        <c:minorTickMark val="none"/>
        <c:tickLblPos val="nextTo"/>
        <c:crossAx val="73804416"/>
        <c:crosses val="autoZero"/>
        <c:crossBetween val="between"/>
      </c:valAx>
    </c:plotArea>
    <c:legend>
      <c:legendPos val="b"/>
      <c:layout/>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975240594925599"/>
          <c:y val="5.1400554097404502E-2"/>
          <c:w val="0.83969203849518803"/>
          <c:h val="0.60886811023622001"/>
        </c:manualLayout>
      </c:layout>
      <c:barChart>
        <c:barDir val="col"/>
        <c:grouping val="clustered"/>
        <c:varyColors val="0"/>
        <c:ser>
          <c:idx val="0"/>
          <c:order val="0"/>
          <c:tx>
            <c:strRef>
              <c:f>Grafici!$C$3</c:f>
              <c:strCache>
                <c:ptCount val="1"/>
                <c:pt idx="0">
                  <c:v>CI effect</c:v>
                </c:pt>
              </c:strCache>
            </c:strRef>
          </c:tx>
          <c:spPr>
            <a:solidFill>
              <a:schemeClr val="tx1">
                <a:lumMod val="50000"/>
                <a:lumOff val="50000"/>
              </a:schemeClr>
            </a:solidFill>
          </c:spPr>
          <c:invertIfNegative val="0"/>
          <c:cat>
            <c:strRef>
              <c:f>Grafici!$B$4:$B$17</c:f>
              <c:strCache>
                <c:ptCount val="14"/>
                <c:pt idx="0">
                  <c:v>Austria</c:v>
                </c:pt>
                <c:pt idx="1">
                  <c:v>Belgium</c:v>
                </c:pt>
                <c:pt idx="2">
                  <c:v>Czeck Republich</c:v>
                </c:pt>
                <c:pt idx="3">
                  <c:v>Hungary</c:v>
                </c:pt>
                <c:pt idx="4">
                  <c:v>Portugal</c:v>
                </c:pt>
                <c:pt idx="5">
                  <c:v>Sweden</c:v>
                </c:pt>
                <c:pt idx="6">
                  <c:v>Denmark</c:v>
                </c:pt>
                <c:pt idx="7">
                  <c:v>Estonia</c:v>
                </c:pt>
                <c:pt idx="8">
                  <c:v>Finland</c:v>
                </c:pt>
                <c:pt idx="9">
                  <c:v>Greece</c:v>
                </c:pt>
                <c:pt idx="10">
                  <c:v>Ireland</c:v>
                </c:pt>
                <c:pt idx="11">
                  <c:v>Luxembourg</c:v>
                </c:pt>
                <c:pt idx="12">
                  <c:v>Slovak Republic</c:v>
                </c:pt>
                <c:pt idx="13">
                  <c:v>Slovenia</c:v>
                </c:pt>
              </c:strCache>
            </c:strRef>
          </c:cat>
          <c:val>
            <c:numRef>
              <c:f>Grafici!$C$4:$C$17</c:f>
              <c:numCache>
                <c:formatCode>#,##0</c:formatCode>
                <c:ptCount val="14"/>
                <c:pt idx="0">
                  <c:v>-2971.39034231197</c:v>
                </c:pt>
                <c:pt idx="1">
                  <c:v>-13756.461038061791</c:v>
                </c:pt>
                <c:pt idx="2">
                  <c:v>-7359.6824158671652</c:v>
                </c:pt>
                <c:pt idx="3">
                  <c:v>-4813.9301903889518</c:v>
                </c:pt>
                <c:pt idx="4">
                  <c:v>-6043.7959392094017</c:v>
                </c:pt>
                <c:pt idx="5">
                  <c:v>-1086.771211318166</c:v>
                </c:pt>
                <c:pt idx="6">
                  <c:v>905.32845084905443</c:v>
                </c:pt>
                <c:pt idx="7">
                  <c:v>-2380.4406092912682</c:v>
                </c:pt>
                <c:pt idx="8">
                  <c:v>-4501.9700219085425</c:v>
                </c:pt>
                <c:pt idx="9">
                  <c:v>-22189.831090926491</c:v>
                </c:pt>
                <c:pt idx="10">
                  <c:v>-8552.9400487473231</c:v>
                </c:pt>
                <c:pt idx="11">
                  <c:v>-6488.1003960773642</c:v>
                </c:pt>
                <c:pt idx="12">
                  <c:v>-7484.4510293906906</c:v>
                </c:pt>
                <c:pt idx="13">
                  <c:v>262.11187514888928</c:v>
                </c:pt>
              </c:numCache>
            </c:numRef>
          </c:val>
        </c:ser>
        <c:ser>
          <c:idx val="1"/>
          <c:order val="1"/>
          <c:tx>
            <c:strRef>
              <c:f>Grafici!$D$3</c:f>
              <c:strCache>
                <c:ptCount val="1"/>
                <c:pt idx="0">
                  <c:v>EI effect</c:v>
                </c:pt>
              </c:strCache>
            </c:strRef>
          </c:tx>
          <c:spPr>
            <a:solidFill>
              <a:schemeClr val="tx1"/>
            </a:solidFill>
            <a:ln>
              <a:solidFill>
                <a:sysClr val="windowText" lastClr="000000"/>
              </a:solidFill>
            </a:ln>
          </c:spPr>
          <c:invertIfNegative val="0"/>
          <c:cat>
            <c:strRef>
              <c:f>Grafici!$B$4:$B$17</c:f>
              <c:strCache>
                <c:ptCount val="14"/>
                <c:pt idx="0">
                  <c:v>Austria</c:v>
                </c:pt>
                <c:pt idx="1">
                  <c:v>Belgium</c:v>
                </c:pt>
                <c:pt idx="2">
                  <c:v>Czeck Republich</c:v>
                </c:pt>
                <c:pt idx="3">
                  <c:v>Hungary</c:v>
                </c:pt>
                <c:pt idx="4">
                  <c:v>Portugal</c:v>
                </c:pt>
                <c:pt idx="5">
                  <c:v>Sweden</c:v>
                </c:pt>
                <c:pt idx="6">
                  <c:v>Denmark</c:v>
                </c:pt>
                <c:pt idx="7">
                  <c:v>Estonia</c:v>
                </c:pt>
                <c:pt idx="8">
                  <c:v>Finland</c:v>
                </c:pt>
                <c:pt idx="9">
                  <c:v>Greece</c:v>
                </c:pt>
                <c:pt idx="10">
                  <c:v>Ireland</c:v>
                </c:pt>
                <c:pt idx="11">
                  <c:v>Luxembourg</c:v>
                </c:pt>
                <c:pt idx="12">
                  <c:v>Slovak Republic</c:v>
                </c:pt>
                <c:pt idx="13">
                  <c:v>Slovenia</c:v>
                </c:pt>
              </c:strCache>
            </c:strRef>
          </c:cat>
          <c:val>
            <c:numRef>
              <c:f>Grafici!$D$4:$D$17</c:f>
              <c:numCache>
                <c:formatCode>#,##0</c:formatCode>
                <c:ptCount val="14"/>
                <c:pt idx="0">
                  <c:v>-9414.3713139138399</c:v>
                </c:pt>
                <c:pt idx="1">
                  <c:v>-30114.978671919998</c:v>
                </c:pt>
                <c:pt idx="2">
                  <c:v>-40047.614203288547</c:v>
                </c:pt>
                <c:pt idx="3">
                  <c:v>-20839.855108008</c:v>
                </c:pt>
                <c:pt idx="4">
                  <c:v>-99.758158704766402</c:v>
                </c:pt>
                <c:pt idx="5">
                  <c:v>-24782.425955703569</c:v>
                </c:pt>
                <c:pt idx="6">
                  <c:v>8912.4800581722648</c:v>
                </c:pt>
                <c:pt idx="7">
                  <c:v>-13387.518823462629</c:v>
                </c:pt>
                <c:pt idx="8">
                  <c:v>-15020.00429004027</c:v>
                </c:pt>
                <c:pt idx="9">
                  <c:v>3978.416298956673</c:v>
                </c:pt>
                <c:pt idx="10">
                  <c:v>-14469.229773167701</c:v>
                </c:pt>
                <c:pt idx="11">
                  <c:v>-413.96077561961329</c:v>
                </c:pt>
                <c:pt idx="12">
                  <c:v>-24085.962739228191</c:v>
                </c:pt>
                <c:pt idx="13">
                  <c:v>-5800.3606240601966</c:v>
                </c:pt>
              </c:numCache>
            </c:numRef>
          </c:val>
        </c:ser>
        <c:ser>
          <c:idx val="2"/>
          <c:order val="2"/>
          <c:tx>
            <c:strRef>
              <c:f>Grafici!$E$3</c:f>
              <c:strCache>
                <c:ptCount val="1"/>
                <c:pt idx="0">
                  <c:v>ES effect</c:v>
                </c:pt>
              </c:strCache>
            </c:strRef>
          </c:tx>
          <c:spPr>
            <a:solidFill>
              <a:schemeClr val="bg1"/>
            </a:solidFill>
            <a:ln>
              <a:solidFill>
                <a:schemeClr val="tx1"/>
              </a:solidFill>
            </a:ln>
          </c:spPr>
          <c:invertIfNegative val="0"/>
          <c:cat>
            <c:strRef>
              <c:f>Grafici!$B$4:$B$17</c:f>
              <c:strCache>
                <c:ptCount val="14"/>
                <c:pt idx="0">
                  <c:v>Austria</c:v>
                </c:pt>
                <c:pt idx="1">
                  <c:v>Belgium</c:v>
                </c:pt>
                <c:pt idx="2">
                  <c:v>Czeck Republich</c:v>
                </c:pt>
                <c:pt idx="3">
                  <c:v>Hungary</c:v>
                </c:pt>
                <c:pt idx="4">
                  <c:v>Portugal</c:v>
                </c:pt>
                <c:pt idx="5">
                  <c:v>Sweden</c:v>
                </c:pt>
                <c:pt idx="6">
                  <c:v>Denmark</c:v>
                </c:pt>
                <c:pt idx="7">
                  <c:v>Estonia</c:v>
                </c:pt>
                <c:pt idx="8">
                  <c:v>Finland</c:v>
                </c:pt>
                <c:pt idx="9">
                  <c:v>Greece</c:v>
                </c:pt>
                <c:pt idx="10">
                  <c:v>Ireland</c:v>
                </c:pt>
                <c:pt idx="11">
                  <c:v>Luxembourg</c:v>
                </c:pt>
                <c:pt idx="12">
                  <c:v>Slovak Republic</c:v>
                </c:pt>
                <c:pt idx="13">
                  <c:v>Slovenia</c:v>
                </c:pt>
              </c:strCache>
            </c:strRef>
          </c:cat>
          <c:val>
            <c:numRef>
              <c:f>Grafici!$E$4:$E$17</c:f>
              <c:numCache>
                <c:formatCode>#,##0</c:formatCode>
                <c:ptCount val="14"/>
                <c:pt idx="0">
                  <c:v>-8968.9382645414353</c:v>
                </c:pt>
                <c:pt idx="1">
                  <c:v>-22275.86043938373</c:v>
                </c:pt>
                <c:pt idx="2">
                  <c:v>-3641.7540737078762</c:v>
                </c:pt>
                <c:pt idx="3">
                  <c:v>-3458.2551384001258</c:v>
                </c:pt>
                <c:pt idx="4">
                  <c:v>-9595.564696183932</c:v>
                </c:pt>
                <c:pt idx="5">
                  <c:v>-4145.2719120462898</c:v>
                </c:pt>
                <c:pt idx="6">
                  <c:v>-17584.439001329662</c:v>
                </c:pt>
                <c:pt idx="7">
                  <c:v>7865.440047003086</c:v>
                </c:pt>
                <c:pt idx="8">
                  <c:v>1006.115872371937</c:v>
                </c:pt>
                <c:pt idx="9">
                  <c:v>1146.7071585561289</c:v>
                </c:pt>
                <c:pt idx="10">
                  <c:v>16323.463306702521</c:v>
                </c:pt>
                <c:pt idx="11">
                  <c:v>969.93642581866902</c:v>
                </c:pt>
                <c:pt idx="12">
                  <c:v>6212.2951397983379</c:v>
                </c:pt>
                <c:pt idx="13">
                  <c:v>1179.985433250622</c:v>
                </c:pt>
              </c:numCache>
            </c:numRef>
          </c:val>
        </c:ser>
        <c:ser>
          <c:idx val="3"/>
          <c:order val="3"/>
          <c:tx>
            <c:strRef>
              <c:f>Grafici!$F$3</c:f>
              <c:strCache>
                <c:ptCount val="1"/>
                <c:pt idx="0">
                  <c:v>G effect</c:v>
                </c:pt>
              </c:strCache>
            </c:strRef>
          </c:tx>
          <c:spPr>
            <a:pattFill prst="pct75">
              <a:fgClr>
                <a:schemeClr val="tx1"/>
              </a:fgClr>
              <a:bgClr>
                <a:schemeClr val="bg1"/>
              </a:bgClr>
            </a:pattFill>
          </c:spPr>
          <c:invertIfNegative val="0"/>
          <c:cat>
            <c:strRef>
              <c:f>Grafici!$B$4:$B$17</c:f>
              <c:strCache>
                <c:ptCount val="14"/>
                <c:pt idx="0">
                  <c:v>Austria</c:v>
                </c:pt>
                <c:pt idx="1">
                  <c:v>Belgium</c:v>
                </c:pt>
                <c:pt idx="2">
                  <c:v>Czeck Republich</c:v>
                </c:pt>
                <c:pt idx="3">
                  <c:v>Hungary</c:v>
                </c:pt>
                <c:pt idx="4">
                  <c:v>Portugal</c:v>
                </c:pt>
                <c:pt idx="5">
                  <c:v>Sweden</c:v>
                </c:pt>
                <c:pt idx="6">
                  <c:v>Denmark</c:v>
                </c:pt>
                <c:pt idx="7">
                  <c:v>Estonia</c:v>
                </c:pt>
                <c:pt idx="8">
                  <c:v>Finland</c:v>
                </c:pt>
                <c:pt idx="9">
                  <c:v>Greece</c:v>
                </c:pt>
                <c:pt idx="10">
                  <c:v>Ireland</c:v>
                </c:pt>
                <c:pt idx="11">
                  <c:v>Luxembourg</c:v>
                </c:pt>
                <c:pt idx="12">
                  <c:v>Slovak Republic</c:v>
                </c:pt>
                <c:pt idx="13">
                  <c:v>Slovenia</c:v>
                </c:pt>
              </c:strCache>
            </c:strRef>
          </c:cat>
          <c:val>
            <c:numRef>
              <c:f>Grafici!$F$4:$F$17</c:f>
              <c:numCache>
                <c:formatCode>#,##0</c:formatCode>
                <c:ptCount val="14"/>
                <c:pt idx="0">
                  <c:v>29628.02992076724</c:v>
                </c:pt>
                <c:pt idx="1">
                  <c:v>58449.69014936551</c:v>
                </c:pt>
                <c:pt idx="2">
                  <c:v>54912.250692863592</c:v>
                </c:pt>
                <c:pt idx="3">
                  <c:v>27446.730436797061</c:v>
                </c:pt>
                <c:pt idx="4">
                  <c:v>26780.918794098121</c:v>
                </c:pt>
                <c:pt idx="5">
                  <c:v>28745.609079068028</c:v>
                </c:pt>
                <c:pt idx="6">
                  <c:v>39878.920492308338</c:v>
                </c:pt>
                <c:pt idx="7">
                  <c:v>8887.889385750821</c:v>
                </c:pt>
                <c:pt idx="8">
                  <c:v>29744.05843957686</c:v>
                </c:pt>
                <c:pt idx="9">
                  <c:v>44805.367633413684</c:v>
                </c:pt>
                <c:pt idx="10">
                  <c:v>18778.826515212499</c:v>
                </c:pt>
                <c:pt idx="11">
                  <c:v>3103.4047458783089</c:v>
                </c:pt>
                <c:pt idx="12">
                  <c:v>19510.18862882055</c:v>
                </c:pt>
                <c:pt idx="13">
                  <c:v>7480.8333156606895</c:v>
                </c:pt>
              </c:numCache>
            </c:numRef>
          </c:val>
        </c:ser>
        <c:dLbls>
          <c:showLegendKey val="0"/>
          <c:showVal val="0"/>
          <c:showCatName val="0"/>
          <c:showSerName val="0"/>
          <c:showPercent val="0"/>
          <c:showBubbleSize val="0"/>
        </c:dLbls>
        <c:gapWidth val="150"/>
        <c:axId val="74558848"/>
        <c:axId val="76568064"/>
      </c:barChart>
      <c:scatterChart>
        <c:scatterStyle val="lineMarker"/>
        <c:varyColors val="0"/>
        <c:ser>
          <c:idx val="4"/>
          <c:order val="4"/>
          <c:tx>
            <c:v>Cumulated change</c:v>
          </c:tx>
          <c:spPr>
            <a:ln w="25400">
              <a:noFill/>
            </a:ln>
          </c:spPr>
          <c:marker>
            <c:spPr>
              <a:ln>
                <a:solidFill>
                  <a:schemeClr val="tx1"/>
                </a:solidFill>
              </a:ln>
            </c:spPr>
          </c:marker>
          <c:yVal>
            <c:numRef>
              <c:f>Grafici!$G$4:$G$17</c:f>
              <c:numCache>
                <c:formatCode>#,##0</c:formatCode>
                <c:ptCount val="14"/>
                <c:pt idx="0">
                  <c:v>8273.3299999999945</c:v>
                </c:pt>
                <c:pt idx="1">
                  <c:v>-7697.6100000000151</c:v>
                </c:pt>
                <c:pt idx="2">
                  <c:v>3863.2000000000112</c:v>
                </c:pt>
                <c:pt idx="3">
                  <c:v>-1665.310000000019</c:v>
                </c:pt>
                <c:pt idx="4">
                  <c:v>11041.800000000019</c:v>
                </c:pt>
                <c:pt idx="5">
                  <c:v>-1268.859999999986</c:v>
                </c:pt>
                <c:pt idx="6">
                  <c:v>32112.28999999999</c:v>
                </c:pt>
                <c:pt idx="7">
                  <c:v>985.37000000000126</c:v>
                </c:pt>
                <c:pt idx="8">
                  <c:v>11228.199999999981</c:v>
                </c:pt>
                <c:pt idx="9">
                  <c:v>27740.659999999982</c:v>
                </c:pt>
                <c:pt idx="10">
                  <c:v>12080.12</c:v>
                </c:pt>
                <c:pt idx="11">
                  <c:v>-2828.72</c:v>
                </c:pt>
                <c:pt idx="12">
                  <c:v>-5847.9299999999821</c:v>
                </c:pt>
                <c:pt idx="13">
                  <c:v>3122.5700000000061</c:v>
                </c:pt>
              </c:numCache>
            </c:numRef>
          </c:yVal>
          <c:smooth val="0"/>
        </c:ser>
        <c:dLbls>
          <c:showLegendKey val="0"/>
          <c:showVal val="0"/>
          <c:showCatName val="0"/>
          <c:showSerName val="0"/>
          <c:showPercent val="0"/>
          <c:showBubbleSize val="0"/>
        </c:dLbls>
        <c:axId val="74558848"/>
        <c:axId val="76568064"/>
      </c:scatterChart>
      <c:catAx>
        <c:axId val="74558848"/>
        <c:scaling>
          <c:orientation val="minMax"/>
        </c:scaling>
        <c:delete val="0"/>
        <c:axPos val="b"/>
        <c:majorTickMark val="out"/>
        <c:minorTickMark val="none"/>
        <c:tickLblPos val="low"/>
        <c:txPr>
          <a:bodyPr rot="5400000" vert="horz"/>
          <a:lstStyle/>
          <a:p>
            <a:pPr>
              <a:defRPr/>
            </a:pPr>
            <a:endParaRPr lang="it-IT"/>
          </a:p>
        </c:txPr>
        <c:crossAx val="76568064"/>
        <c:crosses val="autoZero"/>
        <c:auto val="1"/>
        <c:lblAlgn val="ctr"/>
        <c:lblOffset val="100"/>
        <c:noMultiLvlLbl val="0"/>
      </c:catAx>
      <c:valAx>
        <c:axId val="76568064"/>
        <c:scaling>
          <c:orientation val="minMax"/>
          <c:max val="60000"/>
          <c:min val="-40000"/>
        </c:scaling>
        <c:delete val="0"/>
        <c:axPos val="l"/>
        <c:majorGridlines/>
        <c:numFmt formatCode="#,##0" sourceLinked="1"/>
        <c:majorTickMark val="out"/>
        <c:minorTickMark val="none"/>
        <c:tickLblPos val="nextTo"/>
        <c:crossAx val="74558848"/>
        <c:crosses val="autoZero"/>
        <c:crossBetween val="between"/>
        <c:majorUnit val="10000"/>
      </c:valAx>
    </c:plotArea>
    <c:legend>
      <c:legendPos val="b"/>
      <c:layout>
        <c:manualLayout>
          <c:xMode val="edge"/>
          <c:yMode val="edge"/>
          <c:x val="0.18853871391076099"/>
          <c:y val="0.91199026950899398"/>
          <c:w val="0.81146128608923895"/>
          <c:h val="5.8806222392932601E-2"/>
        </c:manualLayout>
      </c:layout>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383573928259"/>
          <c:y val="5.1400554097404502E-2"/>
          <c:w val="0.82560870516185503"/>
          <c:h val="0.63596125705525797"/>
        </c:manualLayout>
      </c:layout>
      <c:barChart>
        <c:barDir val="col"/>
        <c:grouping val="clustered"/>
        <c:varyColors val="0"/>
        <c:ser>
          <c:idx val="0"/>
          <c:order val="0"/>
          <c:tx>
            <c:strRef>
              <c:f>Grafici!$L$3</c:f>
              <c:strCache>
                <c:ptCount val="1"/>
                <c:pt idx="0">
                  <c:v>CI effect</c:v>
                </c:pt>
              </c:strCache>
            </c:strRef>
          </c:tx>
          <c:spPr>
            <a:solidFill>
              <a:schemeClr val="tx1">
                <a:lumMod val="50000"/>
                <a:lumOff val="50000"/>
              </a:schemeClr>
            </a:solidFill>
            <a:ln>
              <a:solidFill>
                <a:schemeClr val="tx1"/>
              </a:solidFill>
            </a:ln>
          </c:spPr>
          <c:invertIfNegative val="0"/>
          <c:cat>
            <c:strRef>
              <c:f>Grafici!$K$4:$K$17</c:f>
              <c:strCache>
                <c:ptCount val="14"/>
                <c:pt idx="0">
                  <c:v>Germany</c:v>
                </c:pt>
                <c:pt idx="1">
                  <c:v>UK</c:v>
                </c:pt>
                <c:pt idx="2">
                  <c:v>Canada</c:v>
                </c:pt>
                <c:pt idx="3">
                  <c:v>Indonesia</c:v>
                </c:pt>
                <c:pt idx="4">
                  <c:v>Mexico</c:v>
                </c:pt>
                <c:pt idx="5">
                  <c:v>Australia</c:v>
                </c:pt>
                <c:pt idx="6">
                  <c:v>Spain</c:v>
                </c:pt>
                <c:pt idx="7">
                  <c:v>South Korea</c:v>
                </c:pt>
                <c:pt idx="8">
                  <c:v>Turkey</c:v>
                </c:pt>
                <c:pt idx="9">
                  <c:v>Japan</c:v>
                </c:pt>
                <c:pt idx="10">
                  <c:v>Italy</c:v>
                </c:pt>
                <c:pt idx="11">
                  <c:v>France</c:v>
                </c:pt>
                <c:pt idx="12">
                  <c:v>Netherland</c:v>
                </c:pt>
                <c:pt idx="13">
                  <c:v>Poland</c:v>
                </c:pt>
              </c:strCache>
            </c:strRef>
          </c:cat>
          <c:val>
            <c:numRef>
              <c:f>Grafici!$L$4:$L$17</c:f>
              <c:numCache>
                <c:formatCode>#,##0</c:formatCode>
                <c:ptCount val="14"/>
                <c:pt idx="0">
                  <c:v>-71773.884814551333</c:v>
                </c:pt>
                <c:pt idx="1">
                  <c:v>-8465.2620017959198</c:v>
                </c:pt>
                <c:pt idx="2">
                  <c:v>22642.654241250821</c:v>
                </c:pt>
                <c:pt idx="3">
                  <c:v>44457.322729807733</c:v>
                </c:pt>
                <c:pt idx="4">
                  <c:v>-2220.0083185343069</c:v>
                </c:pt>
                <c:pt idx="5">
                  <c:v>-11266.494821696409</c:v>
                </c:pt>
                <c:pt idx="6">
                  <c:v>-20044.091774164379</c:v>
                </c:pt>
                <c:pt idx="7">
                  <c:v>-68678.125031283023</c:v>
                </c:pt>
                <c:pt idx="8">
                  <c:v>-5532.6543567032149</c:v>
                </c:pt>
                <c:pt idx="9">
                  <c:v>19433.574369651898</c:v>
                </c:pt>
                <c:pt idx="10">
                  <c:v>-54449.259702231982</c:v>
                </c:pt>
                <c:pt idx="11">
                  <c:v>-48250.369329506953</c:v>
                </c:pt>
                <c:pt idx="12">
                  <c:v>29968.616878251371</c:v>
                </c:pt>
                <c:pt idx="13">
                  <c:v>-28105.635814942139</c:v>
                </c:pt>
              </c:numCache>
            </c:numRef>
          </c:val>
        </c:ser>
        <c:ser>
          <c:idx val="1"/>
          <c:order val="1"/>
          <c:tx>
            <c:strRef>
              <c:f>Grafici!$M$3</c:f>
              <c:strCache>
                <c:ptCount val="1"/>
                <c:pt idx="0">
                  <c:v>EI effect</c:v>
                </c:pt>
              </c:strCache>
            </c:strRef>
          </c:tx>
          <c:spPr>
            <a:solidFill>
              <a:schemeClr val="tx1"/>
            </a:solidFill>
          </c:spPr>
          <c:invertIfNegative val="0"/>
          <c:cat>
            <c:strRef>
              <c:f>Grafici!$K$4:$K$17</c:f>
              <c:strCache>
                <c:ptCount val="14"/>
                <c:pt idx="0">
                  <c:v>Germany</c:v>
                </c:pt>
                <c:pt idx="1">
                  <c:v>UK</c:v>
                </c:pt>
                <c:pt idx="2">
                  <c:v>Canada</c:v>
                </c:pt>
                <c:pt idx="3">
                  <c:v>Indonesia</c:v>
                </c:pt>
                <c:pt idx="4">
                  <c:v>Mexico</c:v>
                </c:pt>
                <c:pt idx="5">
                  <c:v>Australia</c:v>
                </c:pt>
                <c:pt idx="6">
                  <c:v>Spain</c:v>
                </c:pt>
                <c:pt idx="7">
                  <c:v>South Korea</c:v>
                </c:pt>
                <c:pt idx="8">
                  <c:v>Turkey</c:v>
                </c:pt>
                <c:pt idx="9">
                  <c:v>Japan</c:v>
                </c:pt>
                <c:pt idx="10">
                  <c:v>Italy</c:v>
                </c:pt>
                <c:pt idx="11">
                  <c:v>France</c:v>
                </c:pt>
                <c:pt idx="12">
                  <c:v>Netherland</c:v>
                </c:pt>
                <c:pt idx="13">
                  <c:v>Poland</c:v>
                </c:pt>
              </c:strCache>
            </c:strRef>
          </c:cat>
          <c:val>
            <c:numRef>
              <c:f>Grafici!$M$4:$M$17</c:f>
              <c:numCache>
                <c:formatCode>#,##0</c:formatCode>
                <c:ptCount val="14"/>
                <c:pt idx="0">
                  <c:v>-175418.9361536229</c:v>
                </c:pt>
                <c:pt idx="1">
                  <c:v>-216845.62341776359</c:v>
                </c:pt>
                <c:pt idx="2">
                  <c:v>-111706.66407432201</c:v>
                </c:pt>
                <c:pt idx="3">
                  <c:v>16930.417406664361</c:v>
                </c:pt>
                <c:pt idx="4">
                  <c:v>-26507.408640107591</c:v>
                </c:pt>
                <c:pt idx="5">
                  <c:v>-39936.383854078522</c:v>
                </c:pt>
                <c:pt idx="6">
                  <c:v>-2276.779981290877</c:v>
                </c:pt>
                <c:pt idx="7">
                  <c:v>-57193.755812831041</c:v>
                </c:pt>
                <c:pt idx="8">
                  <c:v>749.17565237004374</c:v>
                </c:pt>
                <c:pt idx="9">
                  <c:v>-89053.053376092939</c:v>
                </c:pt>
                <c:pt idx="10">
                  <c:v>-3329.4340239697449</c:v>
                </c:pt>
                <c:pt idx="11">
                  <c:v>-64077.24820820726</c:v>
                </c:pt>
                <c:pt idx="12">
                  <c:v>-87742.607797558187</c:v>
                </c:pt>
                <c:pt idx="13">
                  <c:v>-204239.44283710769</c:v>
                </c:pt>
              </c:numCache>
            </c:numRef>
          </c:val>
        </c:ser>
        <c:ser>
          <c:idx val="2"/>
          <c:order val="2"/>
          <c:tx>
            <c:strRef>
              <c:f>Grafici!$N$3</c:f>
              <c:strCache>
                <c:ptCount val="1"/>
                <c:pt idx="0">
                  <c:v>ES effect</c:v>
                </c:pt>
              </c:strCache>
            </c:strRef>
          </c:tx>
          <c:spPr>
            <a:solidFill>
              <a:schemeClr val="bg1">
                <a:lumMod val="95000"/>
              </a:schemeClr>
            </a:solidFill>
            <a:ln>
              <a:solidFill>
                <a:sysClr val="windowText" lastClr="000000"/>
              </a:solidFill>
            </a:ln>
          </c:spPr>
          <c:invertIfNegative val="0"/>
          <c:cat>
            <c:strRef>
              <c:f>Grafici!$K$4:$K$17</c:f>
              <c:strCache>
                <c:ptCount val="14"/>
                <c:pt idx="0">
                  <c:v>Germany</c:v>
                </c:pt>
                <c:pt idx="1">
                  <c:v>UK</c:v>
                </c:pt>
                <c:pt idx="2">
                  <c:v>Canada</c:v>
                </c:pt>
                <c:pt idx="3">
                  <c:v>Indonesia</c:v>
                </c:pt>
                <c:pt idx="4">
                  <c:v>Mexico</c:v>
                </c:pt>
                <c:pt idx="5">
                  <c:v>Australia</c:v>
                </c:pt>
                <c:pt idx="6">
                  <c:v>Spain</c:v>
                </c:pt>
                <c:pt idx="7">
                  <c:v>South Korea</c:v>
                </c:pt>
                <c:pt idx="8">
                  <c:v>Turkey</c:v>
                </c:pt>
                <c:pt idx="9">
                  <c:v>Japan</c:v>
                </c:pt>
                <c:pt idx="10">
                  <c:v>Italy</c:v>
                </c:pt>
                <c:pt idx="11">
                  <c:v>France</c:v>
                </c:pt>
                <c:pt idx="12">
                  <c:v>Netherland</c:v>
                </c:pt>
                <c:pt idx="13">
                  <c:v>Poland</c:v>
                </c:pt>
              </c:strCache>
            </c:strRef>
          </c:cat>
          <c:val>
            <c:numRef>
              <c:f>Grafici!$N$4:$N$17</c:f>
              <c:numCache>
                <c:formatCode>#,##0</c:formatCode>
                <c:ptCount val="14"/>
                <c:pt idx="0">
                  <c:v>-238283.93127669071</c:v>
                </c:pt>
                <c:pt idx="1">
                  <c:v>-33117.553623012587</c:v>
                </c:pt>
                <c:pt idx="2">
                  <c:v>-39896.9863886366</c:v>
                </c:pt>
                <c:pt idx="3">
                  <c:v>-18595.69604981098</c:v>
                </c:pt>
                <c:pt idx="4">
                  <c:v>-2267.0388484686382</c:v>
                </c:pt>
                <c:pt idx="5">
                  <c:v>-4763.6499741191319</c:v>
                </c:pt>
                <c:pt idx="6">
                  <c:v>-2646.0585582979011</c:v>
                </c:pt>
                <c:pt idx="7">
                  <c:v>62777.053113355512</c:v>
                </c:pt>
                <c:pt idx="8">
                  <c:v>21955.988612291119</c:v>
                </c:pt>
                <c:pt idx="9">
                  <c:v>-372645.66787018342</c:v>
                </c:pt>
                <c:pt idx="10">
                  <c:v>-126202.9045444051</c:v>
                </c:pt>
                <c:pt idx="11">
                  <c:v>-75939.125540131965</c:v>
                </c:pt>
                <c:pt idx="12">
                  <c:v>-22405.7438034236</c:v>
                </c:pt>
                <c:pt idx="13">
                  <c:v>35528.164030985077</c:v>
                </c:pt>
              </c:numCache>
            </c:numRef>
          </c:val>
        </c:ser>
        <c:ser>
          <c:idx val="3"/>
          <c:order val="3"/>
          <c:tx>
            <c:strRef>
              <c:f>Grafici!$O$3</c:f>
              <c:strCache>
                <c:ptCount val="1"/>
                <c:pt idx="0">
                  <c:v>G effect</c:v>
                </c:pt>
              </c:strCache>
            </c:strRef>
          </c:tx>
          <c:spPr>
            <a:pattFill prst="pct75">
              <a:fgClr>
                <a:schemeClr val="tx1"/>
              </a:fgClr>
              <a:bgClr>
                <a:schemeClr val="bg1"/>
              </a:bgClr>
            </a:pattFill>
          </c:spPr>
          <c:invertIfNegative val="0"/>
          <c:cat>
            <c:strRef>
              <c:f>Grafici!$K$4:$K$17</c:f>
              <c:strCache>
                <c:ptCount val="14"/>
                <c:pt idx="0">
                  <c:v>Germany</c:v>
                </c:pt>
                <c:pt idx="1">
                  <c:v>UK</c:v>
                </c:pt>
                <c:pt idx="2">
                  <c:v>Canada</c:v>
                </c:pt>
                <c:pt idx="3">
                  <c:v>Indonesia</c:v>
                </c:pt>
                <c:pt idx="4">
                  <c:v>Mexico</c:v>
                </c:pt>
                <c:pt idx="5">
                  <c:v>Australia</c:v>
                </c:pt>
                <c:pt idx="6">
                  <c:v>Spain</c:v>
                </c:pt>
                <c:pt idx="7">
                  <c:v>South Korea</c:v>
                </c:pt>
                <c:pt idx="8">
                  <c:v>Turkey</c:v>
                </c:pt>
                <c:pt idx="9">
                  <c:v>Japan</c:v>
                </c:pt>
                <c:pt idx="10">
                  <c:v>Italy</c:v>
                </c:pt>
                <c:pt idx="11">
                  <c:v>France</c:v>
                </c:pt>
                <c:pt idx="12">
                  <c:v>Netherland</c:v>
                </c:pt>
                <c:pt idx="13">
                  <c:v>Poland</c:v>
                </c:pt>
              </c:strCache>
            </c:strRef>
          </c:cat>
          <c:val>
            <c:numRef>
              <c:f>Grafici!$O$4:$O$17</c:f>
              <c:numCache>
                <c:formatCode>#,##0</c:formatCode>
                <c:ptCount val="14"/>
                <c:pt idx="0">
                  <c:v>418583.3522448648</c:v>
                </c:pt>
                <c:pt idx="1">
                  <c:v>272307.87904257211</c:v>
                </c:pt>
                <c:pt idx="2">
                  <c:v>232112.8454464477</c:v>
                </c:pt>
                <c:pt idx="3">
                  <c:v>129686.4980348652</c:v>
                </c:pt>
                <c:pt idx="4">
                  <c:v>164528.86060876379</c:v>
                </c:pt>
                <c:pt idx="5">
                  <c:v>158188.0917303712</c:v>
                </c:pt>
                <c:pt idx="6">
                  <c:v>136588.78031375329</c:v>
                </c:pt>
                <c:pt idx="7">
                  <c:v>215939.9010452691</c:v>
                </c:pt>
                <c:pt idx="8">
                  <c:v>104093.84607304219</c:v>
                </c:pt>
                <c:pt idx="9">
                  <c:v>540442.64885755221</c:v>
                </c:pt>
                <c:pt idx="10">
                  <c:v>212751.60827060681</c:v>
                </c:pt>
                <c:pt idx="11">
                  <c:v>183559.89307784601</c:v>
                </c:pt>
                <c:pt idx="12">
                  <c:v>91230.584722730433</c:v>
                </c:pt>
                <c:pt idx="13">
                  <c:v>163443.51462106421</c:v>
                </c:pt>
              </c:numCache>
            </c:numRef>
          </c:val>
        </c:ser>
        <c:dLbls>
          <c:showLegendKey val="0"/>
          <c:showVal val="0"/>
          <c:showCatName val="0"/>
          <c:showSerName val="0"/>
          <c:showPercent val="0"/>
          <c:showBubbleSize val="0"/>
        </c:dLbls>
        <c:gapWidth val="150"/>
        <c:axId val="29540736"/>
        <c:axId val="29542656"/>
      </c:barChart>
      <c:scatterChart>
        <c:scatterStyle val="lineMarker"/>
        <c:varyColors val="0"/>
        <c:ser>
          <c:idx val="4"/>
          <c:order val="4"/>
          <c:tx>
            <c:v>Cumulated change</c:v>
          </c:tx>
          <c:spPr>
            <a:ln w="25400">
              <a:noFill/>
            </a:ln>
          </c:spPr>
          <c:marker>
            <c:spPr>
              <a:ln>
                <a:solidFill>
                  <a:sysClr val="windowText" lastClr="000000"/>
                </a:solidFill>
              </a:ln>
            </c:spPr>
          </c:marker>
          <c:yVal>
            <c:numRef>
              <c:f>Grafici!$P$4:$P$17</c:f>
              <c:numCache>
                <c:formatCode>#,##0</c:formatCode>
                <c:ptCount val="14"/>
                <c:pt idx="0">
                  <c:v>-66893.40000000014</c:v>
                </c:pt>
                <c:pt idx="1">
                  <c:v>13879.44</c:v>
                </c:pt>
                <c:pt idx="2">
                  <c:v>103151.84922474</c:v>
                </c:pt>
                <c:pt idx="3">
                  <c:v>172478.54212152629</c:v>
                </c:pt>
                <c:pt idx="4">
                  <c:v>133534.4048016532</c:v>
                </c:pt>
                <c:pt idx="5">
                  <c:v>102221.56308047711</c:v>
                </c:pt>
                <c:pt idx="6">
                  <c:v>111621.85000000009</c:v>
                </c:pt>
                <c:pt idx="7">
                  <c:v>152845.07331451061</c:v>
                </c:pt>
                <c:pt idx="8">
                  <c:v>121266.3559810002</c:v>
                </c:pt>
                <c:pt idx="9">
                  <c:v>98177.50198092754</c:v>
                </c:pt>
                <c:pt idx="10">
                  <c:v>28770.009999999951</c:v>
                </c:pt>
                <c:pt idx="11">
                  <c:v>-4706.8500000000931</c:v>
                </c:pt>
                <c:pt idx="12">
                  <c:v>11050.850000000029</c:v>
                </c:pt>
                <c:pt idx="13">
                  <c:v>-33373.400000000431</c:v>
                </c:pt>
              </c:numCache>
            </c:numRef>
          </c:yVal>
          <c:smooth val="0"/>
        </c:ser>
        <c:dLbls>
          <c:showLegendKey val="0"/>
          <c:showVal val="0"/>
          <c:showCatName val="0"/>
          <c:showSerName val="0"/>
          <c:showPercent val="0"/>
          <c:showBubbleSize val="0"/>
        </c:dLbls>
        <c:axId val="29540736"/>
        <c:axId val="29542656"/>
      </c:scatterChart>
      <c:catAx>
        <c:axId val="29540736"/>
        <c:scaling>
          <c:orientation val="minMax"/>
        </c:scaling>
        <c:delete val="0"/>
        <c:axPos val="b"/>
        <c:majorTickMark val="out"/>
        <c:minorTickMark val="none"/>
        <c:tickLblPos val="low"/>
        <c:txPr>
          <a:bodyPr rot="5400000" vert="horz" anchor="t" anchorCtr="1"/>
          <a:lstStyle/>
          <a:p>
            <a:pPr>
              <a:defRPr/>
            </a:pPr>
            <a:endParaRPr lang="it-IT"/>
          </a:p>
        </c:txPr>
        <c:crossAx val="29542656"/>
        <c:crosses val="autoZero"/>
        <c:auto val="1"/>
        <c:lblAlgn val="ctr"/>
        <c:lblOffset val="100"/>
        <c:noMultiLvlLbl val="0"/>
      </c:catAx>
      <c:valAx>
        <c:axId val="29542656"/>
        <c:scaling>
          <c:orientation val="minMax"/>
          <c:max val="600000"/>
          <c:min val="-400000"/>
        </c:scaling>
        <c:delete val="0"/>
        <c:axPos val="l"/>
        <c:majorGridlines/>
        <c:numFmt formatCode="#,##0" sourceLinked="1"/>
        <c:majorTickMark val="out"/>
        <c:minorTickMark val="none"/>
        <c:tickLblPos val="nextTo"/>
        <c:crossAx val="29540736"/>
        <c:crosses val="autoZero"/>
        <c:crossBetween val="between"/>
        <c:majorUnit val="100000"/>
      </c:valAx>
    </c:plotArea>
    <c:legend>
      <c:legendPos val="b"/>
      <c:layout>
        <c:manualLayout>
          <c:xMode val="edge"/>
          <c:yMode val="edge"/>
          <c:x val="9.1316491688538906E-2"/>
          <c:y val="0.91259548308673799"/>
          <c:w val="0.88497725284339501"/>
          <c:h val="7.1122569855759196E-2"/>
        </c:manualLayout>
      </c:layou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D73D50-7765-44EB-8F11-5F9C2B6D2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30</Pages>
  <Words>8384</Words>
  <Characters>47794</Characters>
  <Application>Microsoft Office Word</Application>
  <DocSecurity>0</DocSecurity>
  <Lines>398</Lines>
  <Paragraphs>112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Valeria Andreoni</dc:creator>
  <cp:lastModifiedBy>Valeria</cp:lastModifiedBy>
  <cp:revision>7</cp:revision>
  <cp:lastPrinted>2015-09-11T13:30:00Z</cp:lastPrinted>
  <dcterms:created xsi:type="dcterms:W3CDTF">2015-09-14T09:39:00Z</dcterms:created>
  <dcterms:modified xsi:type="dcterms:W3CDTF">2015-09-14T10:24:00Z</dcterms:modified>
</cp:coreProperties>
</file>